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1C" w:rsidRPr="00855A74" w:rsidRDefault="0030681C" w:rsidP="0030681C">
      <w:pPr>
        <w:jc w:val="both"/>
        <w:rPr>
          <w:rFonts w:asciiTheme="minorHAnsi" w:hAnsiTheme="minorHAnsi" w:cstheme="minorHAnsi"/>
          <w:i/>
          <w:sz w:val="22"/>
          <w:szCs w:val="22"/>
          <w:lang w:val="en-GB"/>
        </w:rPr>
      </w:pPr>
    </w:p>
    <w:p w:rsidR="0030681C" w:rsidRPr="00FB26C4" w:rsidRDefault="0030681C" w:rsidP="0030681C">
      <w:pPr>
        <w:jc w:val="both"/>
        <w:rPr>
          <w:rFonts w:asciiTheme="minorHAnsi" w:hAnsiTheme="minorHAnsi" w:cstheme="minorHAnsi"/>
          <w:b/>
          <w:bCs/>
          <w:iCs/>
          <w:sz w:val="22"/>
          <w:szCs w:val="22"/>
          <w:lang w:val="en-GB"/>
        </w:rPr>
      </w:pPr>
    </w:p>
    <w:p w:rsidR="0030681C" w:rsidRPr="00FB26C4" w:rsidRDefault="0030681C" w:rsidP="0030681C">
      <w:pPr>
        <w:jc w:val="both"/>
        <w:rPr>
          <w:rFonts w:asciiTheme="minorHAnsi" w:hAnsiTheme="minorHAnsi" w:cstheme="minorHAnsi"/>
          <w:b/>
          <w:bCs/>
          <w:iCs/>
          <w:sz w:val="22"/>
          <w:szCs w:val="22"/>
          <w:lang w:val="en-GB"/>
        </w:rPr>
      </w:pPr>
    </w:p>
    <w:p w:rsidR="0030681C" w:rsidRPr="00FB26C4" w:rsidRDefault="0030681C" w:rsidP="0030681C">
      <w:pPr>
        <w:jc w:val="both"/>
        <w:rPr>
          <w:rFonts w:asciiTheme="minorHAnsi" w:hAnsiTheme="minorHAnsi" w:cstheme="minorHAnsi"/>
          <w:b/>
          <w:bCs/>
          <w:iCs/>
          <w:sz w:val="44"/>
          <w:szCs w:val="44"/>
          <w:lang w:val="en-GB"/>
        </w:rPr>
      </w:pPr>
    </w:p>
    <w:p w:rsidR="0030681C" w:rsidRPr="00FB26C4" w:rsidRDefault="0030681C" w:rsidP="0030681C">
      <w:pPr>
        <w:jc w:val="center"/>
        <w:rPr>
          <w:rFonts w:asciiTheme="minorHAnsi" w:hAnsiTheme="minorHAnsi" w:cstheme="minorHAnsi"/>
          <w:b/>
          <w:bCs/>
          <w:iCs/>
          <w:sz w:val="44"/>
          <w:szCs w:val="44"/>
          <w:lang w:val="en-GB"/>
        </w:rPr>
      </w:pPr>
    </w:p>
    <w:p w:rsidR="0030681C" w:rsidRPr="00FB26C4" w:rsidRDefault="0030681C" w:rsidP="0030681C">
      <w:pPr>
        <w:jc w:val="center"/>
        <w:rPr>
          <w:rFonts w:asciiTheme="minorHAnsi" w:hAnsiTheme="minorHAnsi" w:cstheme="minorHAnsi"/>
          <w:b/>
          <w:bCs/>
          <w:iCs/>
          <w:sz w:val="44"/>
          <w:szCs w:val="44"/>
          <w:lang w:val="en-GB"/>
        </w:rPr>
      </w:pPr>
    </w:p>
    <w:p w:rsidR="0030681C" w:rsidRPr="00FB26C4" w:rsidRDefault="0030681C" w:rsidP="0030681C">
      <w:pPr>
        <w:jc w:val="center"/>
        <w:rPr>
          <w:rFonts w:asciiTheme="minorHAnsi" w:hAnsiTheme="minorHAnsi" w:cstheme="minorHAnsi"/>
          <w:b/>
          <w:bCs/>
          <w:iCs/>
          <w:sz w:val="44"/>
          <w:szCs w:val="44"/>
          <w:lang w:val="en-GB"/>
        </w:rPr>
      </w:pPr>
    </w:p>
    <w:p w:rsidR="003A2278" w:rsidRPr="00FB26C4" w:rsidRDefault="00274551" w:rsidP="0030681C">
      <w:pPr>
        <w:spacing w:line="480" w:lineRule="auto"/>
        <w:jc w:val="center"/>
        <w:rPr>
          <w:rFonts w:asciiTheme="minorHAnsi" w:hAnsiTheme="minorHAnsi" w:cstheme="minorHAnsi"/>
          <w:b/>
          <w:sz w:val="44"/>
          <w:szCs w:val="44"/>
          <w:lang w:val="en-GB"/>
        </w:rPr>
      </w:pPr>
      <w:r w:rsidRPr="00FB26C4">
        <w:rPr>
          <w:rFonts w:asciiTheme="minorHAnsi" w:hAnsiTheme="minorHAnsi" w:cstheme="minorHAnsi"/>
          <w:b/>
          <w:sz w:val="44"/>
          <w:szCs w:val="44"/>
          <w:lang w:val="en-GB"/>
        </w:rPr>
        <w:t xml:space="preserve">FINANCIAL RESULTS FOR </w:t>
      </w:r>
    </w:p>
    <w:p w:rsidR="0030681C" w:rsidRPr="00FB26C4" w:rsidRDefault="003A2278" w:rsidP="0030681C">
      <w:pPr>
        <w:spacing w:line="480" w:lineRule="auto"/>
        <w:jc w:val="center"/>
        <w:rPr>
          <w:rFonts w:asciiTheme="minorHAnsi" w:hAnsiTheme="minorHAnsi" w:cstheme="minorHAnsi"/>
          <w:b/>
          <w:sz w:val="44"/>
          <w:szCs w:val="44"/>
          <w:lang w:val="en-GB"/>
        </w:rPr>
      </w:pPr>
      <w:r w:rsidRPr="00FB26C4">
        <w:rPr>
          <w:rFonts w:asciiTheme="minorHAnsi" w:hAnsiTheme="minorHAnsi" w:cstheme="minorHAnsi"/>
          <w:b/>
          <w:sz w:val="44"/>
          <w:szCs w:val="44"/>
          <w:lang w:val="en-GB"/>
        </w:rPr>
        <w:t>THE FIRST QUARTER OF 2014</w:t>
      </w:r>
    </w:p>
    <w:p w:rsidR="0030681C" w:rsidRPr="00FB26C4" w:rsidRDefault="0030681C" w:rsidP="0030681C">
      <w:pPr>
        <w:spacing w:line="480" w:lineRule="auto"/>
        <w:jc w:val="center"/>
        <w:rPr>
          <w:rFonts w:asciiTheme="minorHAnsi" w:hAnsiTheme="minorHAnsi" w:cstheme="minorHAnsi"/>
          <w:b/>
          <w:bCs/>
          <w:iCs/>
          <w:sz w:val="44"/>
          <w:szCs w:val="44"/>
          <w:lang w:val="en-GB"/>
        </w:rPr>
      </w:pPr>
    </w:p>
    <w:p w:rsidR="0030681C" w:rsidRPr="00FB26C4" w:rsidRDefault="0030681C" w:rsidP="0030681C">
      <w:pPr>
        <w:spacing w:line="480" w:lineRule="auto"/>
        <w:jc w:val="both"/>
        <w:rPr>
          <w:rFonts w:asciiTheme="minorHAnsi" w:hAnsiTheme="minorHAnsi" w:cstheme="minorHAnsi"/>
          <w:b/>
          <w:bCs/>
          <w:iCs/>
          <w:sz w:val="44"/>
          <w:szCs w:val="44"/>
          <w:lang w:val="en-GB"/>
        </w:rPr>
      </w:pPr>
    </w:p>
    <w:p w:rsidR="0030681C" w:rsidRPr="00FB26C4" w:rsidRDefault="0030681C" w:rsidP="0030681C">
      <w:pPr>
        <w:spacing w:line="480" w:lineRule="auto"/>
        <w:jc w:val="both"/>
        <w:rPr>
          <w:rFonts w:asciiTheme="minorHAnsi" w:hAnsiTheme="minorHAnsi" w:cstheme="minorHAnsi"/>
          <w:b/>
          <w:bCs/>
          <w:iCs/>
          <w:sz w:val="20"/>
          <w:szCs w:val="20"/>
          <w:lang w:val="en-GB"/>
        </w:rPr>
      </w:pPr>
    </w:p>
    <w:p w:rsidR="0030681C" w:rsidRPr="00FB26C4" w:rsidRDefault="0030681C" w:rsidP="0030681C">
      <w:pPr>
        <w:spacing w:line="480" w:lineRule="auto"/>
        <w:jc w:val="both"/>
        <w:rPr>
          <w:rFonts w:asciiTheme="minorHAnsi" w:hAnsiTheme="minorHAnsi" w:cstheme="minorHAnsi"/>
          <w:b/>
          <w:bCs/>
          <w:iCs/>
          <w:sz w:val="20"/>
          <w:szCs w:val="20"/>
          <w:lang w:val="en-GB"/>
        </w:rPr>
      </w:pPr>
    </w:p>
    <w:p w:rsidR="001977F0" w:rsidRPr="00FB26C4" w:rsidRDefault="001977F0" w:rsidP="0030681C">
      <w:pPr>
        <w:jc w:val="both"/>
        <w:rPr>
          <w:rFonts w:asciiTheme="minorHAnsi" w:hAnsiTheme="minorHAnsi" w:cstheme="minorHAnsi"/>
          <w:b/>
          <w:bCs/>
          <w:iCs/>
          <w:sz w:val="20"/>
          <w:szCs w:val="20"/>
          <w:lang w:val="en-GB"/>
        </w:rPr>
      </w:pPr>
    </w:p>
    <w:p w:rsidR="0030681C" w:rsidRPr="00FB26C4" w:rsidRDefault="0030681C" w:rsidP="0030681C">
      <w:pPr>
        <w:jc w:val="both"/>
        <w:rPr>
          <w:rFonts w:asciiTheme="minorHAnsi" w:hAnsiTheme="minorHAnsi" w:cstheme="minorHAnsi"/>
          <w:b/>
          <w:bCs/>
          <w:iCs/>
          <w:sz w:val="20"/>
          <w:szCs w:val="20"/>
          <w:lang w:val="en-GB"/>
        </w:rPr>
      </w:pPr>
    </w:p>
    <w:p w:rsidR="00274551" w:rsidRPr="00FB26C4" w:rsidRDefault="00274551" w:rsidP="00274551">
      <w:pPr>
        <w:jc w:val="both"/>
        <w:outlineLvl w:val="0"/>
        <w:rPr>
          <w:rFonts w:asciiTheme="minorHAnsi" w:hAnsiTheme="minorHAnsi" w:cstheme="minorHAnsi"/>
          <w:color w:val="808080"/>
          <w:sz w:val="20"/>
          <w:szCs w:val="20"/>
          <w:lang w:val="en-GB"/>
        </w:rPr>
      </w:pPr>
      <w:r w:rsidRPr="00FB26C4">
        <w:rPr>
          <w:rFonts w:asciiTheme="minorHAnsi" w:hAnsiTheme="minorHAnsi" w:cstheme="minorHAnsi"/>
          <w:color w:val="808080"/>
          <w:sz w:val="20"/>
          <w:szCs w:val="20"/>
          <w:lang w:val="en-GB"/>
        </w:rPr>
        <w:t>Contact:</w:t>
      </w:r>
    </w:p>
    <w:p w:rsidR="00274551" w:rsidRPr="00FB26C4" w:rsidRDefault="00274551" w:rsidP="00274551">
      <w:pPr>
        <w:jc w:val="both"/>
        <w:rPr>
          <w:rFonts w:asciiTheme="minorHAnsi" w:hAnsiTheme="minorHAnsi" w:cstheme="minorHAnsi"/>
          <w:sz w:val="20"/>
          <w:szCs w:val="20"/>
          <w:lang w:val="en-GB"/>
        </w:rPr>
      </w:pPr>
    </w:p>
    <w:p w:rsidR="00274551" w:rsidRPr="00855A74" w:rsidRDefault="00274551" w:rsidP="00274551">
      <w:pPr>
        <w:jc w:val="both"/>
        <w:rPr>
          <w:rFonts w:asciiTheme="minorHAnsi" w:hAnsiTheme="minorHAnsi" w:cstheme="minorHAnsi"/>
          <w:color w:val="999999"/>
          <w:sz w:val="20"/>
          <w:szCs w:val="20"/>
          <w:lang w:val="es-ES"/>
        </w:rPr>
      </w:pPr>
      <w:r w:rsidRPr="00855A74">
        <w:rPr>
          <w:rFonts w:asciiTheme="minorHAnsi" w:hAnsiTheme="minorHAnsi" w:cstheme="minorHAnsi"/>
          <w:color w:val="999999"/>
          <w:sz w:val="20"/>
          <w:szCs w:val="20"/>
          <w:lang w:val="es-ES"/>
        </w:rPr>
        <w:t>INA-</w:t>
      </w:r>
      <w:proofErr w:type="spellStart"/>
      <w:r w:rsidRPr="00855A74">
        <w:rPr>
          <w:rFonts w:asciiTheme="minorHAnsi" w:hAnsiTheme="minorHAnsi" w:cstheme="minorHAnsi"/>
          <w:color w:val="999999"/>
          <w:sz w:val="20"/>
          <w:szCs w:val="20"/>
          <w:lang w:val="es-ES"/>
        </w:rPr>
        <w:t>Industrija</w:t>
      </w:r>
      <w:proofErr w:type="spellEnd"/>
      <w:r w:rsidRPr="00855A74">
        <w:rPr>
          <w:rFonts w:asciiTheme="minorHAnsi" w:hAnsiTheme="minorHAnsi" w:cstheme="minorHAnsi"/>
          <w:color w:val="999999"/>
          <w:sz w:val="20"/>
          <w:szCs w:val="20"/>
          <w:lang w:val="es-ES"/>
        </w:rPr>
        <w:t xml:space="preserve"> </w:t>
      </w:r>
      <w:proofErr w:type="spellStart"/>
      <w:r w:rsidRPr="00855A74">
        <w:rPr>
          <w:rFonts w:asciiTheme="minorHAnsi" w:hAnsiTheme="minorHAnsi" w:cstheme="minorHAnsi"/>
          <w:color w:val="999999"/>
          <w:sz w:val="20"/>
          <w:szCs w:val="20"/>
          <w:lang w:val="es-ES"/>
        </w:rPr>
        <w:t>nafte</w:t>
      </w:r>
      <w:proofErr w:type="spellEnd"/>
      <w:r w:rsidRPr="00855A74">
        <w:rPr>
          <w:rFonts w:asciiTheme="minorHAnsi" w:hAnsiTheme="minorHAnsi" w:cstheme="minorHAnsi"/>
          <w:color w:val="999999"/>
          <w:sz w:val="20"/>
          <w:szCs w:val="20"/>
          <w:lang w:val="es-ES"/>
        </w:rPr>
        <w:t xml:space="preserve">, </w:t>
      </w:r>
      <w:proofErr w:type="spellStart"/>
      <w:r w:rsidRPr="00855A74">
        <w:rPr>
          <w:rFonts w:asciiTheme="minorHAnsi" w:hAnsiTheme="minorHAnsi" w:cstheme="minorHAnsi"/>
          <w:color w:val="999999"/>
          <w:sz w:val="20"/>
          <w:szCs w:val="20"/>
          <w:lang w:val="es-ES"/>
        </w:rPr>
        <w:t>d.d</w:t>
      </w:r>
      <w:proofErr w:type="spellEnd"/>
      <w:r w:rsidRPr="00855A74">
        <w:rPr>
          <w:rFonts w:asciiTheme="minorHAnsi" w:hAnsiTheme="minorHAnsi" w:cstheme="minorHAnsi"/>
          <w:color w:val="999999"/>
          <w:sz w:val="20"/>
          <w:szCs w:val="20"/>
          <w:lang w:val="es-ES"/>
        </w:rPr>
        <w:t>.</w:t>
      </w:r>
    </w:p>
    <w:p w:rsidR="00274551" w:rsidRPr="00FB26C4" w:rsidRDefault="00274551" w:rsidP="00274551">
      <w:pPr>
        <w:jc w:val="both"/>
        <w:rPr>
          <w:rFonts w:asciiTheme="minorHAnsi" w:hAnsiTheme="minorHAnsi" w:cstheme="minorHAnsi"/>
          <w:color w:val="999999"/>
          <w:sz w:val="20"/>
          <w:szCs w:val="20"/>
          <w:lang w:val="en-GB"/>
        </w:rPr>
      </w:pPr>
      <w:r w:rsidRPr="00FB26C4">
        <w:rPr>
          <w:rFonts w:asciiTheme="minorHAnsi" w:hAnsiTheme="minorHAnsi" w:cstheme="minorHAnsi"/>
          <w:color w:val="999999"/>
          <w:sz w:val="20"/>
          <w:szCs w:val="20"/>
          <w:lang w:val="en-GB"/>
        </w:rPr>
        <w:t>Corporate Communications Sector</w:t>
      </w:r>
    </w:p>
    <w:p w:rsidR="00274551" w:rsidRPr="00FB26C4" w:rsidRDefault="00274551" w:rsidP="00274551">
      <w:pPr>
        <w:jc w:val="both"/>
        <w:rPr>
          <w:rFonts w:asciiTheme="minorHAnsi" w:hAnsiTheme="minorHAnsi" w:cstheme="minorHAnsi"/>
          <w:color w:val="999999"/>
          <w:sz w:val="20"/>
          <w:szCs w:val="20"/>
          <w:lang w:val="en-GB"/>
        </w:rPr>
      </w:pPr>
      <w:proofErr w:type="spellStart"/>
      <w:r w:rsidRPr="00FB26C4">
        <w:rPr>
          <w:rFonts w:asciiTheme="minorHAnsi" w:hAnsiTheme="minorHAnsi" w:cstheme="minorHAnsi"/>
          <w:color w:val="999999"/>
          <w:sz w:val="20"/>
          <w:szCs w:val="20"/>
          <w:lang w:val="en-GB"/>
        </w:rPr>
        <w:t>Avenija</w:t>
      </w:r>
      <w:proofErr w:type="spellEnd"/>
      <w:r w:rsidRPr="00FB26C4">
        <w:rPr>
          <w:rFonts w:asciiTheme="minorHAnsi" w:hAnsiTheme="minorHAnsi" w:cstheme="minorHAnsi"/>
          <w:color w:val="999999"/>
          <w:sz w:val="20"/>
          <w:szCs w:val="20"/>
          <w:lang w:val="en-GB"/>
        </w:rPr>
        <w:t xml:space="preserve"> </w:t>
      </w:r>
      <w:proofErr w:type="spellStart"/>
      <w:r w:rsidRPr="00FB26C4">
        <w:rPr>
          <w:rFonts w:asciiTheme="minorHAnsi" w:hAnsiTheme="minorHAnsi" w:cstheme="minorHAnsi"/>
          <w:color w:val="999999"/>
          <w:sz w:val="20"/>
          <w:szCs w:val="20"/>
          <w:lang w:val="en-GB"/>
        </w:rPr>
        <w:t>Veceslava</w:t>
      </w:r>
      <w:proofErr w:type="spellEnd"/>
      <w:r w:rsidRPr="00FB26C4">
        <w:rPr>
          <w:rFonts w:asciiTheme="minorHAnsi" w:hAnsiTheme="minorHAnsi" w:cstheme="minorHAnsi"/>
          <w:color w:val="999999"/>
          <w:sz w:val="20"/>
          <w:szCs w:val="20"/>
          <w:lang w:val="en-GB"/>
        </w:rPr>
        <w:t xml:space="preserve"> </w:t>
      </w:r>
      <w:proofErr w:type="spellStart"/>
      <w:r w:rsidRPr="00FB26C4">
        <w:rPr>
          <w:rFonts w:asciiTheme="minorHAnsi" w:hAnsiTheme="minorHAnsi" w:cstheme="minorHAnsi"/>
          <w:color w:val="999999"/>
          <w:sz w:val="20"/>
          <w:szCs w:val="20"/>
          <w:lang w:val="en-GB"/>
        </w:rPr>
        <w:t>Holjevca</w:t>
      </w:r>
      <w:proofErr w:type="spellEnd"/>
      <w:r w:rsidRPr="00FB26C4">
        <w:rPr>
          <w:rFonts w:asciiTheme="minorHAnsi" w:hAnsiTheme="minorHAnsi" w:cstheme="minorHAnsi"/>
          <w:color w:val="999999"/>
          <w:sz w:val="20"/>
          <w:szCs w:val="20"/>
          <w:lang w:val="en-GB"/>
        </w:rPr>
        <w:t xml:space="preserve"> 10, Zagreb</w:t>
      </w:r>
    </w:p>
    <w:p w:rsidR="00274551" w:rsidRPr="00FB26C4" w:rsidRDefault="00274551" w:rsidP="00274551">
      <w:pPr>
        <w:jc w:val="both"/>
        <w:rPr>
          <w:rFonts w:asciiTheme="minorHAnsi" w:hAnsiTheme="minorHAnsi" w:cstheme="minorHAnsi"/>
          <w:color w:val="999999"/>
          <w:sz w:val="20"/>
          <w:szCs w:val="20"/>
          <w:lang w:val="en-GB"/>
        </w:rPr>
      </w:pPr>
    </w:p>
    <w:p w:rsidR="00274551" w:rsidRPr="00FB26C4" w:rsidRDefault="00274551" w:rsidP="00274551">
      <w:pPr>
        <w:jc w:val="both"/>
        <w:outlineLvl w:val="0"/>
        <w:rPr>
          <w:rFonts w:asciiTheme="minorHAnsi" w:hAnsiTheme="minorHAnsi" w:cstheme="minorHAnsi"/>
          <w:color w:val="999999"/>
          <w:sz w:val="20"/>
          <w:szCs w:val="20"/>
          <w:lang w:val="en-GB"/>
        </w:rPr>
      </w:pPr>
      <w:r w:rsidRPr="00FB26C4">
        <w:rPr>
          <w:rFonts w:asciiTheme="minorHAnsi" w:hAnsiTheme="minorHAnsi" w:cstheme="minorHAnsi"/>
          <w:color w:val="999999"/>
          <w:sz w:val="20"/>
          <w:szCs w:val="20"/>
          <w:lang w:val="en-GB"/>
        </w:rPr>
        <w:t>Public Relations Department</w:t>
      </w:r>
    </w:p>
    <w:p w:rsidR="00274551" w:rsidRPr="00FB26C4" w:rsidRDefault="00274551" w:rsidP="00274551">
      <w:pPr>
        <w:jc w:val="both"/>
        <w:rPr>
          <w:rFonts w:asciiTheme="minorHAnsi" w:hAnsiTheme="minorHAnsi" w:cstheme="minorHAnsi"/>
          <w:color w:val="999999"/>
          <w:sz w:val="20"/>
          <w:szCs w:val="20"/>
          <w:lang w:val="en-GB"/>
        </w:rPr>
      </w:pPr>
    </w:p>
    <w:p w:rsidR="00274551" w:rsidRPr="00FB26C4" w:rsidRDefault="00274551" w:rsidP="00274551">
      <w:pPr>
        <w:jc w:val="both"/>
        <w:rPr>
          <w:rFonts w:asciiTheme="minorHAnsi" w:hAnsiTheme="minorHAnsi" w:cstheme="minorHAnsi"/>
          <w:color w:val="999999"/>
          <w:sz w:val="20"/>
          <w:szCs w:val="20"/>
          <w:lang w:val="en-GB"/>
        </w:rPr>
      </w:pPr>
      <w:r w:rsidRPr="00FB26C4">
        <w:rPr>
          <w:rFonts w:asciiTheme="minorHAnsi" w:hAnsiTheme="minorHAnsi" w:cstheme="minorHAnsi"/>
          <w:color w:val="999999"/>
          <w:sz w:val="20"/>
          <w:szCs w:val="20"/>
          <w:lang w:val="en-GB"/>
        </w:rPr>
        <w:t xml:space="preserve">E-mail:  </w:t>
      </w:r>
      <w:hyperlink r:id="rId9" w:history="1">
        <w:r w:rsidRPr="00FB26C4">
          <w:rPr>
            <w:rStyle w:val="Hyperlink"/>
            <w:rFonts w:asciiTheme="minorHAnsi" w:hAnsiTheme="minorHAnsi" w:cstheme="minorHAnsi"/>
            <w:color w:val="999999"/>
            <w:sz w:val="20"/>
            <w:szCs w:val="20"/>
            <w:lang w:val="en-GB"/>
          </w:rPr>
          <w:t>PR@ina.hr</w:t>
        </w:r>
      </w:hyperlink>
    </w:p>
    <w:p w:rsidR="00274551" w:rsidRPr="00FB26C4" w:rsidRDefault="00274551" w:rsidP="00274551">
      <w:pPr>
        <w:jc w:val="both"/>
        <w:rPr>
          <w:rFonts w:asciiTheme="minorHAnsi" w:hAnsiTheme="minorHAnsi" w:cstheme="minorHAnsi"/>
          <w:color w:val="999999"/>
          <w:sz w:val="20"/>
          <w:szCs w:val="20"/>
          <w:lang w:val="en-GB"/>
        </w:rPr>
      </w:pPr>
      <w:r w:rsidRPr="00FB26C4">
        <w:rPr>
          <w:rFonts w:asciiTheme="minorHAnsi" w:hAnsiTheme="minorHAnsi" w:cstheme="minorHAnsi"/>
          <w:color w:val="999999"/>
          <w:sz w:val="20"/>
          <w:szCs w:val="20"/>
          <w:lang w:val="en-GB"/>
        </w:rPr>
        <w:t xml:space="preserve">Or visit Press Centre at </w:t>
      </w:r>
      <w:hyperlink r:id="rId10" w:history="1">
        <w:r w:rsidRPr="00FB26C4">
          <w:rPr>
            <w:rStyle w:val="Hyperlink"/>
            <w:rFonts w:asciiTheme="minorHAnsi" w:hAnsiTheme="minorHAnsi" w:cstheme="minorHAnsi"/>
            <w:color w:val="999999"/>
            <w:sz w:val="20"/>
            <w:szCs w:val="20"/>
            <w:lang w:val="en-GB"/>
          </w:rPr>
          <w:t>www.ina.hr</w:t>
        </w:r>
      </w:hyperlink>
      <w:r w:rsidRPr="00FB26C4">
        <w:rPr>
          <w:rFonts w:asciiTheme="minorHAnsi" w:hAnsiTheme="minorHAnsi" w:cstheme="minorHAnsi"/>
          <w:color w:val="999999"/>
          <w:sz w:val="20"/>
          <w:szCs w:val="20"/>
          <w:lang w:val="en-GB"/>
        </w:rPr>
        <w:t xml:space="preserve"> </w:t>
      </w:r>
    </w:p>
    <w:p w:rsidR="0030681C" w:rsidRPr="00FB26C4" w:rsidRDefault="0030681C" w:rsidP="0030681C">
      <w:pPr>
        <w:jc w:val="center"/>
        <w:rPr>
          <w:rFonts w:asciiTheme="minorHAnsi" w:hAnsiTheme="minorHAnsi" w:cstheme="minorHAnsi"/>
          <w:b/>
          <w:sz w:val="20"/>
          <w:szCs w:val="20"/>
          <w:lang w:val="en-GB"/>
        </w:rPr>
        <w:sectPr w:rsidR="0030681C" w:rsidRPr="00FB26C4" w:rsidSect="0039152A">
          <w:headerReference w:type="default" r:id="rId11"/>
          <w:footerReference w:type="default" r:id="rId12"/>
          <w:pgSz w:w="11906" w:h="16838" w:code="9"/>
          <w:pgMar w:top="3402" w:right="1134" w:bottom="1843" w:left="1418" w:header="851" w:footer="459" w:gutter="0"/>
          <w:cols w:space="708"/>
          <w:docGrid w:linePitch="360"/>
        </w:sectPr>
      </w:pPr>
    </w:p>
    <w:p w:rsidR="00966770" w:rsidRPr="00FB26C4" w:rsidRDefault="0030681C" w:rsidP="0095206B">
      <w:pPr>
        <w:tabs>
          <w:tab w:val="left" w:pos="1335"/>
        </w:tabs>
        <w:jc w:val="both"/>
        <w:rPr>
          <w:rFonts w:asciiTheme="minorHAnsi" w:hAnsiTheme="minorHAnsi" w:cstheme="minorHAnsi"/>
          <w:sz w:val="22"/>
          <w:szCs w:val="22"/>
          <w:lang w:val="en-GB"/>
        </w:rPr>
      </w:pPr>
      <w:r w:rsidRPr="00FB26C4">
        <w:rPr>
          <w:rFonts w:asciiTheme="minorHAnsi" w:hAnsiTheme="minorHAnsi" w:cstheme="minorHAnsi"/>
          <w:sz w:val="22"/>
          <w:szCs w:val="22"/>
          <w:lang w:val="en-GB"/>
        </w:rPr>
        <w:lastRenderedPageBreak/>
        <w:tab/>
      </w:r>
      <w:bookmarkStart w:id="0" w:name="OLE_LINK1"/>
    </w:p>
    <w:p w:rsidR="0030681C" w:rsidRPr="00FB26C4" w:rsidRDefault="0030681C" w:rsidP="00274551">
      <w:pPr>
        <w:tabs>
          <w:tab w:val="left" w:pos="1335"/>
        </w:tabs>
        <w:jc w:val="center"/>
        <w:rPr>
          <w:rFonts w:asciiTheme="minorHAnsi" w:hAnsiTheme="minorHAnsi" w:cstheme="minorHAnsi"/>
          <w:b/>
          <w:bCs/>
          <w:lang w:val="en-GB"/>
        </w:rPr>
      </w:pPr>
      <w:r w:rsidRPr="00FB26C4">
        <w:rPr>
          <w:rFonts w:asciiTheme="minorHAnsi" w:hAnsiTheme="minorHAnsi" w:cstheme="minorHAnsi"/>
          <w:b/>
          <w:bCs/>
          <w:lang w:val="en-GB"/>
        </w:rPr>
        <w:lastRenderedPageBreak/>
        <w:t xml:space="preserve">INA </w:t>
      </w:r>
      <w:r w:rsidR="00274551" w:rsidRPr="00FB26C4">
        <w:rPr>
          <w:rFonts w:asciiTheme="minorHAnsi" w:hAnsiTheme="minorHAnsi" w:cstheme="minorHAnsi"/>
          <w:b/>
          <w:bCs/>
          <w:lang w:val="en-GB"/>
        </w:rPr>
        <w:t>published financial results for</w:t>
      </w:r>
      <w:r w:rsidRPr="00FB26C4">
        <w:rPr>
          <w:rFonts w:asciiTheme="minorHAnsi" w:hAnsiTheme="minorHAnsi" w:cstheme="minorHAnsi"/>
          <w:b/>
          <w:bCs/>
          <w:lang w:val="en-GB"/>
        </w:rPr>
        <w:t xml:space="preserve"> </w:t>
      </w:r>
      <w:r w:rsidR="003A2278" w:rsidRPr="00FB26C4">
        <w:rPr>
          <w:rFonts w:asciiTheme="minorHAnsi" w:hAnsiTheme="minorHAnsi" w:cstheme="minorHAnsi"/>
          <w:b/>
          <w:bCs/>
          <w:lang w:val="en-GB"/>
        </w:rPr>
        <w:t xml:space="preserve">the first quarter of </w:t>
      </w:r>
      <w:r w:rsidRPr="00FB26C4">
        <w:rPr>
          <w:rFonts w:asciiTheme="minorHAnsi" w:hAnsiTheme="minorHAnsi" w:cstheme="minorHAnsi"/>
          <w:b/>
          <w:bCs/>
          <w:lang w:val="en-GB"/>
        </w:rPr>
        <w:t>201</w:t>
      </w:r>
      <w:r w:rsidR="003A2278" w:rsidRPr="00FB26C4">
        <w:rPr>
          <w:rFonts w:asciiTheme="minorHAnsi" w:hAnsiTheme="minorHAnsi" w:cstheme="minorHAnsi"/>
          <w:b/>
          <w:bCs/>
          <w:lang w:val="en-GB"/>
        </w:rPr>
        <w:t>4</w:t>
      </w:r>
    </w:p>
    <w:p w:rsidR="008E2029" w:rsidRPr="00FB26C4" w:rsidRDefault="008E2029" w:rsidP="00314C23">
      <w:pPr>
        <w:tabs>
          <w:tab w:val="left" w:pos="1335"/>
        </w:tabs>
        <w:rPr>
          <w:rFonts w:asciiTheme="minorHAnsi" w:hAnsiTheme="minorHAnsi" w:cstheme="minorHAnsi"/>
          <w:lang w:val="en-GB"/>
        </w:rPr>
      </w:pPr>
    </w:p>
    <w:p w:rsidR="00274551" w:rsidRPr="00FB26C4" w:rsidRDefault="003A2278" w:rsidP="0030681C">
      <w:pPr>
        <w:numPr>
          <w:ilvl w:val="0"/>
          <w:numId w:val="3"/>
        </w:numPr>
        <w:spacing w:line="360" w:lineRule="auto"/>
        <w:jc w:val="both"/>
        <w:rPr>
          <w:rFonts w:asciiTheme="minorHAnsi" w:hAnsiTheme="minorHAnsi" w:cstheme="minorHAnsi"/>
          <w:lang w:val="en-GB"/>
        </w:rPr>
      </w:pPr>
      <w:r w:rsidRPr="00FB26C4">
        <w:rPr>
          <w:rFonts w:asciiTheme="minorHAnsi" w:hAnsiTheme="minorHAnsi" w:cstheme="minorHAnsi"/>
          <w:lang w:val="en-GB"/>
        </w:rPr>
        <w:t>Capital i</w:t>
      </w:r>
      <w:r w:rsidR="00274551" w:rsidRPr="00FB26C4">
        <w:rPr>
          <w:rFonts w:asciiTheme="minorHAnsi" w:hAnsiTheme="minorHAnsi" w:cstheme="minorHAnsi"/>
          <w:lang w:val="en-GB"/>
        </w:rPr>
        <w:t xml:space="preserve">nvestments increased </w:t>
      </w:r>
      <w:r w:rsidR="00424A3D" w:rsidRPr="00FB26C4">
        <w:rPr>
          <w:rFonts w:asciiTheme="minorHAnsi" w:hAnsiTheme="minorHAnsi" w:cstheme="minorHAnsi"/>
          <w:lang w:val="en-GB"/>
        </w:rPr>
        <w:t xml:space="preserve">by </w:t>
      </w:r>
      <w:r w:rsidRPr="00FB26C4">
        <w:rPr>
          <w:rFonts w:asciiTheme="minorHAnsi" w:hAnsiTheme="minorHAnsi" w:cstheme="minorHAnsi"/>
          <w:lang w:val="en-GB"/>
        </w:rPr>
        <w:t>72</w:t>
      </w:r>
      <w:r w:rsidR="00424A3D" w:rsidRPr="00FB26C4">
        <w:rPr>
          <w:rFonts w:asciiTheme="minorHAnsi" w:hAnsiTheme="minorHAnsi" w:cstheme="minorHAnsi"/>
          <w:lang w:val="en-GB"/>
        </w:rPr>
        <w:t xml:space="preserve"> per cent, to more than HRK 2</w:t>
      </w:r>
      <w:r w:rsidRPr="00FB26C4">
        <w:rPr>
          <w:rFonts w:asciiTheme="minorHAnsi" w:hAnsiTheme="minorHAnsi" w:cstheme="minorHAnsi"/>
          <w:lang w:val="en-GB"/>
        </w:rPr>
        <w:t>80</w:t>
      </w:r>
      <w:r w:rsidR="00424A3D" w:rsidRPr="00FB26C4">
        <w:rPr>
          <w:rFonts w:asciiTheme="minorHAnsi" w:hAnsiTheme="minorHAnsi" w:cstheme="minorHAnsi"/>
          <w:lang w:val="en-GB"/>
        </w:rPr>
        <w:t xml:space="preserve"> </w:t>
      </w:r>
      <w:r w:rsidRPr="00FB26C4">
        <w:rPr>
          <w:rFonts w:asciiTheme="minorHAnsi" w:hAnsiTheme="minorHAnsi" w:cstheme="minorHAnsi"/>
          <w:lang w:val="en-GB"/>
        </w:rPr>
        <w:t>m</w:t>
      </w:r>
      <w:r w:rsidR="00424A3D" w:rsidRPr="00FB26C4">
        <w:rPr>
          <w:rFonts w:asciiTheme="minorHAnsi" w:hAnsiTheme="minorHAnsi" w:cstheme="minorHAnsi"/>
          <w:lang w:val="en-GB"/>
        </w:rPr>
        <w:t>illion</w:t>
      </w:r>
    </w:p>
    <w:p w:rsidR="00AB477D" w:rsidRPr="00FB26C4" w:rsidRDefault="00AB477D" w:rsidP="00AB477D">
      <w:pPr>
        <w:numPr>
          <w:ilvl w:val="0"/>
          <w:numId w:val="3"/>
        </w:numPr>
        <w:spacing w:line="360" w:lineRule="auto"/>
        <w:jc w:val="both"/>
        <w:rPr>
          <w:rFonts w:asciiTheme="minorHAnsi" w:hAnsiTheme="minorHAnsi" w:cstheme="minorHAnsi"/>
          <w:lang w:val="en-GB"/>
        </w:rPr>
      </w:pPr>
      <w:r w:rsidRPr="00FB26C4">
        <w:rPr>
          <w:rFonts w:asciiTheme="minorHAnsi" w:hAnsiTheme="minorHAnsi" w:cstheme="minorHAnsi"/>
          <w:lang w:val="en-GB"/>
        </w:rPr>
        <w:t>Oil production increased on existing</w:t>
      </w:r>
      <w:r>
        <w:rPr>
          <w:rFonts w:asciiTheme="minorHAnsi" w:hAnsiTheme="minorHAnsi" w:cstheme="minorHAnsi"/>
          <w:lang w:val="en-GB"/>
        </w:rPr>
        <w:t xml:space="preserve"> </w:t>
      </w:r>
      <w:r w:rsidRPr="00FB26C4">
        <w:rPr>
          <w:rFonts w:asciiTheme="minorHAnsi" w:hAnsiTheme="minorHAnsi" w:cstheme="minorHAnsi"/>
          <w:lang w:val="en-GB"/>
        </w:rPr>
        <w:t>fields</w:t>
      </w:r>
      <w:r>
        <w:rPr>
          <w:rFonts w:asciiTheme="minorHAnsi" w:hAnsiTheme="minorHAnsi" w:cstheme="minorHAnsi"/>
          <w:lang w:val="en-GB"/>
        </w:rPr>
        <w:t xml:space="preserve"> in Croatia</w:t>
      </w:r>
    </w:p>
    <w:p w:rsidR="0015570E" w:rsidRPr="00FB26C4" w:rsidRDefault="0015570E" w:rsidP="0015570E">
      <w:pPr>
        <w:numPr>
          <w:ilvl w:val="0"/>
          <w:numId w:val="3"/>
        </w:numPr>
        <w:spacing w:line="360" w:lineRule="auto"/>
        <w:jc w:val="both"/>
        <w:rPr>
          <w:rFonts w:asciiTheme="minorHAnsi" w:hAnsiTheme="minorHAnsi" w:cstheme="minorHAnsi"/>
          <w:lang w:val="en-GB"/>
        </w:rPr>
      </w:pPr>
      <w:r w:rsidRPr="00FB26C4">
        <w:rPr>
          <w:rFonts w:asciiTheme="minorHAnsi" w:hAnsiTheme="minorHAnsi" w:cstheme="minorHAnsi"/>
          <w:lang w:val="en-GB"/>
        </w:rPr>
        <w:t>Lower gearing, decreasing from 30.</w:t>
      </w:r>
      <w:r w:rsidR="003A2278" w:rsidRPr="00FB26C4">
        <w:rPr>
          <w:rFonts w:asciiTheme="minorHAnsi" w:hAnsiTheme="minorHAnsi" w:cstheme="minorHAnsi"/>
          <w:lang w:val="en-GB"/>
        </w:rPr>
        <w:t>6% to 26</w:t>
      </w:r>
      <w:r w:rsidR="00BD30CE">
        <w:rPr>
          <w:rFonts w:asciiTheme="minorHAnsi" w:hAnsiTheme="minorHAnsi" w:cstheme="minorHAnsi"/>
          <w:lang w:val="en-GB"/>
        </w:rPr>
        <w:t>.</w:t>
      </w:r>
      <w:r w:rsidR="003A2278" w:rsidRPr="00FB26C4">
        <w:rPr>
          <w:rFonts w:asciiTheme="minorHAnsi" w:hAnsiTheme="minorHAnsi" w:cstheme="minorHAnsi"/>
          <w:lang w:val="en-GB"/>
        </w:rPr>
        <w:t>2</w:t>
      </w:r>
      <w:r w:rsidRPr="00FB26C4">
        <w:rPr>
          <w:rFonts w:asciiTheme="minorHAnsi" w:hAnsiTheme="minorHAnsi" w:cstheme="minorHAnsi"/>
          <w:lang w:val="en-GB"/>
        </w:rPr>
        <w:t xml:space="preserve">%  </w:t>
      </w:r>
    </w:p>
    <w:p w:rsidR="001949E9" w:rsidRPr="00FB26C4" w:rsidRDefault="003A2278" w:rsidP="002C7C12">
      <w:pPr>
        <w:numPr>
          <w:ilvl w:val="0"/>
          <w:numId w:val="3"/>
        </w:numPr>
        <w:spacing w:line="360" w:lineRule="auto"/>
        <w:jc w:val="both"/>
        <w:rPr>
          <w:rFonts w:asciiTheme="minorHAnsi" w:hAnsiTheme="minorHAnsi" w:cstheme="minorHAnsi"/>
          <w:lang w:val="en-GB"/>
        </w:rPr>
      </w:pPr>
      <w:r w:rsidRPr="00FB26C4">
        <w:rPr>
          <w:rFonts w:asciiTheme="minorHAnsi" w:hAnsiTheme="minorHAnsi" w:cstheme="minorHAnsi"/>
          <w:lang w:val="en-GB"/>
        </w:rPr>
        <w:t>O</w:t>
      </w:r>
      <w:r w:rsidR="001949E9" w:rsidRPr="00FB26C4">
        <w:rPr>
          <w:rFonts w:asciiTheme="minorHAnsi" w:hAnsiTheme="minorHAnsi" w:cstheme="minorHAnsi"/>
          <w:lang w:val="en-GB"/>
        </w:rPr>
        <w:t xml:space="preserve">perating cash flow </w:t>
      </w:r>
      <w:r w:rsidRPr="00FB26C4">
        <w:rPr>
          <w:rFonts w:asciiTheme="minorHAnsi" w:hAnsiTheme="minorHAnsi" w:cstheme="minorHAnsi"/>
          <w:lang w:val="en-GB"/>
        </w:rPr>
        <w:t>still strong</w:t>
      </w:r>
    </w:p>
    <w:p w:rsidR="003A2278" w:rsidRPr="00FB26C4" w:rsidRDefault="003A2278" w:rsidP="002C7C12">
      <w:pPr>
        <w:numPr>
          <w:ilvl w:val="0"/>
          <w:numId w:val="3"/>
        </w:numPr>
        <w:spacing w:line="360" w:lineRule="auto"/>
        <w:jc w:val="both"/>
        <w:rPr>
          <w:rFonts w:asciiTheme="minorHAnsi" w:hAnsiTheme="minorHAnsi" w:cstheme="minorHAnsi"/>
          <w:lang w:val="en-GB"/>
        </w:rPr>
      </w:pPr>
      <w:r w:rsidRPr="00FB26C4">
        <w:rPr>
          <w:rFonts w:asciiTheme="minorHAnsi" w:hAnsiTheme="minorHAnsi" w:cstheme="minorHAnsi"/>
          <w:lang w:val="en-GB"/>
        </w:rPr>
        <w:t>Diesel share in sales increased</w:t>
      </w:r>
    </w:p>
    <w:p w:rsidR="00E735BD" w:rsidRPr="00FB26C4" w:rsidRDefault="00E735BD" w:rsidP="0030681C">
      <w:pPr>
        <w:jc w:val="both"/>
        <w:rPr>
          <w:rFonts w:asciiTheme="minorHAnsi" w:hAnsiTheme="minorHAnsi" w:cstheme="minorHAnsi"/>
          <w:b/>
          <w:lang w:val="en-GB"/>
        </w:rPr>
      </w:pPr>
    </w:p>
    <w:p w:rsidR="00D54182" w:rsidRPr="00FB26C4" w:rsidRDefault="0030681C" w:rsidP="00D54182">
      <w:pPr>
        <w:jc w:val="both"/>
        <w:rPr>
          <w:rFonts w:asciiTheme="minorHAnsi" w:hAnsiTheme="minorHAnsi" w:cstheme="minorHAnsi"/>
          <w:b/>
          <w:lang w:val="en-GB"/>
        </w:rPr>
      </w:pPr>
      <w:r w:rsidRPr="00FB26C4">
        <w:rPr>
          <w:rFonts w:asciiTheme="minorHAnsi" w:hAnsiTheme="minorHAnsi" w:cstheme="minorHAnsi"/>
          <w:b/>
          <w:lang w:val="en-GB"/>
        </w:rPr>
        <w:t xml:space="preserve">Zagreb, </w:t>
      </w:r>
      <w:r w:rsidR="003A2278" w:rsidRPr="00FB26C4">
        <w:rPr>
          <w:rFonts w:asciiTheme="minorHAnsi" w:hAnsiTheme="minorHAnsi" w:cstheme="minorHAnsi"/>
          <w:b/>
          <w:lang w:val="en-GB"/>
        </w:rPr>
        <w:t>30 April</w:t>
      </w:r>
      <w:r w:rsidR="002C461D" w:rsidRPr="00FB26C4">
        <w:rPr>
          <w:rFonts w:asciiTheme="minorHAnsi" w:hAnsiTheme="minorHAnsi" w:cstheme="minorHAnsi"/>
          <w:b/>
          <w:lang w:val="en-GB"/>
        </w:rPr>
        <w:t xml:space="preserve"> 201</w:t>
      </w:r>
      <w:r w:rsidR="00E735BD" w:rsidRPr="00FB26C4">
        <w:rPr>
          <w:rFonts w:asciiTheme="minorHAnsi" w:hAnsiTheme="minorHAnsi" w:cstheme="minorHAnsi"/>
          <w:b/>
          <w:lang w:val="en-GB"/>
        </w:rPr>
        <w:t>4</w:t>
      </w:r>
      <w:r w:rsidRPr="00FB26C4">
        <w:rPr>
          <w:rFonts w:asciiTheme="minorHAnsi" w:hAnsiTheme="minorHAnsi" w:cstheme="minorHAnsi"/>
          <w:b/>
          <w:lang w:val="en-GB"/>
        </w:rPr>
        <w:t xml:space="preserve"> </w:t>
      </w:r>
      <w:r w:rsidR="00276338" w:rsidRPr="00FB26C4">
        <w:rPr>
          <w:rFonts w:asciiTheme="minorHAnsi" w:hAnsiTheme="minorHAnsi" w:cstheme="minorHAnsi"/>
          <w:b/>
          <w:lang w:val="en-GB"/>
        </w:rPr>
        <w:t>–</w:t>
      </w:r>
      <w:r w:rsidR="00D54182" w:rsidRPr="00FB26C4">
        <w:rPr>
          <w:rFonts w:asciiTheme="minorHAnsi" w:hAnsiTheme="minorHAnsi" w:cstheme="minorHAnsi"/>
          <w:b/>
          <w:lang w:val="en-GB"/>
        </w:rPr>
        <w:t xml:space="preserve"> INA Group’s EBITDA</w:t>
      </w:r>
      <w:r w:rsidR="00D54182" w:rsidRPr="000112C5">
        <w:rPr>
          <w:rFonts w:asciiTheme="minorHAnsi" w:hAnsiTheme="minorHAnsi" w:cstheme="minorHAnsi"/>
          <w:vertAlign w:val="superscript"/>
          <w:lang w:val="en-GB"/>
        </w:rPr>
        <w:footnoteReference w:id="1"/>
      </w:r>
      <w:r w:rsidR="00D54182" w:rsidRPr="00FB26C4">
        <w:rPr>
          <w:rFonts w:asciiTheme="minorHAnsi" w:hAnsiTheme="minorHAnsi" w:cstheme="minorHAnsi"/>
          <w:b/>
          <w:lang w:val="en-GB"/>
        </w:rPr>
        <w:t xml:space="preserve"> for Q1 2014 amounted to HRK 831 million. At the same time net profit amounted to HRK 241 million. Operating cash flow remains strong, at HRK 452 million in Q1 2014 while </w:t>
      </w:r>
      <w:r w:rsidR="00BD30CE">
        <w:rPr>
          <w:rFonts w:asciiTheme="minorHAnsi" w:hAnsiTheme="minorHAnsi" w:cstheme="minorHAnsi"/>
          <w:b/>
          <w:lang w:val="en-GB"/>
        </w:rPr>
        <w:t xml:space="preserve">the </w:t>
      </w:r>
      <w:r w:rsidR="00D54182" w:rsidRPr="00FB26C4">
        <w:rPr>
          <w:rFonts w:asciiTheme="minorHAnsi" w:hAnsiTheme="minorHAnsi" w:cstheme="minorHAnsi"/>
          <w:b/>
          <w:lang w:val="en-GB"/>
        </w:rPr>
        <w:t>Group’s financial position improved further as gearing</w:t>
      </w:r>
      <w:r w:rsidR="000112C5" w:rsidRPr="000112C5">
        <w:rPr>
          <w:rStyle w:val="FootnoteReference"/>
          <w:rFonts w:asciiTheme="minorHAnsi" w:hAnsiTheme="minorHAnsi" w:cstheme="minorHAnsi"/>
          <w:lang w:val="en-GB"/>
        </w:rPr>
        <w:footnoteReference w:id="2"/>
      </w:r>
      <w:r w:rsidR="00D54182" w:rsidRPr="00FB26C4">
        <w:rPr>
          <w:rFonts w:asciiTheme="minorHAnsi" w:hAnsiTheme="minorHAnsi" w:cstheme="minorHAnsi"/>
          <w:b/>
          <w:lang w:val="en-GB"/>
        </w:rPr>
        <w:t xml:space="preserve"> level decreas</w:t>
      </w:r>
      <w:r w:rsidR="00BD30CE">
        <w:rPr>
          <w:rFonts w:asciiTheme="minorHAnsi" w:hAnsiTheme="minorHAnsi" w:cstheme="minorHAnsi"/>
          <w:b/>
          <w:lang w:val="en-GB"/>
        </w:rPr>
        <w:t>ed</w:t>
      </w:r>
      <w:r w:rsidR="00D54182" w:rsidRPr="00FB26C4">
        <w:rPr>
          <w:rFonts w:asciiTheme="minorHAnsi" w:hAnsiTheme="minorHAnsi" w:cstheme="minorHAnsi"/>
          <w:b/>
          <w:lang w:val="en-GB"/>
        </w:rPr>
        <w:t xml:space="preserve"> to 26.2% </w:t>
      </w:r>
      <w:r w:rsidR="008F0879">
        <w:rPr>
          <w:rFonts w:asciiTheme="minorHAnsi" w:hAnsiTheme="minorHAnsi" w:cstheme="minorHAnsi"/>
          <w:b/>
          <w:lang w:val="en-GB"/>
        </w:rPr>
        <w:t xml:space="preserve">in this quarter </w:t>
      </w:r>
      <w:bookmarkStart w:id="1" w:name="_GoBack"/>
      <w:bookmarkEnd w:id="1"/>
      <w:r w:rsidR="00D54182" w:rsidRPr="00FB26C4">
        <w:rPr>
          <w:rFonts w:asciiTheme="minorHAnsi" w:hAnsiTheme="minorHAnsi" w:cstheme="minorHAnsi"/>
          <w:b/>
          <w:lang w:val="en-GB"/>
        </w:rPr>
        <w:t>from 30.6% a year ago. Net debt amounted to HRK 4,687 million, 31% lower compared to the end of Q1 2013.</w:t>
      </w:r>
    </w:p>
    <w:p w:rsidR="00D54182" w:rsidRPr="00FB26C4" w:rsidRDefault="00D54182" w:rsidP="00D54182">
      <w:pPr>
        <w:jc w:val="both"/>
        <w:rPr>
          <w:rFonts w:asciiTheme="minorHAnsi" w:hAnsiTheme="minorHAnsi" w:cstheme="minorHAnsi"/>
          <w:lang w:val="en-GB"/>
        </w:rPr>
      </w:pPr>
    </w:p>
    <w:p w:rsidR="00D54182" w:rsidRPr="00FB26C4" w:rsidRDefault="00D54182" w:rsidP="00D54182">
      <w:pPr>
        <w:spacing w:before="120" w:after="120"/>
        <w:jc w:val="both"/>
        <w:rPr>
          <w:rFonts w:asciiTheme="minorHAnsi" w:hAnsiTheme="minorHAnsi" w:cstheme="minorHAnsi"/>
          <w:lang w:val="en-GB"/>
        </w:rPr>
      </w:pPr>
      <w:r w:rsidRPr="00FB26C4">
        <w:rPr>
          <w:rFonts w:asciiTheme="minorHAnsi" w:hAnsiTheme="minorHAnsi" w:cstheme="minorHAnsi"/>
          <w:lang w:val="en-GB"/>
        </w:rPr>
        <w:t>Capital expenditures in Q1 2014 increased significantly by 72% compared to Q1 2013, amounting to HRK 280 million</w:t>
      </w:r>
      <w:r w:rsidR="00E964A0">
        <w:rPr>
          <w:rFonts w:asciiTheme="minorHAnsi" w:hAnsiTheme="minorHAnsi" w:cstheme="minorHAnsi"/>
          <w:lang w:val="en-GB"/>
        </w:rPr>
        <w:t>. T</w:t>
      </w:r>
      <w:r w:rsidR="00AB477D">
        <w:rPr>
          <w:rFonts w:asciiTheme="minorHAnsi" w:hAnsiTheme="minorHAnsi" w:cstheme="minorHAnsi"/>
          <w:lang w:val="en-GB"/>
        </w:rPr>
        <w:t>he predominant part</w:t>
      </w:r>
      <w:r w:rsidRPr="00FB26C4">
        <w:rPr>
          <w:rFonts w:asciiTheme="minorHAnsi" w:hAnsiTheme="minorHAnsi" w:cstheme="minorHAnsi"/>
          <w:lang w:val="en-GB"/>
        </w:rPr>
        <w:t>, HRK 20</w:t>
      </w:r>
      <w:r w:rsidR="00CC3E7F">
        <w:rPr>
          <w:rFonts w:asciiTheme="minorHAnsi" w:hAnsiTheme="minorHAnsi" w:cstheme="minorHAnsi"/>
          <w:lang w:val="en-GB"/>
        </w:rPr>
        <w:t>3</w:t>
      </w:r>
      <w:r w:rsidRPr="00FB26C4">
        <w:rPr>
          <w:rFonts w:asciiTheme="minorHAnsi" w:hAnsiTheme="minorHAnsi" w:cstheme="minorHAnsi"/>
          <w:lang w:val="en-GB"/>
        </w:rPr>
        <w:t xml:space="preserve"> million, </w:t>
      </w:r>
      <w:r w:rsidR="00E964A0">
        <w:rPr>
          <w:rFonts w:asciiTheme="minorHAnsi" w:hAnsiTheme="minorHAnsi" w:cstheme="minorHAnsi"/>
          <w:lang w:val="en-GB"/>
        </w:rPr>
        <w:t xml:space="preserve">was </w:t>
      </w:r>
      <w:r w:rsidRPr="00FB26C4">
        <w:rPr>
          <w:rFonts w:asciiTheme="minorHAnsi" w:hAnsiTheme="minorHAnsi" w:cstheme="minorHAnsi"/>
          <w:lang w:val="en-GB"/>
        </w:rPr>
        <w:t xml:space="preserve">invested </w:t>
      </w:r>
      <w:r w:rsidR="00E964A0" w:rsidRPr="00FB26C4">
        <w:rPr>
          <w:rFonts w:asciiTheme="minorHAnsi" w:hAnsiTheme="minorHAnsi" w:cstheme="minorHAnsi"/>
          <w:lang w:val="en-GB"/>
        </w:rPr>
        <w:t xml:space="preserve">in the </w:t>
      </w:r>
      <w:proofErr w:type="gramStart"/>
      <w:r w:rsidR="00E964A0" w:rsidRPr="00FB26C4">
        <w:rPr>
          <w:rFonts w:asciiTheme="minorHAnsi" w:hAnsiTheme="minorHAnsi" w:cstheme="minorHAnsi"/>
          <w:lang w:val="en-GB"/>
        </w:rPr>
        <w:t>Upstream</w:t>
      </w:r>
      <w:proofErr w:type="gramEnd"/>
      <w:r w:rsidR="00E964A0" w:rsidRPr="00FB26C4">
        <w:rPr>
          <w:rFonts w:asciiTheme="minorHAnsi" w:hAnsiTheme="minorHAnsi" w:cstheme="minorHAnsi"/>
          <w:lang w:val="en-GB"/>
        </w:rPr>
        <w:t xml:space="preserve"> segment in </w:t>
      </w:r>
      <w:r w:rsidRPr="00FB26C4">
        <w:rPr>
          <w:rFonts w:asciiTheme="minorHAnsi" w:hAnsiTheme="minorHAnsi" w:cstheme="minorHAnsi"/>
          <w:lang w:val="en-GB"/>
        </w:rPr>
        <w:t xml:space="preserve">Croatia. </w:t>
      </w:r>
    </w:p>
    <w:p w:rsidR="00D54182" w:rsidRPr="00FB26C4" w:rsidRDefault="00D54182" w:rsidP="00D54182">
      <w:pPr>
        <w:jc w:val="both"/>
        <w:rPr>
          <w:rFonts w:asciiTheme="minorHAnsi" w:hAnsiTheme="minorHAnsi" w:cstheme="minorHAnsi"/>
          <w:lang w:val="en-GB"/>
        </w:rPr>
      </w:pPr>
      <w:r w:rsidRPr="00FB26C4">
        <w:rPr>
          <w:rFonts w:asciiTheme="minorHAnsi" w:hAnsiTheme="minorHAnsi" w:cstheme="minorHAnsi"/>
          <w:lang w:val="en-GB"/>
        </w:rPr>
        <w:t>In Upstream</w:t>
      </w:r>
      <w:r w:rsidR="00AB477D">
        <w:rPr>
          <w:rFonts w:asciiTheme="minorHAnsi" w:hAnsiTheme="minorHAnsi" w:cstheme="minorHAnsi"/>
          <w:lang w:val="en-GB"/>
        </w:rPr>
        <w:t>,</w:t>
      </w:r>
      <w:r w:rsidRPr="00FB26C4">
        <w:rPr>
          <w:rFonts w:asciiTheme="minorHAnsi" w:hAnsiTheme="minorHAnsi" w:cstheme="minorHAnsi"/>
          <w:lang w:val="en-GB"/>
        </w:rPr>
        <w:t xml:space="preserve"> INA managed for the first time in the last ten years to increase crude oil production from existing fields </w:t>
      </w:r>
      <w:r w:rsidR="00AB477D">
        <w:rPr>
          <w:rFonts w:asciiTheme="minorHAnsi" w:hAnsiTheme="minorHAnsi" w:cstheme="minorHAnsi"/>
          <w:lang w:val="en-GB"/>
        </w:rPr>
        <w:t xml:space="preserve">in Croatia </w:t>
      </w:r>
      <w:r w:rsidRPr="00FB26C4">
        <w:rPr>
          <w:rFonts w:asciiTheme="minorHAnsi" w:hAnsiTheme="minorHAnsi" w:cstheme="minorHAnsi"/>
          <w:lang w:val="en-GB"/>
        </w:rPr>
        <w:t xml:space="preserve">compared to the same quarter </w:t>
      </w:r>
      <w:r w:rsidR="00AB477D">
        <w:rPr>
          <w:rFonts w:asciiTheme="minorHAnsi" w:hAnsiTheme="minorHAnsi" w:cstheme="minorHAnsi"/>
          <w:lang w:val="en-GB"/>
        </w:rPr>
        <w:t xml:space="preserve">in </w:t>
      </w:r>
      <w:r w:rsidRPr="00FB26C4">
        <w:rPr>
          <w:rFonts w:asciiTheme="minorHAnsi" w:hAnsiTheme="minorHAnsi" w:cstheme="minorHAnsi"/>
          <w:lang w:val="en-GB"/>
        </w:rPr>
        <w:t>the previous year by 3%</w:t>
      </w:r>
      <w:r w:rsidR="009F5861">
        <w:rPr>
          <w:rFonts w:asciiTheme="minorHAnsi" w:hAnsiTheme="minorHAnsi" w:cstheme="minorHAnsi"/>
          <w:lang w:val="en-GB"/>
        </w:rPr>
        <w:t>. This is</w:t>
      </w:r>
      <w:r w:rsidRPr="00FB26C4">
        <w:rPr>
          <w:rFonts w:asciiTheme="minorHAnsi" w:hAnsiTheme="minorHAnsi" w:cstheme="minorHAnsi"/>
          <w:lang w:val="en-GB"/>
        </w:rPr>
        <w:t xml:space="preserve"> </w:t>
      </w:r>
      <w:r w:rsidR="00AB477D">
        <w:rPr>
          <w:rFonts w:asciiTheme="minorHAnsi" w:hAnsiTheme="minorHAnsi" w:cstheme="minorHAnsi"/>
          <w:lang w:val="en-GB"/>
        </w:rPr>
        <w:t>the</w:t>
      </w:r>
      <w:r w:rsidRPr="00FB26C4">
        <w:rPr>
          <w:rFonts w:asciiTheme="minorHAnsi" w:hAnsiTheme="minorHAnsi" w:cstheme="minorHAnsi"/>
          <w:lang w:val="en-GB"/>
        </w:rPr>
        <w:t xml:space="preserve"> result of an intensive well </w:t>
      </w:r>
      <w:proofErr w:type="spellStart"/>
      <w:r w:rsidRPr="00FB26C4">
        <w:rPr>
          <w:rFonts w:asciiTheme="minorHAnsi" w:hAnsiTheme="minorHAnsi" w:cstheme="minorHAnsi"/>
          <w:lang w:val="en-GB"/>
        </w:rPr>
        <w:t>workover</w:t>
      </w:r>
      <w:proofErr w:type="spellEnd"/>
      <w:r w:rsidRPr="00FB26C4">
        <w:rPr>
          <w:rFonts w:asciiTheme="minorHAnsi" w:hAnsiTheme="minorHAnsi" w:cstheme="minorHAnsi"/>
          <w:lang w:val="en-GB"/>
        </w:rPr>
        <w:t xml:space="preserve"> program launched late last year. This way the natural production decline trend of these fields, which INA has successfully mitigated already in the past 3-4 years, is temporarily reversed. Our similar efforts were also visible in onshore gas production, limiting the natural decline to a very low 1% against Q1 2013, while offshore gas production seems</w:t>
      </w:r>
      <w:r w:rsidR="00AB477D">
        <w:rPr>
          <w:rFonts w:asciiTheme="minorHAnsi" w:hAnsiTheme="minorHAnsi" w:cstheme="minorHAnsi"/>
          <w:lang w:val="en-GB"/>
        </w:rPr>
        <w:t xml:space="preserve"> to be</w:t>
      </w:r>
      <w:r w:rsidRPr="00FB26C4">
        <w:rPr>
          <w:rFonts w:asciiTheme="minorHAnsi" w:hAnsiTheme="minorHAnsi" w:cstheme="minorHAnsi"/>
          <w:lang w:val="en-GB"/>
        </w:rPr>
        <w:t xml:space="preserve"> stabilizing. </w:t>
      </w:r>
    </w:p>
    <w:p w:rsidR="00D54182" w:rsidRPr="00FB26C4" w:rsidRDefault="00D54182" w:rsidP="00D54182">
      <w:pPr>
        <w:jc w:val="both"/>
        <w:rPr>
          <w:rFonts w:asciiTheme="minorHAnsi" w:hAnsiTheme="minorHAnsi" w:cstheme="minorHAnsi"/>
          <w:lang w:val="en-GB"/>
        </w:rPr>
      </w:pPr>
    </w:p>
    <w:p w:rsidR="00D54182" w:rsidRPr="00FB26C4" w:rsidRDefault="00D54182" w:rsidP="00A07CA6">
      <w:pPr>
        <w:jc w:val="both"/>
        <w:rPr>
          <w:rFonts w:asciiTheme="minorHAnsi" w:hAnsiTheme="minorHAnsi" w:cstheme="minorHAnsi"/>
          <w:lang w:val="en-GB"/>
        </w:rPr>
      </w:pPr>
      <w:r w:rsidRPr="00FB26C4">
        <w:rPr>
          <w:rFonts w:asciiTheme="minorHAnsi" w:hAnsiTheme="minorHAnsi" w:cstheme="minorHAnsi"/>
          <w:lang w:val="en-GB"/>
        </w:rPr>
        <w:t xml:space="preserve">Refinery operations are still burdened by the unfavourable external environment, with 27% and 32% lower average crack spread </w:t>
      </w:r>
      <w:r w:rsidR="000112C5">
        <w:rPr>
          <w:rFonts w:asciiTheme="minorHAnsi" w:hAnsiTheme="minorHAnsi" w:cstheme="minorHAnsi"/>
          <w:lang w:val="en-GB"/>
        </w:rPr>
        <w:t>quarter on quarter and year on year</w:t>
      </w:r>
      <w:r w:rsidRPr="00FB26C4">
        <w:rPr>
          <w:rFonts w:asciiTheme="minorHAnsi" w:hAnsiTheme="minorHAnsi" w:cstheme="minorHAnsi"/>
          <w:lang w:val="en-GB"/>
        </w:rPr>
        <w:t>, respectively. Despite that,</w:t>
      </w:r>
      <w:r w:rsidR="00A07CA6" w:rsidRPr="00FB26C4">
        <w:rPr>
          <w:rFonts w:asciiTheme="minorHAnsi" w:hAnsiTheme="minorHAnsi" w:cstheme="minorHAnsi"/>
          <w:lang w:val="en-GB"/>
        </w:rPr>
        <w:t xml:space="preserve"> sales </w:t>
      </w:r>
      <w:r w:rsidR="000112C5" w:rsidRPr="00FB26C4">
        <w:rPr>
          <w:rFonts w:asciiTheme="minorHAnsi" w:hAnsiTheme="minorHAnsi" w:cstheme="minorHAnsi"/>
          <w:lang w:val="en-GB"/>
        </w:rPr>
        <w:t>structure</w:t>
      </w:r>
      <w:r w:rsidR="00A07CA6" w:rsidRPr="00FB26C4">
        <w:rPr>
          <w:rFonts w:asciiTheme="minorHAnsi" w:hAnsiTheme="minorHAnsi" w:cstheme="minorHAnsi"/>
          <w:lang w:val="en-GB"/>
        </w:rPr>
        <w:t xml:space="preserve"> improved with higher diesel share. INA m</w:t>
      </w:r>
      <w:r w:rsidRPr="00FB26C4">
        <w:rPr>
          <w:rFonts w:asciiTheme="minorHAnsi" w:hAnsiTheme="minorHAnsi" w:cstheme="minorHAnsi"/>
          <w:lang w:val="en-GB"/>
        </w:rPr>
        <w:t xml:space="preserve">aintained its strong retail </w:t>
      </w:r>
      <w:r w:rsidR="00A07CA6" w:rsidRPr="00FB26C4">
        <w:rPr>
          <w:rFonts w:asciiTheme="minorHAnsi" w:hAnsiTheme="minorHAnsi" w:cstheme="minorHAnsi"/>
          <w:lang w:val="en-GB"/>
        </w:rPr>
        <w:t xml:space="preserve">and wholesale </w:t>
      </w:r>
      <w:r w:rsidRPr="00FB26C4">
        <w:rPr>
          <w:rFonts w:asciiTheme="minorHAnsi" w:hAnsiTheme="minorHAnsi" w:cstheme="minorHAnsi"/>
          <w:lang w:val="en-GB"/>
        </w:rPr>
        <w:t xml:space="preserve">position </w:t>
      </w:r>
      <w:r w:rsidR="009F5861">
        <w:rPr>
          <w:rFonts w:asciiTheme="minorHAnsi" w:hAnsiTheme="minorHAnsi" w:cstheme="minorHAnsi"/>
          <w:lang w:val="en-GB"/>
        </w:rPr>
        <w:t xml:space="preserve">in Croatia and </w:t>
      </w:r>
      <w:r w:rsidRPr="00FB26C4">
        <w:rPr>
          <w:rFonts w:asciiTheme="minorHAnsi" w:hAnsiTheme="minorHAnsi" w:cstheme="minorHAnsi"/>
          <w:lang w:val="en-GB"/>
        </w:rPr>
        <w:t xml:space="preserve">continued </w:t>
      </w:r>
      <w:r w:rsidR="00AB477D">
        <w:rPr>
          <w:rFonts w:asciiTheme="minorHAnsi" w:hAnsiTheme="minorHAnsi" w:cstheme="minorHAnsi"/>
          <w:lang w:val="en-GB"/>
        </w:rPr>
        <w:t xml:space="preserve">to </w:t>
      </w:r>
      <w:r w:rsidRPr="00FB26C4">
        <w:rPr>
          <w:rFonts w:asciiTheme="minorHAnsi" w:hAnsiTheme="minorHAnsi" w:cstheme="minorHAnsi"/>
          <w:lang w:val="en-GB"/>
        </w:rPr>
        <w:t>increas</w:t>
      </w:r>
      <w:r w:rsidR="00AB477D">
        <w:rPr>
          <w:rFonts w:asciiTheme="minorHAnsi" w:hAnsiTheme="minorHAnsi" w:cstheme="minorHAnsi"/>
          <w:lang w:val="en-GB"/>
        </w:rPr>
        <w:t>e</w:t>
      </w:r>
      <w:r w:rsidRPr="00FB26C4">
        <w:rPr>
          <w:rFonts w:asciiTheme="minorHAnsi" w:hAnsiTheme="minorHAnsi" w:cstheme="minorHAnsi"/>
          <w:lang w:val="en-GB"/>
        </w:rPr>
        <w:t xml:space="preserve"> in Bosnia</w:t>
      </w:r>
      <w:r w:rsidR="00A07CA6" w:rsidRPr="00FB26C4">
        <w:rPr>
          <w:rFonts w:asciiTheme="minorHAnsi" w:hAnsiTheme="minorHAnsi" w:cstheme="minorHAnsi"/>
          <w:lang w:val="en-GB"/>
        </w:rPr>
        <w:t xml:space="preserve"> and </w:t>
      </w:r>
      <w:r w:rsidR="000112C5" w:rsidRPr="00FB26C4">
        <w:rPr>
          <w:rFonts w:asciiTheme="minorHAnsi" w:hAnsiTheme="minorHAnsi" w:cstheme="minorHAnsi"/>
          <w:lang w:val="en-GB"/>
        </w:rPr>
        <w:t>Herzegovina</w:t>
      </w:r>
      <w:r w:rsidRPr="00FB26C4">
        <w:rPr>
          <w:rFonts w:asciiTheme="minorHAnsi" w:hAnsiTheme="minorHAnsi" w:cstheme="minorHAnsi"/>
          <w:lang w:val="en-GB"/>
        </w:rPr>
        <w:t>.</w:t>
      </w:r>
    </w:p>
    <w:p w:rsidR="00D54182" w:rsidRPr="00FB26C4" w:rsidRDefault="00D54182" w:rsidP="00D54182">
      <w:pPr>
        <w:jc w:val="both"/>
        <w:rPr>
          <w:rFonts w:asciiTheme="minorHAnsi" w:hAnsiTheme="minorHAnsi" w:cstheme="minorHAnsi"/>
          <w:lang w:val="en-GB"/>
        </w:rPr>
      </w:pPr>
    </w:p>
    <w:p w:rsidR="00D54182" w:rsidRPr="00FB26C4" w:rsidRDefault="00D54182" w:rsidP="00D54182">
      <w:pPr>
        <w:jc w:val="both"/>
        <w:rPr>
          <w:rFonts w:asciiTheme="minorHAnsi" w:hAnsiTheme="minorHAnsi" w:cstheme="minorHAnsi"/>
          <w:lang w:val="en-GB"/>
        </w:rPr>
      </w:pPr>
      <w:r w:rsidRPr="00FB26C4">
        <w:rPr>
          <w:rFonts w:asciiTheme="minorHAnsi" w:hAnsiTheme="minorHAnsi" w:cstheme="minorHAnsi"/>
          <w:lang w:val="en-GB"/>
        </w:rPr>
        <w:t xml:space="preserve">The decrease of sales revenues by 22% compared to Q1 2013 is largely due to accommodating our natural gas sales to close to the level of our domestic production, with </w:t>
      </w:r>
      <w:r w:rsidR="00A07CA6" w:rsidRPr="00FB26C4">
        <w:rPr>
          <w:rFonts w:asciiTheme="minorHAnsi" w:hAnsiTheme="minorHAnsi" w:cstheme="minorHAnsi"/>
          <w:lang w:val="en-GB"/>
        </w:rPr>
        <w:t>decreased</w:t>
      </w:r>
      <w:r w:rsidRPr="00FB26C4">
        <w:rPr>
          <w:rFonts w:asciiTheme="minorHAnsi" w:hAnsiTheme="minorHAnsi" w:cstheme="minorHAnsi"/>
          <w:lang w:val="en-GB"/>
        </w:rPr>
        <w:t xml:space="preserve"> import</w:t>
      </w:r>
      <w:r w:rsidR="00A07CA6" w:rsidRPr="00FB26C4">
        <w:rPr>
          <w:rFonts w:asciiTheme="minorHAnsi" w:hAnsiTheme="minorHAnsi" w:cstheme="minorHAnsi"/>
          <w:lang w:val="en-GB"/>
        </w:rPr>
        <w:t>. Also,</w:t>
      </w:r>
      <w:r w:rsidRPr="00FB26C4">
        <w:rPr>
          <w:rFonts w:asciiTheme="minorHAnsi" w:hAnsiTheme="minorHAnsi" w:cstheme="minorHAnsi"/>
          <w:lang w:val="en-GB"/>
        </w:rPr>
        <w:t xml:space="preserve"> refinery utilization and refined product sales </w:t>
      </w:r>
      <w:r w:rsidR="00A07CA6" w:rsidRPr="00FB26C4">
        <w:rPr>
          <w:rFonts w:asciiTheme="minorHAnsi" w:hAnsiTheme="minorHAnsi" w:cstheme="minorHAnsi"/>
          <w:lang w:val="en-GB"/>
        </w:rPr>
        <w:t xml:space="preserve">were adapted </w:t>
      </w:r>
      <w:r w:rsidRPr="00FB26C4">
        <w:rPr>
          <w:rFonts w:asciiTheme="minorHAnsi" w:hAnsiTheme="minorHAnsi" w:cstheme="minorHAnsi"/>
          <w:lang w:val="en-GB"/>
        </w:rPr>
        <w:t xml:space="preserve">to </w:t>
      </w:r>
      <w:r w:rsidR="00A07CA6" w:rsidRPr="00FB26C4">
        <w:rPr>
          <w:rFonts w:asciiTheme="minorHAnsi" w:hAnsiTheme="minorHAnsi" w:cstheme="minorHAnsi"/>
          <w:lang w:val="en-GB"/>
        </w:rPr>
        <w:t xml:space="preserve">market circumstances (i.e. </w:t>
      </w:r>
      <w:r w:rsidRPr="00FB26C4">
        <w:rPr>
          <w:rFonts w:asciiTheme="minorHAnsi" w:hAnsiTheme="minorHAnsi" w:cstheme="minorHAnsi"/>
          <w:lang w:val="en-GB"/>
        </w:rPr>
        <w:t>less available profitable export sales opportunities</w:t>
      </w:r>
      <w:r w:rsidR="00A07CA6" w:rsidRPr="00FB26C4">
        <w:rPr>
          <w:rFonts w:asciiTheme="minorHAnsi" w:hAnsiTheme="minorHAnsi" w:cstheme="minorHAnsi"/>
          <w:lang w:val="en-GB"/>
        </w:rPr>
        <w:t>)</w:t>
      </w:r>
      <w:r w:rsidRPr="00FB26C4">
        <w:rPr>
          <w:rFonts w:asciiTheme="minorHAnsi" w:hAnsiTheme="minorHAnsi" w:cstheme="minorHAnsi"/>
          <w:lang w:val="en-GB"/>
        </w:rPr>
        <w:t>.</w:t>
      </w:r>
    </w:p>
    <w:p w:rsidR="00D54182" w:rsidRDefault="00D54182" w:rsidP="002F2314">
      <w:pPr>
        <w:jc w:val="both"/>
        <w:rPr>
          <w:rFonts w:asciiTheme="minorHAnsi" w:hAnsiTheme="minorHAnsi" w:cstheme="minorHAnsi"/>
          <w:lang w:val="en-GB"/>
        </w:rPr>
      </w:pPr>
    </w:p>
    <w:p w:rsidR="008F23B5" w:rsidRPr="00FB26C4" w:rsidRDefault="008F23B5" w:rsidP="002F2314">
      <w:pPr>
        <w:jc w:val="both"/>
        <w:rPr>
          <w:rFonts w:asciiTheme="minorHAnsi" w:hAnsiTheme="minorHAnsi" w:cstheme="minorHAnsi"/>
          <w:lang w:val="en-GB"/>
        </w:rPr>
      </w:pPr>
    </w:p>
    <w:p w:rsidR="00D54182" w:rsidRPr="00FB26C4" w:rsidRDefault="00D54182" w:rsidP="002F2314">
      <w:pPr>
        <w:jc w:val="both"/>
        <w:rPr>
          <w:rFonts w:asciiTheme="minorHAnsi" w:hAnsiTheme="minorHAnsi" w:cstheme="minorHAnsi"/>
          <w:lang w:val="en-GB"/>
        </w:rPr>
      </w:pPr>
    </w:p>
    <w:p w:rsidR="000112C5" w:rsidRDefault="009F5861" w:rsidP="000112C5">
      <w:pPr>
        <w:jc w:val="both"/>
        <w:rPr>
          <w:rFonts w:asciiTheme="minorHAnsi" w:hAnsiTheme="minorHAnsi" w:cstheme="minorHAnsi"/>
          <w:b/>
          <w:lang w:val="en-GB"/>
        </w:rPr>
      </w:pPr>
      <w:r w:rsidRPr="008F0879">
        <w:rPr>
          <w:rFonts w:asciiTheme="minorHAnsi" w:hAnsiTheme="minorHAnsi" w:cstheme="minorHAnsi"/>
          <w:b/>
          <w:lang w:val="en-GB"/>
        </w:rPr>
        <w:lastRenderedPageBreak/>
        <w:t>S</w:t>
      </w:r>
      <w:r w:rsidR="000112C5" w:rsidRPr="008F0879">
        <w:rPr>
          <w:rFonts w:asciiTheme="minorHAnsi" w:hAnsiTheme="minorHAnsi" w:cstheme="minorHAnsi"/>
          <w:b/>
          <w:lang w:val="en-GB"/>
        </w:rPr>
        <w:t>tatement</w:t>
      </w:r>
      <w:r w:rsidRPr="008F0879">
        <w:rPr>
          <w:rFonts w:asciiTheme="minorHAnsi" w:hAnsiTheme="minorHAnsi" w:cstheme="minorHAnsi"/>
          <w:b/>
          <w:lang w:val="en-GB"/>
        </w:rPr>
        <w:t xml:space="preserve"> by Mr </w:t>
      </w:r>
      <w:proofErr w:type="spellStart"/>
      <w:r w:rsidRPr="008F0879">
        <w:rPr>
          <w:rFonts w:asciiTheme="minorHAnsi" w:hAnsiTheme="minorHAnsi" w:cstheme="minorHAnsi"/>
          <w:b/>
          <w:lang w:val="en-GB"/>
        </w:rPr>
        <w:t>Zoltán</w:t>
      </w:r>
      <w:proofErr w:type="spellEnd"/>
      <w:r w:rsidRPr="008F0879">
        <w:rPr>
          <w:rFonts w:asciiTheme="minorHAnsi" w:hAnsiTheme="minorHAnsi" w:cstheme="minorHAnsi"/>
          <w:b/>
          <w:lang w:val="en-GB"/>
        </w:rPr>
        <w:t xml:space="preserve"> </w:t>
      </w:r>
      <w:proofErr w:type="spellStart"/>
      <w:r w:rsidRPr="008F0879">
        <w:rPr>
          <w:rFonts w:asciiTheme="minorHAnsi" w:hAnsiTheme="minorHAnsi" w:cstheme="minorHAnsi"/>
          <w:b/>
          <w:lang w:val="en-GB"/>
        </w:rPr>
        <w:t>Áldott</w:t>
      </w:r>
      <w:proofErr w:type="spellEnd"/>
      <w:r w:rsidRPr="008F0879">
        <w:rPr>
          <w:rFonts w:asciiTheme="minorHAnsi" w:hAnsiTheme="minorHAnsi" w:cstheme="minorHAnsi"/>
          <w:b/>
          <w:lang w:val="en-GB"/>
        </w:rPr>
        <w:t>, the president of the Management Board:</w:t>
      </w:r>
    </w:p>
    <w:p w:rsidR="009F5861" w:rsidRPr="008F0879" w:rsidRDefault="009F5861" w:rsidP="000112C5">
      <w:pPr>
        <w:jc w:val="both"/>
        <w:rPr>
          <w:rFonts w:asciiTheme="minorHAnsi" w:hAnsiTheme="minorHAnsi" w:cstheme="minorHAnsi"/>
          <w:b/>
          <w:lang w:val="en-GB"/>
        </w:rPr>
      </w:pPr>
    </w:p>
    <w:p w:rsidR="009F5861" w:rsidRPr="008F0879" w:rsidRDefault="009F5861" w:rsidP="008F0879">
      <w:pPr>
        <w:jc w:val="both"/>
        <w:rPr>
          <w:rFonts w:asciiTheme="minorHAnsi" w:hAnsiTheme="minorHAnsi" w:cstheme="minorHAnsi"/>
          <w:lang w:val="en-GB"/>
        </w:rPr>
      </w:pPr>
      <w:r w:rsidRPr="008F0879">
        <w:rPr>
          <w:rFonts w:asciiTheme="minorHAnsi" w:hAnsiTheme="minorHAnsi" w:cstheme="minorHAnsi"/>
          <w:lang w:val="en-GB"/>
        </w:rPr>
        <w:t xml:space="preserve">„As a result of our consolidation program that we implemented in INA over the last 4 years we managed to solidify INA’s financial position. Now, keeping the required financial prudence, our efforts have been focused on further enhancing our market position in a value-creating way and on implementing our growth projects, primarily in our upstream segment. </w:t>
      </w:r>
    </w:p>
    <w:p w:rsidR="009F5861" w:rsidRPr="008F0879" w:rsidRDefault="009F5861" w:rsidP="008F0879">
      <w:pPr>
        <w:jc w:val="both"/>
        <w:rPr>
          <w:rFonts w:asciiTheme="minorHAnsi" w:hAnsiTheme="minorHAnsi" w:cstheme="minorHAnsi"/>
          <w:lang w:val="en-GB"/>
        </w:rPr>
      </w:pPr>
      <w:r w:rsidRPr="008F0879">
        <w:rPr>
          <w:rFonts w:asciiTheme="minorHAnsi" w:hAnsiTheme="minorHAnsi" w:cstheme="minorHAnsi"/>
          <w:lang w:val="en-GB"/>
        </w:rPr>
        <w:t> </w:t>
      </w:r>
    </w:p>
    <w:p w:rsidR="009F5861" w:rsidRPr="008F0879" w:rsidRDefault="009F5861" w:rsidP="008F0879">
      <w:pPr>
        <w:jc w:val="both"/>
        <w:rPr>
          <w:rFonts w:asciiTheme="minorHAnsi" w:hAnsiTheme="minorHAnsi" w:cstheme="minorHAnsi"/>
          <w:lang w:val="en-GB"/>
        </w:rPr>
      </w:pPr>
      <w:r w:rsidRPr="008F0879">
        <w:rPr>
          <w:rFonts w:asciiTheme="minorHAnsi" w:hAnsiTheme="minorHAnsi" w:cstheme="minorHAnsi"/>
          <w:lang w:val="en-GB"/>
        </w:rPr>
        <w:t>In upstream, due to the management’s concentrated attention to compensate the natural production decline of our legacy assets, we managed to increase oil production from our existing domestic fields, an achievement unprecedented in the last decade.</w:t>
      </w:r>
    </w:p>
    <w:p w:rsidR="009F5861" w:rsidRPr="008F0879" w:rsidRDefault="009F5861" w:rsidP="008F0879">
      <w:pPr>
        <w:jc w:val="both"/>
        <w:rPr>
          <w:rFonts w:asciiTheme="minorHAnsi" w:hAnsiTheme="minorHAnsi" w:cstheme="minorHAnsi"/>
          <w:lang w:val="en-GB"/>
        </w:rPr>
      </w:pPr>
      <w:r w:rsidRPr="008F0879">
        <w:rPr>
          <w:rFonts w:asciiTheme="minorHAnsi" w:hAnsiTheme="minorHAnsi" w:cstheme="minorHAnsi"/>
          <w:lang w:val="en-GB"/>
        </w:rPr>
        <w:t>In downstream we adjusted our sales pattern even more to market needs by increasing value-added diesel sales and decreasing negative margin heavy residue sales.  </w:t>
      </w:r>
    </w:p>
    <w:p w:rsidR="009F5861" w:rsidRPr="008F0879" w:rsidRDefault="009F5861" w:rsidP="008F0879">
      <w:pPr>
        <w:jc w:val="both"/>
        <w:rPr>
          <w:rFonts w:asciiTheme="minorHAnsi" w:hAnsiTheme="minorHAnsi" w:cstheme="minorHAnsi"/>
          <w:lang w:val="en-GB"/>
        </w:rPr>
      </w:pPr>
      <w:r w:rsidRPr="008F0879">
        <w:rPr>
          <w:rFonts w:asciiTheme="minorHAnsi" w:hAnsiTheme="minorHAnsi" w:cstheme="minorHAnsi"/>
          <w:lang w:val="en-GB"/>
        </w:rPr>
        <w:t> </w:t>
      </w:r>
    </w:p>
    <w:p w:rsidR="009F5861" w:rsidRPr="008F0879" w:rsidRDefault="009F5861" w:rsidP="008F0879">
      <w:pPr>
        <w:jc w:val="both"/>
        <w:rPr>
          <w:rFonts w:asciiTheme="minorHAnsi" w:hAnsiTheme="minorHAnsi" w:cstheme="minorHAnsi"/>
          <w:lang w:val="en-GB"/>
        </w:rPr>
      </w:pPr>
      <w:r w:rsidRPr="008F0879">
        <w:rPr>
          <w:rFonts w:asciiTheme="minorHAnsi" w:hAnsiTheme="minorHAnsi" w:cstheme="minorHAnsi"/>
          <w:lang w:val="en-GB"/>
        </w:rPr>
        <w:t xml:space="preserve">We have created a strong platform for investments growth to set our company on a sustainable growth path. Although recent regulatory changes shall limit the dynamism and the </w:t>
      </w:r>
      <w:proofErr w:type="spellStart"/>
      <w:r w:rsidRPr="008F0879">
        <w:rPr>
          <w:rFonts w:asciiTheme="minorHAnsi" w:hAnsiTheme="minorHAnsi" w:cstheme="minorHAnsi"/>
          <w:lang w:val="en-GB"/>
        </w:rPr>
        <w:t>availabel</w:t>
      </w:r>
      <w:proofErr w:type="spellEnd"/>
      <w:r w:rsidRPr="008F0879">
        <w:rPr>
          <w:rFonts w:asciiTheme="minorHAnsi" w:hAnsiTheme="minorHAnsi" w:cstheme="minorHAnsi"/>
          <w:lang w:val="en-GB"/>
        </w:rPr>
        <w:t xml:space="preserve"> funds to fuel this growth but I can say with confidence that INA is on a good track.”</w:t>
      </w:r>
    </w:p>
    <w:p w:rsidR="00D54182" w:rsidRPr="00FB26C4" w:rsidRDefault="00D54182" w:rsidP="002F2314">
      <w:pPr>
        <w:jc w:val="both"/>
        <w:rPr>
          <w:rFonts w:asciiTheme="minorHAnsi" w:hAnsiTheme="minorHAnsi" w:cstheme="minorHAnsi"/>
          <w:lang w:val="en-GB"/>
        </w:rPr>
      </w:pPr>
    </w:p>
    <w:p w:rsidR="005C4819" w:rsidRPr="00FB26C4" w:rsidRDefault="005C4819" w:rsidP="005C4819">
      <w:pPr>
        <w:spacing w:line="360" w:lineRule="auto"/>
        <w:jc w:val="both"/>
        <w:rPr>
          <w:rFonts w:asciiTheme="minorHAnsi" w:hAnsiTheme="minorHAnsi" w:cstheme="minorHAnsi"/>
          <w:b/>
          <w:lang w:val="en-GB"/>
        </w:rPr>
      </w:pPr>
      <w:r w:rsidRPr="00FB26C4">
        <w:rPr>
          <w:rFonts w:asciiTheme="minorHAnsi" w:hAnsiTheme="minorHAnsi" w:cstheme="minorHAnsi"/>
          <w:b/>
          <w:lang w:val="en-GB"/>
        </w:rPr>
        <w:t>Operative results overview</w:t>
      </w:r>
    </w:p>
    <w:p w:rsidR="00F616BC" w:rsidRPr="00FB26C4" w:rsidRDefault="00F616BC" w:rsidP="005C4819">
      <w:pPr>
        <w:spacing w:line="360" w:lineRule="auto"/>
        <w:jc w:val="both"/>
        <w:rPr>
          <w:rFonts w:asciiTheme="minorHAnsi" w:hAnsiTheme="minorHAnsi" w:cstheme="minorHAnsi"/>
          <w:b/>
          <w:lang w:val="en-GB"/>
        </w:rPr>
      </w:pPr>
    </w:p>
    <w:p w:rsidR="005C4819" w:rsidRPr="00FB26C4" w:rsidRDefault="005C4819" w:rsidP="00A1348A">
      <w:pPr>
        <w:numPr>
          <w:ilvl w:val="0"/>
          <w:numId w:val="1"/>
        </w:numPr>
        <w:spacing w:line="276" w:lineRule="auto"/>
        <w:jc w:val="both"/>
        <w:rPr>
          <w:rFonts w:asciiTheme="minorHAnsi" w:hAnsiTheme="minorHAnsi" w:cstheme="minorHAnsi"/>
          <w:szCs w:val="22"/>
          <w:lang w:val="en-GB"/>
        </w:rPr>
      </w:pPr>
      <w:r w:rsidRPr="00FB26C4">
        <w:rPr>
          <w:rFonts w:asciiTheme="minorHAnsi" w:hAnsiTheme="minorHAnsi" w:cstheme="minorHAnsi"/>
          <w:szCs w:val="22"/>
          <w:lang w:val="en-GB"/>
        </w:rPr>
        <w:t xml:space="preserve">INA Group’s revenues reached HRK </w:t>
      </w:r>
      <w:r w:rsidR="00A07CA6" w:rsidRPr="00FB26C4">
        <w:rPr>
          <w:rFonts w:asciiTheme="minorHAnsi" w:hAnsiTheme="minorHAnsi" w:cstheme="minorHAnsi"/>
          <w:szCs w:val="22"/>
          <w:lang w:val="en-GB"/>
        </w:rPr>
        <w:t>5.5</w:t>
      </w:r>
      <w:r w:rsidRPr="00FB26C4">
        <w:rPr>
          <w:rFonts w:asciiTheme="minorHAnsi" w:hAnsiTheme="minorHAnsi" w:cstheme="minorHAnsi"/>
          <w:szCs w:val="22"/>
          <w:lang w:val="en-GB"/>
        </w:rPr>
        <w:t xml:space="preserve"> billion</w:t>
      </w:r>
    </w:p>
    <w:p w:rsidR="005C4819" w:rsidRPr="00FB26C4" w:rsidRDefault="005C4819" w:rsidP="00A1348A">
      <w:pPr>
        <w:numPr>
          <w:ilvl w:val="0"/>
          <w:numId w:val="1"/>
        </w:numPr>
        <w:spacing w:line="276" w:lineRule="auto"/>
        <w:jc w:val="both"/>
        <w:rPr>
          <w:rFonts w:asciiTheme="minorHAnsi" w:hAnsiTheme="minorHAnsi" w:cstheme="minorHAnsi"/>
          <w:szCs w:val="22"/>
          <w:lang w:val="en-GB"/>
        </w:rPr>
      </w:pPr>
      <w:r w:rsidRPr="00FB26C4">
        <w:rPr>
          <w:rFonts w:asciiTheme="minorHAnsi" w:hAnsiTheme="minorHAnsi" w:cstheme="minorHAnsi"/>
          <w:szCs w:val="22"/>
          <w:lang w:val="en-GB"/>
        </w:rPr>
        <w:t xml:space="preserve">EBITDA was HRK </w:t>
      </w:r>
      <w:r w:rsidR="00A07CA6" w:rsidRPr="00FB26C4">
        <w:rPr>
          <w:rFonts w:asciiTheme="minorHAnsi" w:hAnsiTheme="minorHAnsi" w:cstheme="minorHAnsi"/>
          <w:szCs w:val="22"/>
          <w:lang w:val="en-GB"/>
        </w:rPr>
        <w:t>831</w:t>
      </w:r>
      <w:r w:rsidRPr="00FB26C4">
        <w:rPr>
          <w:rFonts w:asciiTheme="minorHAnsi" w:hAnsiTheme="minorHAnsi" w:cstheme="minorHAnsi"/>
          <w:szCs w:val="22"/>
          <w:lang w:val="en-GB"/>
        </w:rPr>
        <w:t xml:space="preserve"> </w:t>
      </w:r>
      <w:r w:rsidR="00A07CA6" w:rsidRPr="00FB26C4">
        <w:rPr>
          <w:rFonts w:asciiTheme="minorHAnsi" w:hAnsiTheme="minorHAnsi" w:cstheme="minorHAnsi"/>
          <w:szCs w:val="22"/>
          <w:lang w:val="en-GB"/>
        </w:rPr>
        <w:t>m</w:t>
      </w:r>
      <w:r w:rsidRPr="00FB26C4">
        <w:rPr>
          <w:rFonts w:asciiTheme="minorHAnsi" w:hAnsiTheme="minorHAnsi" w:cstheme="minorHAnsi"/>
          <w:szCs w:val="22"/>
          <w:lang w:val="en-GB"/>
        </w:rPr>
        <w:t>illion</w:t>
      </w:r>
    </w:p>
    <w:p w:rsidR="005C4819" w:rsidRPr="00FB26C4" w:rsidRDefault="005C4819" w:rsidP="00A1348A">
      <w:pPr>
        <w:numPr>
          <w:ilvl w:val="0"/>
          <w:numId w:val="1"/>
        </w:numPr>
        <w:spacing w:line="276" w:lineRule="auto"/>
        <w:jc w:val="both"/>
        <w:rPr>
          <w:rFonts w:asciiTheme="minorHAnsi" w:hAnsiTheme="minorHAnsi" w:cstheme="minorHAnsi"/>
          <w:szCs w:val="22"/>
          <w:lang w:val="en-GB"/>
        </w:rPr>
      </w:pPr>
      <w:r w:rsidRPr="00FB26C4">
        <w:rPr>
          <w:rFonts w:asciiTheme="minorHAnsi" w:hAnsiTheme="minorHAnsi" w:cstheme="minorHAnsi"/>
          <w:szCs w:val="22"/>
          <w:lang w:val="en-GB"/>
        </w:rPr>
        <w:t xml:space="preserve">Operating profit amounted to HRK </w:t>
      </w:r>
      <w:r w:rsidR="00A07CA6" w:rsidRPr="00FB26C4">
        <w:rPr>
          <w:rFonts w:asciiTheme="minorHAnsi" w:hAnsiTheme="minorHAnsi" w:cstheme="minorHAnsi"/>
          <w:szCs w:val="22"/>
          <w:lang w:val="en-GB"/>
        </w:rPr>
        <w:t>390</w:t>
      </w:r>
      <w:r w:rsidRPr="00FB26C4">
        <w:rPr>
          <w:rFonts w:asciiTheme="minorHAnsi" w:hAnsiTheme="minorHAnsi" w:cstheme="minorHAnsi"/>
          <w:szCs w:val="22"/>
          <w:lang w:val="en-GB"/>
        </w:rPr>
        <w:t xml:space="preserve"> million</w:t>
      </w:r>
    </w:p>
    <w:p w:rsidR="005C4819" w:rsidRPr="00FB26C4" w:rsidRDefault="005C4819" w:rsidP="00A1348A">
      <w:pPr>
        <w:numPr>
          <w:ilvl w:val="0"/>
          <w:numId w:val="1"/>
        </w:numPr>
        <w:spacing w:line="276" w:lineRule="auto"/>
        <w:jc w:val="both"/>
        <w:rPr>
          <w:rFonts w:asciiTheme="minorHAnsi" w:hAnsiTheme="minorHAnsi" w:cstheme="minorHAnsi"/>
          <w:szCs w:val="22"/>
          <w:lang w:val="en-GB"/>
        </w:rPr>
      </w:pPr>
      <w:r w:rsidRPr="00FB26C4">
        <w:rPr>
          <w:rFonts w:asciiTheme="minorHAnsi" w:hAnsiTheme="minorHAnsi" w:cstheme="minorHAnsi"/>
          <w:szCs w:val="22"/>
          <w:lang w:val="en-GB"/>
        </w:rPr>
        <w:t xml:space="preserve">Net profit amounted to HRK </w:t>
      </w:r>
      <w:r w:rsidR="00A07CA6" w:rsidRPr="00FB26C4">
        <w:rPr>
          <w:rFonts w:asciiTheme="minorHAnsi" w:hAnsiTheme="minorHAnsi" w:cstheme="minorHAnsi"/>
          <w:szCs w:val="22"/>
          <w:lang w:val="en-GB"/>
        </w:rPr>
        <w:t xml:space="preserve">241 </w:t>
      </w:r>
      <w:r w:rsidRPr="00FB26C4">
        <w:rPr>
          <w:rFonts w:asciiTheme="minorHAnsi" w:hAnsiTheme="minorHAnsi" w:cstheme="minorHAnsi"/>
          <w:szCs w:val="22"/>
          <w:lang w:val="en-GB"/>
        </w:rPr>
        <w:t>million</w:t>
      </w:r>
    </w:p>
    <w:p w:rsidR="005C4819" w:rsidRPr="00FB26C4" w:rsidRDefault="005C4819" w:rsidP="00A1348A">
      <w:pPr>
        <w:numPr>
          <w:ilvl w:val="0"/>
          <w:numId w:val="1"/>
        </w:numPr>
        <w:spacing w:line="276" w:lineRule="auto"/>
        <w:jc w:val="both"/>
        <w:rPr>
          <w:rFonts w:asciiTheme="minorHAnsi" w:hAnsiTheme="minorHAnsi" w:cstheme="minorHAnsi"/>
          <w:szCs w:val="22"/>
          <w:lang w:val="en-GB"/>
        </w:rPr>
      </w:pPr>
      <w:r w:rsidRPr="00FB26C4">
        <w:rPr>
          <w:rFonts w:asciiTheme="minorHAnsi" w:hAnsiTheme="minorHAnsi" w:cstheme="minorHAnsi"/>
          <w:szCs w:val="22"/>
          <w:lang w:val="en-GB"/>
        </w:rPr>
        <w:t xml:space="preserve">Capital expenditures reached HRK </w:t>
      </w:r>
      <w:r w:rsidR="00BD30CE">
        <w:rPr>
          <w:rFonts w:asciiTheme="minorHAnsi" w:hAnsiTheme="minorHAnsi" w:cstheme="minorHAnsi"/>
          <w:szCs w:val="22"/>
          <w:lang w:val="en-GB"/>
        </w:rPr>
        <w:t>280</w:t>
      </w:r>
      <w:r w:rsidR="00BD30CE" w:rsidRPr="00FB26C4">
        <w:rPr>
          <w:rFonts w:asciiTheme="minorHAnsi" w:hAnsiTheme="minorHAnsi" w:cstheme="minorHAnsi"/>
          <w:szCs w:val="22"/>
          <w:lang w:val="en-GB"/>
        </w:rPr>
        <w:t xml:space="preserve"> </w:t>
      </w:r>
      <w:r w:rsidR="00A07CA6" w:rsidRPr="00FB26C4">
        <w:rPr>
          <w:rFonts w:asciiTheme="minorHAnsi" w:hAnsiTheme="minorHAnsi" w:cstheme="minorHAnsi"/>
          <w:szCs w:val="22"/>
          <w:lang w:val="en-GB"/>
        </w:rPr>
        <w:t>m</w:t>
      </w:r>
      <w:r w:rsidRPr="00FB26C4">
        <w:rPr>
          <w:rFonts w:asciiTheme="minorHAnsi" w:hAnsiTheme="minorHAnsi" w:cstheme="minorHAnsi"/>
          <w:szCs w:val="22"/>
          <w:lang w:val="en-GB"/>
        </w:rPr>
        <w:t>illion</w:t>
      </w:r>
    </w:p>
    <w:p w:rsidR="0030681C" w:rsidRPr="00FB26C4" w:rsidRDefault="008770B4" w:rsidP="00A07CA6">
      <w:pPr>
        <w:numPr>
          <w:ilvl w:val="0"/>
          <w:numId w:val="1"/>
        </w:numPr>
        <w:spacing w:line="276" w:lineRule="auto"/>
        <w:jc w:val="both"/>
        <w:rPr>
          <w:rFonts w:asciiTheme="minorHAnsi" w:hAnsiTheme="minorHAnsi" w:cstheme="minorHAnsi"/>
          <w:lang w:val="en-GB"/>
        </w:rPr>
      </w:pPr>
      <w:r w:rsidRPr="00FB26C4">
        <w:rPr>
          <w:rFonts w:asciiTheme="minorHAnsi" w:hAnsiTheme="minorHAnsi" w:cstheme="minorHAnsi"/>
          <w:szCs w:val="22"/>
          <w:lang w:val="en-GB"/>
        </w:rPr>
        <w:t>Decreased financing costs and improved gearing levels, which declined from 3</w:t>
      </w:r>
      <w:r w:rsidR="00A07CA6" w:rsidRPr="00FB26C4">
        <w:rPr>
          <w:rFonts w:asciiTheme="minorHAnsi" w:hAnsiTheme="minorHAnsi" w:cstheme="minorHAnsi"/>
          <w:szCs w:val="22"/>
          <w:lang w:val="en-GB"/>
        </w:rPr>
        <w:t>0</w:t>
      </w:r>
      <w:r w:rsidR="00BD30CE">
        <w:rPr>
          <w:rFonts w:asciiTheme="minorHAnsi" w:hAnsiTheme="minorHAnsi" w:cstheme="minorHAnsi"/>
          <w:szCs w:val="22"/>
          <w:lang w:val="en-GB"/>
        </w:rPr>
        <w:t>.</w:t>
      </w:r>
      <w:r w:rsidR="00A07CA6" w:rsidRPr="00FB26C4">
        <w:rPr>
          <w:rFonts w:asciiTheme="minorHAnsi" w:hAnsiTheme="minorHAnsi" w:cstheme="minorHAnsi"/>
          <w:szCs w:val="22"/>
          <w:lang w:val="en-GB"/>
        </w:rPr>
        <w:t>6</w:t>
      </w:r>
      <w:r w:rsidRPr="00FB26C4">
        <w:rPr>
          <w:rFonts w:asciiTheme="minorHAnsi" w:hAnsiTheme="minorHAnsi" w:cstheme="minorHAnsi"/>
          <w:szCs w:val="22"/>
          <w:lang w:val="en-GB"/>
        </w:rPr>
        <w:t xml:space="preserve">% </w:t>
      </w:r>
      <w:r w:rsidR="00A07CA6" w:rsidRPr="00FB26C4">
        <w:rPr>
          <w:rFonts w:asciiTheme="minorHAnsi" w:hAnsiTheme="minorHAnsi" w:cstheme="minorHAnsi"/>
          <w:szCs w:val="22"/>
          <w:lang w:val="en-GB"/>
        </w:rPr>
        <w:t xml:space="preserve">in the same period of 2013 </w:t>
      </w:r>
      <w:r w:rsidRPr="00FB26C4">
        <w:rPr>
          <w:rFonts w:asciiTheme="minorHAnsi" w:hAnsiTheme="minorHAnsi" w:cstheme="minorHAnsi"/>
          <w:szCs w:val="22"/>
          <w:lang w:val="en-GB"/>
        </w:rPr>
        <w:t>to 2</w:t>
      </w:r>
      <w:r w:rsidR="00A07CA6" w:rsidRPr="00FB26C4">
        <w:rPr>
          <w:rFonts w:asciiTheme="minorHAnsi" w:hAnsiTheme="minorHAnsi" w:cstheme="minorHAnsi"/>
          <w:szCs w:val="22"/>
          <w:lang w:val="en-GB"/>
        </w:rPr>
        <w:t>6</w:t>
      </w:r>
      <w:r w:rsidR="00BD30CE">
        <w:rPr>
          <w:rFonts w:asciiTheme="minorHAnsi" w:hAnsiTheme="minorHAnsi" w:cstheme="minorHAnsi"/>
          <w:szCs w:val="22"/>
          <w:lang w:val="en-GB"/>
        </w:rPr>
        <w:t>.</w:t>
      </w:r>
      <w:r w:rsidR="00A07CA6" w:rsidRPr="00FB26C4">
        <w:rPr>
          <w:rFonts w:asciiTheme="minorHAnsi" w:hAnsiTheme="minorHAnsi" w:cstheme="minorHAnsi"/>
          <w:szCs w:val="22"/>
          <w:lang w:val="en-GB"/>
        </w:rPr>
        <w:t>2</w:t>
      </w:r>
      <w:r w:rsidRPr="00FB26C4">
        <w:rPr>
          <w:rFonts w:asciiTheme="minorHAnsi" w:hAnsiTheme="minorHAnsi" w:cstheme="minorHAnsi"/>
          <w:szCs w:val="22"/>
          <w:lang w:val="en-GB"/>
        </w:rPr>
        <w:t xml:space="preserve">% as </w:t>
      </w:r>
      <w:r w:rsidR="00AB477D">
        <w:rPr>
          <w:rFonts w:asciiTheme="minorHAnsi" w:hAnsiTheme="minorHAnsi" w:cstheme="minorHAnsi"/>
          <w:szCs w:val="22"/>
          <w:lang w:val="en-GB"/>
        </w:rPr>
        <w:t>of</w:t>
      </w:r>
      <w:r w:rsidRPr="00FB26C4">
        <w:rPr>
          <w:rFonts w:asciiTheme="minorHAnsi" w:hAnsiTheme="minorHAnsi" w:cstheme="minorHAnsi"/>
          <w:szCs w:val="22"/>
          <w:lang w:val="en-GB"/>
        </w:rPr>
        <w:t xml:space="preserve"> 31 </w:t>
      </w:r>
      <w:r w:rsidR="00A07CA6" w:rsidRPr="00FB26C4">
        <w:rPr>
          <w:rFonts w:asciiTheme="minorHAnsi" w:hAnsiTheme="minorHAnsi" w:cstheme="minorHAnsi"/>
          <w:szCs w:val="22"/>
          <w:lang w:val="en-GB"/>
        </w:rPr>
        <w:t>March</w:t>
      </w:r>
      <w:r w:rsidRPr="00FB26C4">
        <w:rPr>
          <w:rFonts w:asciiTheme="minorHAnsi" w:hAnsiTheme="minorHAnsi" w:cstheme="minorHAnsi"/>
          <w:szCs w:val="22"/>
          <w:lang w:val="en-GB"/>
        </w:rPr>
        <w:t xml:space="preserve"> 201</w:t>
      </w:r>
      <w:r w:rsidR="00A07CA6" w:rsidRPr="00FB26C4">
        <w:rPr>
          <w:rFonts w:asciiTheme="minorHAnsi" w:hAnsiTheme="minorHAnsi" w:cstheme="minorHAnsi"/>
          <w:szCs w:val="22"/>
          <w:lang w:val="en-GB"/>
        </w:rPr>
        <w:t xml:space="preserve">4 </w:t>
      </w:r>
    </w:p>
    <w:p w:rsidR="00A07CA6" w:rsidRPr="00FB26C4" w:rsidRDefault="00A07CA6" w:rsidP="00A07CA6">
      <w:pPr>
        <w:spacing w:line="276" w:lineRule="auto"/>
        <w:ind w:left="720"/>
        <w:jc w:val="both"/>
        <w:rPr>
          <w:rFonts w:asciiTheme="minorHAnsi" w:hAnsiTheme="minorHAnsi" w:cstheme="minorHAnsi"/>
          <w:lang w:val="en-GB"/>
        </w:rPr>
      </w:pPr>
    </w:p>
    <w:p w:rsidR="008770B4" w:rsidRPr="00FB26C4" w:rsidRDefault="008770B4" w:rsidP="008770B4">
      <w:pPr>
        <w:pStyle w:val="NormalWeb"/>
        <w:spacing w:before="0" w:beforeAutospacing="0" w:after="0" w:afterAutospacing="0"/>
        <w:textAlignment w:val="baseline"/>
        <w:rPr>
          <w:rFonts w:asciiTheme="minorHAnsi" w:eastAsia="MS PGothic" w:hAnsiTheme="minorHAnsi" w:cstheme="minorHAnsi"/>
          <w:b/>
          <w:bCs/>
          <w:color w:val="003F87"/>
          <w:kern w:val="24"/>
          <w:sz w:val="28"/>
          <w:szCs w:val="28"/>
          <w:lang w:val="en-GB"/>
        </w:rPr>
      </w:pPr>
      <w:r w:rsidRPr="00FB26C4">
        <w:rPr>
          <w:rFonts w:asciiTheme="minorHAnsi" w:eastAsia="MS PGothic" w:hAnsiTheme="minorHAnsi" w:cstheme="minorHAnsi"/>
          <w:b/>
          <w:bCs/>
          <w:color w:val="003F87"/>
          <w:kern w:val="24"/>
          <w:sz w:val="28"/>
          <w:szCs w:val="28"/>
          <w:lang w:val="en-GB"/>
        </w:rPr>
        <w:t>Capital expenditures</w:t>
      </w:r>
    </w:p>
    <w:p w:rsidR="008770B4" w:rsidRPr="00FB26C4" w:rsidRDefault="008770B4" w:rsidP="008770B4">
      <w:pPr>
        <w:pStyle w:val="NormalWeb"/>
        <w:spacing w:before="0" w:beforeAutospacing="0" w:after="0" w:afterAutospacing="0"/>
        <w:rPr>
          <w:rFonts w:asciiTheme="minorHAnsi" w:hAnsiTheme="minorHAnsi" w:cstheme="minorHAnsi"/>
          <w:color w:val="3F3F3F"/>
          <w:sz w:val="21"/>
          <w:szCs w:val="21"/>
          <w:lang w:val="en-GB"/>
        </w:rPr>
      </w:pPr>
      <w:r w:rsidRPr="00FB26C4">
        <w:rPr>
          <w:rFonts w:asciiTheme="minorHAnsi" w:hAnsiTheme="minorHAnsi" w:cstheme="minorHAnsi"/>
          <w:color w:val="3F3F3F"/>
          <w:sz w:val="21"/>
          <w:szCs w:val="21"/>
          <w:lang w:val="en-GB"/>
        </w:rPr>
        <w:t>(HRK million)</w:t>
      </w:r>
      <w:r w:rsidR="00EE09D6" w:rsidRPr="00FB26C4">
        <w:rPr>
          <w:rFonts w:asciiTheme="minorHAnsi" w:hAnsiTheme="minorHAnsi" w:cstheme="minorHAnsi"/>
          <w:noProof/>
          <w:lang w:val="en-GB"/>
        </w:rPr>
        <w:t xml:space="preserve"> </w:t>
      </w:r>
    </w:p>
    <w:p w:rsidR="00B57A7C" w:rsidRPr="00FB26C4" w:rsidRDefault="00A07CA6" w:rsidP="00B57A7C">
      <w:pPr>
        <w:tabs>
          <w:tab w:val="left" w:pos="1440"/>
        </w:tabs>
        <w:spacing w:line="360" w:lineRule="auto"/>
        <w:jc w:val="both"/>
        <w:rPr>
          <w:rFonts w:asciiTheme="minorHAnsi" w:hAnsiTheme="minorHAnsi" w:cstheme="minorHAnsi"/>
          <w:b/>
          <w:sz w:val="22"/>
          <w:szCs w:val="22"/>
          <w:lang w:val="en-GB"/>
        </w:rPr>
      </w:pPr>
      <w:r w:rsidRPr="00FB26C4">
        <w:rPr>
          <w:rFonts w:asciiTheme="minorHAnsi" w:hAnsiTheme="minorHAnsi" w:cstheme="minorHAnsi"/>
          <w:noProof/>
          <w:lang w:eastAsia="hr-HR"/>
        </w:rPr>
        <w:drawing>
          <wp:inline distT="0" distB="0" distL="0" distR="0" wp14:anchorId="3B606060" wp14:editId="7B5E185D">
            <wp:extent cx="2996565" cy="212344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5861" w:rsidRDefault="009F5861" w:rsidP="004733CF">
      <w:pPr>
        <w:ind w:right="23"/>
        <w:jc w:val="both"/>
        <w:rPr>
          <w:rFonts w:asciiTheme="minorHAnsi" w:hAnsiTheme="minorHAnsi" w:cstheme="minorHAnsi"/>
          <w:b/>
          <w:lang w:val="en-GB"/>
        </w:rPr>
      </w:pPr>
    </w:p>
    <w:p w:rsidR="008C1645" w:rsidRPr="00FB26C4" w:rsidRDefault="008770B4" w:rsidP="004733CF">
      <w:pPr>
        <w:ind w:right="23"/>
        <w:jc w:val="both"/>
        <w:rPr>
          <w:rFonts w:asciiTheme="minorHAnsi" w:hAnsiTheme="minorHAnsi" w:cstheme="minorHAnsi"/>
          <w:lang w:val="en-GB" w:eastAsia="hr-HR" w:bidi="bn-BD"/>
        </w:rPr>
      </w:pPr>
      <w:r w:rsidRPr="00FB26C4">
        <w:rPr>
          <w:rFonts w:asciiTheme="minorHAnsi" w:hAnsiTheme="minorHAnsi" w:cstheme="minorHAnsi"/>
          <w:b/>
          <w:lang w:val="en-GB"/>
        </w:rPr>
        <w:t xml:space="preserve">Exploration and Production </w:t>
      </w:r>
      <w:r w:rsidRPr="00FB26C4">
        <w:rPr>
          <w:rFonts w:asciiTheme="minorHAnsi" w:hAnsiTheme="minorHAnsi" w:cstheme="minorHAnsi"/>
          <w:lang w:val="en-GB"/>
        </w:rPr>
        <w:t xml:space="preserve">– </w:t>
      </w:r>
      <w:r w:rsidR="004733CF" w:rsidRPr="00FB26C4">
        <w:rPr>
          <w:rFonts w:asciiTheme="minorHAnsi" w:hAnsiTheme="minorHAnsi" w:cstheme="minorHAnsi"/>
          <w:lang w:val="en-GB" w:eastAsia="hr-HR" w:bidi="bn-BD"/>
        </w:rPr>
        <w:t>In Q1 2014, EBITDA increased by 17% compared to Q4 2013 reflecting primarily slightly higher production in Q1 2014 and lower cost of goods sold due to significantly lower purchased volumes of imported natural gas</w:t>
      </w:r>
      <w:r w:rsidR="008C1645" w:rsidRPr="00FB26C4">
        <w:rPr>
          <w:rFonts w:asciiTheme="minorHAnsi" w:hAnsiTheme="minorHAnsi" w:cstheme="minorHAnsi"/>
          <w:lang w:val="en-GB" w:eastAsia="hr-HR" w:bidi="bn-BD"/>
        </w:rPr>
        <w:t xml:space="preserve">. </w:t>
      </w:r>
      <w:r w:rsidR="00BD30CE">
        <w:rPr>
          <w:rFonts w:asciiTheme="minorHAnsi" w:hAnsiTheme="minorHAnsi" w:cstheme="minorHAnsi"/>
          <w:lang w:val="en-GB" w:eastAsia="hr-HR" w:bidi="bn-BD"/>
        </w:rPr>
        <w:t xml:space="preserve">These factors </w:t>
      </w:r>
      <w:r w:rsidR="008C1645" w:rsidRPr="00FB26C4">
        <w:rPr>
          <w:rFonts w:asciiTheme="minorHAnsi" w:hAnsiTheme="minorHAnsi" w:cstheme="minorHAnsi"/>
          <w:lang w:val="en-GB" w:eastAsia="hr-HR" w:bidi="bn-BD"/>
        </w:rPr>
        <w:t>w</w:t>
      </w:r>
      <w:r w:rsidR="00BD30CE">
        <w:rPr>
          <w:rFonts w:asciiTheme="minorHAnsi" w:hAnsiTheme="minorHAnsi" w:cstheme="minorHAnsi"/>
          <w:lang w:val="en-GB" w:eastAsia="hr-HR" w:bidi="bn-BD"/>
        </w:rPr>
        <w:t>ere</w:t>
      </w:r>
      <w:r w:rsidR="008C1645" w:rsidRPr="00FB26C4">
        <w:rPr>
          <w:rFonts w:asciiTheme="minorHAnsi" w:hAnsiTheme="minorHAnsi" w:cstheme="minorHAnsi"/>
          <w:lang w:val="en-GB" w:eastAsia="hr-HR" w:bidi="bn-BD"/>
        </w:rPr>
        <w:t xml:space="preserve"> </w:t>
      </w:r>
      <w:r w:rsidR="004733CF" w:rsidRPr="00FB26C4">
        <w:rPr>
          <w:rFonts w:asciiTheme="minorHAnsi" w:hAnsiTheme="minorHAnsi" w:cstheme="minorHAnsi"/>
          <w:lang w:val="en-GB" w:eastAsia="hr-HR" w:bidi="bn-BD"/>
        </w:rPr>
        <w:t>partially offset by lower</w:t>
      </w:r>
      <w:r w:rsidR="00AB477D">
        <w:rPr>
          <w:rFonts w:asciiTheme="minorHAnsi" w:hAnsiTheme="minorHAnsi" w:cstheme="minorHAnsi"/>
          <w:lang w:val="en-GB" w:eastAsia="hr-HR" w:bidi="bn-BD"/>
        </w:rPr>
        <w:t xml:space="preserve"> realized</w:t>
      </w:r>
      <w:r w:rsidR="004733CF" w:rsidRPr="00FB26C4">
        <w:rPr>
          <w:rFonts w:asciiTheme="minorHAnsi" w:hAnsiTheme="minorHAnsi" w:cstheme="minorHAnsi"/>
          <w:lang w:val="en-GB" w:eastAsia="hr-HR" w:bidi="bn-BD"/>
        </w:rPr>
        <w:t xml:space="preserve"> average hydrocarbon price.</w:t>
      </w:r>
    </w:p>
    <w:p w:rsidR="004733CF" w:rsidRPr="00FB26C4" w:rsidRDefault="004733CF" w:rsidP="004733CF">
      <w:pPr>
        <w:ind w:right="23"/>
        <w:jc w:val="both"/>
        <w:rPr>
          <w:rFonts w:asciiTheme="minorHAnsi" w:hAnsiTheme="minorHAnsi" w:cstheme="minorHAnsi"/>
          <w:lang w:val="en-GB" w:eastAsia="hr-HR" w:bidi="bn-BD"/>
        </w:rPr>
      </w:pPr>
      <w:r w:rsidRPr="00FB26C4">
        <w:rPr>
          <w:rFonts w:asciiTheme="minorHAnsi" w:hAnsiTheme="minorHAnsi" w:cstheme="minorHAnsi"/>
          <w:lang w:val="en-GB" w:eastAsia="hr-HR" w:bidi="bn-BD"/>
        </w:rPr>
        <w:t xml:space="preserve"> </w:t>
      </w:r>
    </w:p>
    <w:p w:rsidR="004733CF" w:rsidRPr="00FB26C4" w:rsidRDefault="004733CF" w:rsidP="004733CF">
      <w:pPr>
        <w:ind w:right="23"/>
        <w:jc w:val="both"/>
        <w:rPr>
          <w:rFonts w:asciiTheme="minorHAnsi" w:hAnsiTheme="minorHAnsi" w:cstheme="minorHAnsi"/>
          <w:lang w:val="en-GB" w:eastAsia="hr-HR" w:bidi="bn-BD"/>
        </w:rPr>
      </w:pPr>
      <w:r w:rsidRPr="00FB26C4">
        <w:rPr>
          <w:rFonts w:asciiTheme="minorHAnsi" w:hAnsiTheme="minorHAnsi" w:cstheme="minorHAnsi"/>
          <w:lang w:val="en-GB" w:eastAsia="hr-HR" w:bidi="bn-BD"/>
        </w:rPr>
        <w:t xml:space="preserve">Production increased by 3%, which is mainly attributable to off-shore gas production uplift by 1 </w:t>
      </w:r>
      <w:proofErr w:type="spellStart"/>
      <w:r w:rsidRPr="00FB26C4">
        <w:rPr>
          <w:rFonts w:asciiTheme="minorHAnsi" w:hAnsiTheme="minorHAnsi" w:cstheme="minorHAnsi"/>
          <w:lang w:val="en-GB" w:eastAsia="hr-HR" w:bidi="bn-BD"/>
        </w:rPr>
        <w:t>mboepd</w:t>
      </w:r>
      <w:proofErr w:type="spellEnd"/>
      <w:r w:rsidRPr="00FB26C4">
        <w:rPr>
          <w:rFonts w:asciiTheme="minorHAnsi" w:hAnsiTheme="minorHAnsi" w:cstheme="minorHAnsi"/>
          <w:lang w:val="en-GB" w:eastAsia="hr-HR" w:bidi="bn-BD"/>
        </w:rPr>
        <w:t xml:space="preserve"> as a result of higher INA share</w:t>
      </w:r>
      <w:r w:rsidR="00AB477D">
        <w:rPr>
          <w:rFonts w:asciiTheme="minorHAnsi" w:hAnsiTheme="minorHAnsi" w:cstheme="minorHAnsi"/>
          <w:lang w:val="en-GB" w:eastAsia="hr-HR" w:bidi="bn-BD"/>
        </w:rPr>
        <w:t xml:space="preserve"> </w:t>
      </w:r>
      <w:r w:rsidR="009F5861">
        <w:rPr>
          <w:rFonts w:asciiTheme="minorHAnsi" w:hAnsiTheme="minorHAnsi" w:cstheme="minorHAnsi"/>
          <w:lang w:val="en-GB" w:eastAsia="hr-HR" w:bidi="bn-BD"/>
        </w:rPr>
        <w:t xml:space="preserve">in total production. </w:t>
      </w:r>
    </w:p>
    <w:p w:rsidR="003A0563" w:rsidRPr="00FB26C4" w:rsidRDefault="003A0563" w:rsidP="004733CF">
      <w:pPr>
        <w:tabs>
          <w:tab w:val="left" w:pos="1440"/>
        </w:tabs>
        <w:spacing w:line="360" w:lineRule="auto"/>
        <w:jc w:val="both"/>
        <w:rPr>
          <w:rFonts w:asciiTheme="minorHAnsi" w:hAnsiTheme="minorHAnsi" w:cstheme="minorHAnsi"/>
          <w:sz w:val="22"/>
          <w:szCs w:val="22"/>
          <w:lang w:val="en-GB" w:eastAsia="hr-HR" w:bidi="bn-BD"/>
        </w:rPr>
      </w:pPr>
    </w:p>
    <w:p w:rsidR="00043898" w:rsidRPr="00FB26C4" w:rsidRDefault="00043898" w:rsidP="00043898">
      <w:pPr>
        <w:spacing w:line="252" w:lineRule="auto"/>
        <w:jc w:val="both"/>
        <w:rPr>
          <w:rFonts w:asciiTheme="minorHAnsi" w:hAnsiTheme="minorHAnsi" w:cstheme="minorHAnsi"/>
          <w:lang w:val="en-GB" w:eastAsia="hr-HR" w:bidi="bn-BD"/>
        </w:rPr>
      </w:pPr>
      <w:r w:rsidRPr="00FB26C4">
        <w:rPr>
          <w:rFonts w:asciiTheme="minorHAnsi" w:hAnsiTheme="minorHAnsi" w:cstheme="minorHAnsi"/>
          <w:lang w:val="en-GB" w:eastAsia="hr-HR" w:bidi="bn-BD"/>
        </w:rPr>
        <w:t>Beside continuous</w:t>
      </w:r>
      <w:r w:rsidR="00AB477D">
        <w:rPr>
          <w:rFonts w:asciiTheme="minorHAnsi" w:hAnsiTheme="minorHAnsi" w:cstheme="minorHAnsi"/>
          <w:lang w:val="en-GB" w:eastAsia="hr-HR" w:bidi="bn-BD"/>
        </w:rPr>
        <w:t>ly</w:t>
      </w:r>
      <w:r w:rsidRPr="00FB26C4">
        <w:rPr>
          <w:rFonts w:asciiTheme="minorHAnsi" w:hAnsiTheme="minorHAnsi" w:cstheme="minorHAnsi"/>
          <w:lang w:val="en-GB" w:eastAsia="hr-HR" w:bidi="bn-BD"/>
        </w:rPr>
        <w:t xml:space="preserve"> unfavourable macro environment, additional regulatory changes have already affected the Q1 results to some extent but will significantly burden future operations on </w:t>
      </w:r>
      <w:r w:rsidR="00AB477D">
        <w:rPr>
          <w:rFonts w:asciiTheme="minorHAnsi" w:hAnsiTheme="minorHAnsi" w:cstheme="minorHAnsi"/>
          <w:lang w:val="en-GB" w:eastAsia="hr-HR" w:bidi="bn-BD"/>
        </w:rPr>
        <w:t xml:space="preserve">an </w:t>
      </w:r>
      <w:r w:rsidRPr="00FB26C4">
        <w:rPr>
          <w:rFonts w:asciiTheme="minorHAnsi" w:hAnsiTheme="minorHAnsi" w:cstheme="minorHAnsi"/>
          <w:lang w:val="en-GB" w:eastAsia="hr-HR" w:bidi="bn-BD"/>
        </w:rPr>
        <w:t xml:space="preserve">on-going basis. The Government of Croatia issued a package of resolutions on gas trading regulation where HEP was appointed as wholesale market supplier for tariff customers (households) starting from 1 April 2014. INA has been obliged to supply HEP at a </w:t>
      </w:r>
      <w:r w:rsidR="009865F3">
        <w:rPr>
          <w:rFonts w:asciiTheme="minorHAnsi" w:hAnsiTheme="minorHAnsi" w:cstheme="minorHAnsi"/>
          <w:lang w:val="en-GB" w:eastAsia="hr-HR" w:bidi="bn-BD"/>
        </w:rPr>
        <w:t xml:space="preserve">regulated </w:t>
      </w:r>
      <w:r w:rsidRPr="00FB26C4">
        <w:rPr>
          <w:rFonts w:asciiTheme="minorHAnsi" w:hAnsiTheme="minorHAnsi" w:cstheme="minorHAnsi"/>
          <w:lang w:val="en-GB" w:eastAsia="hr-HR" w:bidi="bn-BD"/>
        </w:rPr>
        <w:t>price of 1.70</w:t>
      </w:r>
      <w:r w:rsidR="008F23B5">
        <w:rPr>
          <w:rFonts w:asciiTheme="minorHAnsi" w:hAnsiTheme="minorHAnsi" w:cstheme="minorHAnsi"/>
          <w:lang w:val="en-GB" w:eastAsia="hr-HR" w:bidi="bn-BD"/>
        </w:rPr>
        <w:t>58</w:t>
      </w:r>
      <w:r w:rsidRPr="00FB26C4">
        <w:rPr>
          <w:rFonts w:asciiTheme="minorHAnsi" w:hAnsiTheme="minorHAnsi" w:cstheme="minorHAnsi"/>
          <w:lang w:val="en-GB" w:eastAsia="hr-HR" w:bidi="bn-BD"/>
        </w:rPr>
        <w:t xml:space="preserve"> HRK/m3 </w:t>
      </w:r>
      <w:r w:rsidR="009865F3">
        <w:rPr>
          <w:rFonts w:asciiTheme="minorHAnsi" w:hAnsiTheme="minorHAnsi" w:cstheme="minorHAnsi"/>
          <w:lang w:val="en-GB" w:eastAsia="hr-HR" w:bidi="bn-BD"/>
        </w:rPr>
        <w:t xml:space="preserve">which is reduced </w:t>
      </w:r>
      <w:r w:rsidRPr="00FB26C4">
        <w:rPr>
          <w:rFonts w:asciiTheme="minorHAnsi" w:hAnsiTheme="minorHAnsi" w:cstheme="minorHAnsi"/>
          <w:lang w:val="en-GB" w:eastAsia="hr-HR" w:bidi="bn-BD"/>
        </w:rPr>
        <w:t xml:space="preserve">compared to the previous regulated household gas price, and with </w:t>
      </w:r>
      <w:r w:rsidR="009865F3">
        <w:rPr>
          <w:rFonts w:asciiTheme="minorHAnsi" w:hAnsiTheme="minorHAnsi" w:cstheme="minorHAnsi"/>
          <w:lang w:val="en-GB" w:eastAsia="hr-HR" w:bidi="bn-BD"/>
        </w:rPr>
        <w:t xml:space="preserve">the obligation to provide </w:t>
      </w:r>
      <w:r w:rsidRPr="00FB26C4">
        <w:rPr>
          <w:rFonts w:asciiTheme="minorHAnsi" w:hAnsiTheme="minorHAnsi" w:cstheme="minorHAnsi"/>
          <w:lang w:val="en-GB" w:eastAsia="hr-HR" w:bidi="bn-BD"/>
        </w:rPr>
        <w:t>flexib</w:t>
      </w:r>
      <w:r w:rsidR="009865F3">
        <w:rPr>
          <w:rFonts w:asciiTheme="minorHAnsi" w:hAnsiTheme="minorHAnsi" w:cstheme="minorHAnsi"/>
          <w:lang w:val="en-GB" w:eastAsia="hr-HR" w:bidi="bn-BD"/>
        </w:rPr>
        <w:t>i</w:t>
      </w:r>
      <w:r w:rsidRPr="00FB26C4">
        <w:rPr>
          <w:rFonts w:asciiTheme="minorHAnsi" w:hAnsiTheme="minorHAnsi" w:cstheme="minorHAnsi"/>
          <w:lang w:val="en-GB" w:eastAsia="hr-HR" w:bidi="bn-BD"/>
        </w:rPr>
        <w:t>l</w:t>
      </w:r>
      <w:r w:rsidR="009865F3">
        <w:rPr>
          <w:rFonts w:asciiTheme="minorHAnsi" w:hAnsiTheme="minorHAnsi" w:cstheme="minorHAnsi"/>
          <w:lang w:val="en-GB" w:eastAsia="hr-HR" w:bidi="bn-BD"/>
        </w:rPr>
        <w:t>ity</w:t>
      </w:r>
      <w:r w:rsidRPr="00FB26C4">
        <w:rPr>
          <w:rFonts w:asciiTheme="minorHAnsi" w:hAnsiTheme="minorHAnsi" w:cstheme="minorHAnsi"/>
          <w:lang w:val="en-GB" w:eastAsia="hr-HR" w:bidi="bn-BD"/>
        </w:rPr>
        <w:t xml:space="preserve"> </w:t>
      </w:r>
      <w:r w:rsidR="009865F3">
        <w:rPr>
          <w:rFonts w:asciiTheme="minorHAnsi" w:hAnsiTheme="minorHAnsi" w:cstheme="minorHAnsi"/>
          <w:lang w:val="en-GB" w:eastAsia="hr-HR" w:bidi="bn-BD"/>
        </w:rPr>
        <w:t xml:space="preserve">of </w:t>
      </w:r>
      <w:r w:rsidRPr="00FB26C4">
        <w:rPr>
          <w:rFonts w:asciiTheme="minorHAnsi" w:hAnsiTheme="minorHAnsi" w:cstheme="minorHAnsi"/>
          <w:lang w:val="en-GB" w:eastAsia="hr-HR" w:bidi="bn-BD"/>
        </w:rPr>
        <w:t>daily quantities of 1.4 to 1.9 million m3</w:t>
      </w:r>
      <w:r w:rsidR="009865F3">
        <w:rPr>
          <w:rFonts w:asciiTheme="minorHAnsi" w:hAnsiTheme="minorHAnsi" w:cstheme="minorHAnsi"/>
          <w:lang w:val="en-GB" w:eastAsia="hr-HR" w:bidi="bn-BD"/>
        </w:rPr>
        <w:t>, which HEP is entitled to nominate at its discretion</w:t>
      </w:r>
      <w:r w:rsidRPr="00FB26C4">
        <w:rPr>
          <w:rFonts w:asciiTheme="minorHAnsi" w:hAnsiTheme="minorHAnsi" w:cstheme="minorHAnsi"/>
          <w:lang w:val="en-GB" w:eastAsia="hr-HR" w:bidi="bn-BD"/>
        </w:rPr>
        <w:t xml:space="preserve">. </w:t>
      </w:r>
    </w:p>
    <w:p w:rsidR="00043898" w:rsidRPr="00FB26C4" w:rsidRDefault="00043898" w:rsidP="00043898">
      <w:pPr>
        <w:spacing w:line="252" w:lineRule="auto"/>
        <w:jc w:val="both"/>
        <w:rPr>
          <w:rFonts w:asciiTheme="minorHAnsi" w:hAnsiTheme="minorHAnsi" w:cstheme="minorHAnsi"/>
          <w:lang w:val="en-GB" w:eastAsia="hr-HR" w:bidi="bn-BD"/>
        </w:rPr>
      </w:pPr>
    </w:p>
    <w:p w:rsidR="00043898" w:rsidRPr="00FB26C4" w:rsidRDefault="00043898" w:rsidP="00043898">
      <w:pPr>
        <w:spacing w:line="252" w:lineRule="auto"/>
        <w:jc w:val="both"/>
        <w:rPr>
          <w:rFonts w:asciiTheme="minorHAnsi" w:hAnsiTheme="minorHAnsi" w:cstheme="minorHAnsi"/>
          <w:lang w:val="en-GB" w:eastAsia="hr-HR" w:bidi="bn-BD"/>
        </w:rPr>
      </w:pPr>
      <w:r w:rsidRPr="00FB26C4">
        <w:rPr>
          <w:rFonts w:asciiTheme="minorHAnsi" w:hAnsiTheme="minorHAnsi" w:cstheme="minorHAnsi"/>
          <w:lang w:val="en-GB" w:eastAsia="hr-HR" w:bidi="bn-BD"/>
        </w:rPr>
        <w:t xml:space="preserve">Additionally, the </w:t>
      </w:r>
      <w:r w:rsidR="003F4ECF">
        <w:rPr>
          <w:rFonts w:asciiTheme="minorHAnsi" w:hAnsiTheme="minorHAnsi" w:cstheme="minorHAnsi"/>
          <w:lang w:val="en-GB" w:eastAsia="hr-HR" w:bidi="bn-BD"/>
        </w:rPr>
        <w:t xml:space="preserve">PSP d.o.o., the gas </w:t>
      </w:r>
      <w:r w:rsidRPr="00FB26C4">
        <w:rPr>
          <w:rFonts w:asciiTheme="minorHAnsi" w:hAnsiTheme="minorHAnsi" w:cstheme="minorHAnsi"/>
          <w:lang w:val="en-GB" w:eastAsia="hr-HR" w:bidi="bn-BD"/>
        </w:rPr>
        <w:t>storage company</w:t>
      </w:r>
      <w:r w:rsidR="003F4ECF">
        <w:rPr>
          <w:rFonts w:asciiTheme="minorHAnsi" w:hAnsiTheme="minorHAnsi" w:cstheme="minorHAnsi"/>
          <w:lang w:val="en-GB" w:eastAsia="hr-HR" w:bidi="bn-BD"/>
        </w:rPr>
        <w:t>,</w:t>
      </w:r>
      <w:r w:rsidRPr="00FB26C4">
        <w:rPr>
          <w:rFonts w:asciiTheme="minorHAnsi" w:hAnsiTheme="minorHAnsi" w:cstheme="minorHAnsi"/>
          <w:lang w:val="en-GB" w:eastAsia="hr-HR" w:bidi="bn-BD"/>
        </w:rPr>
        <w:t xml:space="preserve"> concluded a forced sale of </w:t>
      </w:r>
      <w:proofErr w:type="spellStart"/>
      <w:r w:rsidRPr="00FB26C4">
        <w:rPr>
          <w:rFonts w:asciiTheme="minorHAnsi" w:hAnsiTheme="minorHAnsi" w:cstheme="minorHAnsi"/>
          <w:lang w:val="en-GB" w:eastAsia="hr-HR" w:bidi="bn-BD"/>
        </w:rPr>
        <w:t>Prirodni</w:t>
      </w:r>
      <w:proofErr w:type="spellEnd"/>
      <w:r w:rsidRPr="00FB26C4">
        <w:rPr>
          <w:rFonts w:asciiTheme="minorHAnsi" w:hAnsiTheme="minorHAnsi" w:cstheme="minorHAnsi"/>
          <w:lang w:val="en-GB" w:eastAsia="hr-HR" w:bidi="bn-BD"/>
        </w:rPr>
        <w:t xml:space="preserve"> </w:t>
      </w:r>
      <w:proofErr w:type="spellStart"/>
      <w:r w:rsidRPr="00FB26C4">
        <w:rPr>
          <w:rFonts w:asciiTheme="minorHAnsi" w:hAnsiTheme="minorHAnsi" w:cstheme="minorHAnsi"/>
          <w:lang w:val="en-GB" w:eastAsia="hr-HR" w:bidi="bn-BD"/>
        </w:rPr>
        <w:t>plin’s</w:t>
      </w:r>
      <w:proofErr w:type="spellEnd"/>
      <w:r w:rsidRPr="00FB26C4">
        <w:rPr>
          <w:rFonts w:asciiTheme="minorHAnsi" w:hAnsiTheme="minorHAnsi" w:cstheme="minorHAnsi"/>
          <w:lang w:val="en-GB" w:eastAsia="hr-HR" w:bidi="bn-BD"/>
        </w:rPr>
        <w:t xml:space="preserve"> gas inventory, the effect of which is already booked as value adjustment of the </w:t>
      </w:r>
      <w:proofErr w:type="spellStart"/>
      <w:r w:rsidRPr="00FB26C4">
        <w:rPr>
          <w:rFonts w:asciiTheme="minorHAnsi" w:hAnsiTheme="minorHAnsi" w:cstheme="minorHAnsi"/>
          <w:lang w:val="en-GB" w:eastAsia="hr-HR" w:bidi="bn-BD"/>
        </w:rPr>
        <w:t>Prirodni</w:t>
      </w:r>
      <w:proofErr w:type="spellEnd"/>
      <w:r w:rsidRPr="00FB26C4">
        <w:rPr>
          <w:rFonts w:asciiTheme="minorHAnsi" w:hAnsiTheme="minorHAnsi" w:cstheme="minorHAnsi"/>
          <w:lang w:val="en-GB" w:eastAsia="hr-HR" w:bidi="bn-BD"/>
        </w:rPr>
        <w:t xml:space="preserve"> </w:t>
      </w:r>
      <w:proofErr w:type="spellStart"/>
      <w:r w:rsidRPr="00FB26C4">
        <w:rPr>
          <w:rFonts w:asciiTheme="minorHAnsi" w:hAnsiTheme="minorHAnsi" w:cstheme="minorHAnsi"/>
          <w:lang w:val="en-GB" w:eastAsia="hr-HR" w:bidi="bn-BD"/>
        </w:rPr>
        <w:t>plin</w:t>
      </w:r>
      <w:proofErr w:type="spellEnd"/>
      <w:r w:rsidRPr="00FB26C4">
        <w:rPr>
          <w:rFonts w:asciiTheme="minorHAnsi" w:hAnsiTheme="minorHAnsi" w:cstheme="minorHAnsi"/>
          <w:lang w:val="en-GB" w:eastAsia="hr-HR" w:bidi="bn-BD"/>
        </w:rPr>
        <w:t xml:space="preserve"> inventories in line with international accounting standards (IAS) in the amount of HRK 372 </w:t>
      </w:r>
      <w:proofErr w:type="spellStart"/>
      <w:r w:rsidRPr="00FB26C4">
        <w:rPr>
          <w:rFonts w:asciiTheme="minorHAnsi" w:hAnsiTheme="minorHAnsi" w:cstheme="minorHAnsi"/>
          <w:lang w:val="en-GB" w:eastAsia="hr-HR" w:bidi="bn-BD"/>
        </w:rPr>
        <w:t>mln</w:t>
      </w:r>
      <w:proofErr w:type="spellEnd"/>
      <w:r w:rsidRPr="00FB26C4">
        <w:rPr>
          <w:rFonts w:asciiTheme="minorHAnsi" w:hAnsiTheme="minorHAnsi" w:cstheme="minorHAnsi"/>
          <w:lang w:val="en-GB" w:eastAsia="hr-HR" w:bidi="bn-BD"/>
        </w:rPr>
        <w:t xml:space="preserve">. </w:t>
      </w:r>
    </w:p>
    <w:p w:rsidR="00043898" w:rsidRPr="00FB26C4" w:rsidRDefault="00043898" w:rsidP="00043898">
      <w:pPr>
        <w:spacing w:line="252" w:lineRule="auto"/>
        <w:jc w:val="both"/>
        <w:rPr>
          <w:rFonts w:asciiTheme="minorHAnsi" w:hAnsiTheme="minorHAnsi" w:cstheme="minorHAnsi"/>
          <w:lang w:val="en-GB" w:eastAsia="hr-HR" w:bidi="bn-BD"/>
        </w:rPr>
      </w:pPr>
      <w:r w:rsidRPr="00FB26C4">
        <w:rPr>
          <w:rFonts w:asciiTheme="minorHAnsi" w:hAnsiTheme="minorHAnsi" w:cstheme="minorHAnsi"/>
          <w:lang w:val="en-GB" w:eastAsia="hr-HR" w:bidi="bn-BD"/>
        </w:rPr>
        <w:t xml:space="preserve">Namely, at the beginning of April </w:t>
      </w:r>
      <w:proofErr w:type="spellStart"/>
      <w:r w:rsidRPr="00FB26C4">
        <w:rPr>
          <w:rFonts w:asciiTheme="minorHAnsi" w:hAnsiTheme="minorHAnsi" w:cstheme="minorHAnsi"/>
          <w:lang w:val="en-GB" w:eastAsia="hr-HR" w:bidi="bn-BD"/>
        </w:rPr>
        <w:t>Prirodni</w:t>
      </w:r>
      <w:proofErr w:type="spellEnd"/>
      <w:r w:rsidRPr="00FB26C4">
        <w:rPr>
          <w:rFonts w:asciiTheme="minorHAnsi" w:hAnsiTheme="minorHAnsi" w:cstheme="minorHAnsi"/>
          <w:lang w:val="en-GB" w:eastAsia="hr-HR" w:bidi="bn-BD"/>
        </w:rPr>
        <w:t xml:space="preserve"> </w:t>
      </w:r>
      <w:proofErr w:type="spellStart"/>
      <w:r w:rsidRPr="00FB26C4">
        <w:rPr>
          <w:rFonts w:asciiTheme="minorHAnsi" w:hAnsiTheme="minorHAnsi" w:cstheme="minorHAnsi"/>
          <w:lang w:val="en-GB" w:eastAsia="hr-HR" w:bidi="bn-BD"/>
        </w:rPr>
        <w:t>plin</w:t>
      </w:r>
      <w:proofErr w:type="spellEnd"/>
      <w:r w:rsidRPr="00FB26C4">
        <w:rPr>
          <w:rFonts w:asciiTheme="minorHAnsi" w:hAnsiTheme="minorHAnsi" w:cstheme="minorHAnsi"/>
          <w:lang w:val="en-GB" w:eastAsia="hr-HR" w:bidi="bn-BD"/>
        </w:rPr>
        <w:t xml:space="preserve"> had some 200 million m3 of gas in </w:t>
      </w:r>
      <w:proofErr w:type="spellStart"/>
      <w:r w:rsidRPr="00FB26C4">
        <w:rPr>
          <w:rFonts w:asciiTheme="minorHAnsi" w:hAnsiTheme="minorHAnsi" w:cstheme="minorHAnsi"/>
          <w:lang w:val="en-GB" w:eastAsia="hr-HR" w:bidi="bn-BD"/>
        </w:rPr>
        <w:t>Okoli</w:t>
      </w:r>
      <w:proofErr w:type="spellEnd"/>
      <w:r w:rsidRPr="00FB26C4">
        <w:rPr>
          <w:rFonts w:asciiTheme="minorHAnsi" w:hAnsiTheme="minorHAnsi" w:cstheme="minorHAnsi"/>
          <w:lang w:val="en-GB" w:eastAsia="hr-HR" w:bidi="bn-BD"/>
        </w:rPr>
        <w:t xml:space="preserve"> storage. By changing the regulation, 70 % of storage capacities </w:t>
      </w:r>
      <w:r w:rsidR="00376467" w:rsidRPr="00FB26C4">
        <w:rPr>
          <w:rFonts w:asciiTheme="minorHAnsi" w:hAnsiTheme="minorHAnsi" w:cstheme="minorHAnsi"/>
          <w:lang w:val="en-GB" w:eastAsia="hr-HR" w:bidi="bn-BD"/>
        </w:rPr>
        <w:t>were</w:t>
      </w:r>
      <w:r w:rsidRPr="00FB26C4">
        <w:rPr>
          <w:rFonts w:asciiTheme="minorHAnsi" w:hAnsiTheme="minorHAnsi" w:cstheme="minorHAnsi"/>
          <w:lang w:val="en-GB" w:eastAsia="hr-HR" w:bidi="bn-BD"/>
        </w:rPr>
        <w:t xml:space="preserve"> directly allocated to HEP and </w:t>
      </w:r>
      <w:proofErr w:type="spellStart"/>
      <w:r w:rsidRPr="00FB26C4">
        <w:rPr>
          <w:rFonts w:asciiTheme="minorHAnsi" w:hAnsiTheme="minorHAnsi" w:cstheme="minorHAnsi"/>
          <w:lang w:val="en-GB" w:eastAsia="hr-HR" w:bidi="bn-BD"/>
        </w:rPr>
        <w:t>Prirodni</w:t>
      </w:r>
      <w:proofErr w:type="spellEnd"/>
      <w:r w:rsidRPr="00FB26C4">
        <w:rPr>
          <w:rFonts w:asciiTheme="minorHAnsi" w:hAnsiTheme="minorHAnsi" w:cstheme="minorHAnsi"/>
          <w:lang w:val="en-GB" w:eastAsia="hr-HR" w:bidi="bn-BD"/>
        </w:rPr>
        <w:t xml:space="preserve"> </w:t>
      </w:r>
      <w:proofErr w:type="spellStart"/>
      <w:r w:rsidRPr="00FB26C4">
        <w:rPr>
          <w:rFonts w:asciiTheme="minorHAnsi" w:hAnsiTheme="minorHAnsi" w:cstheme="minorHAnsi"/>
          <w:lang w:val="en-GB" w:eastAsia="hr-HR" w:bidi="bn-BD"/>
        </w:rPr>
        <w:t>plin</w:t>
      </w:r>
      <w:proofErr w:type="spellEnd"/>
      <w:r w:rsidRPr="00FB26C4">
        <w:rPr>
          <w:rFonts w:asciiTheme="minorHAnsi" w:hAnsiTheme="minorHAnsi" w:cstheme="minorHAnsi"/>
          <w:lang w:val="en-GB" w:eastAsia="hr-HR" w:bidi="bn-BD"/>
        </w:rPr>
        <w:t xml:space="preserve"> had to immediately take care of its gas which was not possible also due to </w:t>
      </w:r>
      <w:r w:rsidR="00376467" w:rsidRPr="00FB26C4">
        <w:rPr>
          <w:rFonts w:asciiTheme="minorHAnsi" w:hAnsiTheme="minorHAnsi" w:cstheme="minorHAnsi"/>
          <w:lang w:val="en-GB" w:eastAsia="hr-HR" w:bidi="bn-BD"/>
        </w:rPr>
        <w:t xml:space="preserve">the </w:t>
      </w:r>
      <w:r w:rsidRPr="00FB26C4">
        <w:rPr>
          <w:rFonts w:asciiTheme="minorHAnsi" w:hAnsiTheme="minorHAnsi" w:cstheme="minorHAnsi"/>
          <w:lang w:val="en-GB" w:eastAsia="hr-HR" w:bidi="bn-BD"/>
        </w:rPr>
        <w:t xml:space="preserve">dynamics of gas </w:t>
      </w:r>
      <w:r w:rsidR="00376467" w:rsidRPr="00FB26C4">
        <w:rPr>
          <w:rFonts w:asciiTheme="minorHAnsi" w:hAnsiTheme="minorHAnsi" w:cstheme="minorHAnsi"/>
          <w:lang w:val="en-GB" w:eastAsia="hr-HR" w:bidi="bn-BD"/>
        </w:rPr>
        <w:t>withdrawal</w:t>
      </w:r>
      <w:r w:rsidRPr="00FB26C4">
        <w:rPr>
          <w:rFonts w:asciiTheme="minorHAnsi" w:hAnsiTheme="minorHAnsi" w:cstheme="minorHAnsi"/>
          <w:lang w:val="en-GB" w:eastAsia="hr-HR" w:bidi="bn-BD"/>
        </w:rPr>
        <w:t xml:space="preserve"> from the storage. Therefore INA requested a prolongation of th</w:t>
      </w:r>
      <w:r w:rsidR="00376467" w:rsidRPr="00FB26C4">
        <w:rPr>
          <w:rFonts w:asciiTheme="minorHAnsi" w:hAnsiTheme="minorHAnsi" w:cstheme="minorHAnsi"/>
          <w:lang w:val="en-GB" w:eastAsia="hr-HR" w:bidi="bn-BD"/>
        </w:rPr>
        <w:t>e</w:t>
      </w:r>
      <w:r w:rsidRPr="00FB26C4">
        <w:rPr>
          <w:rFonts w:asciiTheme="minorHAnsi" w:hAnsiTheme="minorHAnsi" w:cstheme="minorHAnsi"/>
          <w:lang w:val="en-GB" w:eastAsia="hr-HR" w:bidi="bn-BD"/>
        </w:rPr>
        <w:t xml:space="preserve"> deadline for taking care of the gas</w:t>
      </w:r>
      <w:r w:rsidR="00376467" w:rsidRPr="00FB26C4">
        <w:rPr>
          <w:rFonts w:asciiTheme="minorHAnsi" w:hAnsiTheme="minorHAnsi" w:cstheme="minorHAnsi"/>
          <w:lang w:val="en-GB" w:eastAsia="hr-HR" w:bidi="bn-BD"/>
        </w:rPr>
        <w:t>.</w:t>
      </w:r>
      <w:r w:rsidRPr="00FB26C4">
        <w:rPr>
          <w:rFonts w:asciiTheme="minorHAnsi" w:hAnsiTheme="minorHAnsi" w:cstheme="minorHAnsi"/>
          <w:lang w:val="en-GB" w:eastAsia="hr-HR" w:bidi="bn-BD"/>
        </w:rPr>
        <w:t xml:space="preserve"> </w:t>
      </w:r>
      <w:r w:rsidR="00376467" w:rsidRPr="00FB26C4">
        <w:rPr>
          <w:rFonts w:asciiTheme="minorHAnsi" w:hAnsiTheme="minorHAnsi" w:cstheme="minorHAnsi"/>
          <w:lang w:val="en-GB" w:eastAsia="hr-HR" w:bidi="bn-BD"/>
        </w:rPr>
        <w:t>H</w:t>
      </w:r>
      <w:r w:rsidRPr="00FB26C4">
        <w:rPr>
          <w:rFonts w:asciiTheme="minorHAnsi" w:hAnsiTheme="minorHAnsi" w:cstheme="minorHAnsi"/>
          <w:lang w:val="en-GB" w:eastAsia="hr-HR" w:bidi="bn-BD"/>
        </w:rPr>
        <w:t>owever all requests were denied.</w:t>
      </w:r>
    </w:p>
    <w:p w:rsidR="00043898" w:rsidRPr="00FB26C4" w:rsidRDefault="00043898" w:rsidP="00043898">
      <w:pPr>
        <w:spacing w:line="252" w:lineRule="auto"/>
        <w:jc w:val="both"/>
        <w:rPr>
          <w:rFonts w:asciiTheme="minorHAnsi" w:hAnsiTheme="minorHAnsi" w:cstheme="minorHAnsi"/>
          <w:lang w:val="en-GB" w:eastAsia="hr-HR" w:bidi="bn-BD"/>
        </w:rPr>
      </w:pPr>
      <w:r w:rsidRPr="00FB26C4">
        <w:rPr>
          <w:rFonts w:asciiTheme="minorHAnsi" w:hAnsiTheme="minorHAnsi" w:cstheme="minorHAnsi"/>
          <w:lang w:val="en-GB" w:eastAsia="hr-HR" w:bidi="bn-BD"/>
        </w:rPr>
        <w:t xml:space="preserve"> </w:t>
      </w:r>
    </w:p>
    <w:p w:rsidR="00376467" w:rsidRPr="00FB26C4" w:rsidRDefault="00043898" w:rsidP="00043898">
      <w:pPr>
        <w:spacing w:line="252" w:lineRule="auto"/>
        <w:jc w:val="both"/>
        <w:rPr>
          <w:rFonts w:asciiTheme="minorHAnsi" w:hAnsiTheme="minorHAnsi" w:cstheme="minorHAnsi"/>
          <w:lang w:val="en-GB" w:eastAsia="hr-HR" w:bidi="bn-BD"/>
        </w:rPr>
      </w:pPr>
      <w:r w:rsidRPr="00FB26C4">
        <w:rPr>
          <w:rFonts w:asciiTheme="minorHAnsi" w:hAnsiTheme="minorHAnsi" w:cstheme="minorHAnsi"/>
          <w:lang w:val="en-GB" w:eastAsia="hr-HR" w:bidi="bn-BD"/>
        </w:rPr>
        <w:t>Furthermore, the royalty rate for hydrocarbon production on existing fields has been increased by 100%</w:t>
      </w:r>
      <w:r w:rsidR="009865F3">
        <w:rPr>
          <w:rFonts w:asciiTheme="minorHAnsi" w:hAnsiTheme="minorHAnsi" w:cstheme="minorHAnsi"/>
          <w:lang w:val="en-GB" w:eastAsia="hr-HR" w:bidi="bn-BD"/>
        </w:rPr>
        <w:t>, from 5 to 10%</w:t>
      </w:r>
      <w:r w:rsidRPr="00FB26C4">
        <w:rPr>
          <w:rFonts w:asciiTheme="minorHAnsi" w:hAnsiTheme="minorHAnsi" w:cstheme="minorHAnsi"/>
          <w:lang w:val="en-GB" w:eastAsia="hr-HR" w:bidi="bn-BD"/>
        </w:rPr>
        <w:t xml:space="preserve">. </w:t>
      </w:r>
    </w:p>
    <w:p w:rsidR="00376467" w:rsidRPr="00FB26C4" w:rsidRDefault="00376467" w:rsidP="00043898">
      <w:pPr>
        <w:spacing w:line="252" w:lineRule="auto"/>
        <w:jc w:val="both"/>
        <w:rPr>
          <w:rFonts w:asciiTheme="minorHAnsi" w:hAnsiTheme="minorHAnsi" w:cstheme="minorHAnsi"/>
          <w:lang w:val="en-GB" w:eastAsia="hr-HR" w:bidi="bn-BD"/>
        </w:rPr>
      </w:pPr>
    </w:p>
    <w:p w:rsidR="00043898" w:rsidRPr="00FB26C4" w:rsidRDefault="00043898" w:rsidP="00043898">
      <w:pPr>
        <w:spacing w:line="252" w:lineRule="auto"/>
        <w:jc w:val="both"/>
        <w:rPr>
          <w:rFonts w:asciiTheme="minorHAnsi" w:hAnsiTheme="minorHAnsi" w:cstheme="minorHAnsi"/>
          <w:lang w:val="en-GB" w:eastAsia="hr-HR" w:bidi="bn-BD"/>
        </w:rPr>
      </w:pPr>
      <w:r w:rsidRPr="00FB26C4">
        <w:rPr>
          <w:rFonts w:asciiTheme="minorHAnsi" w:hAnsiTheme="minorHAnsi" w:cstheme="minorHAnsi"/>
          <w:lang w:val="en-GB" w:eastAsia="hr-HR" w:bidi="bn-BD"/>
        </w:rPr>
        <w:t>All the</w:t>
      </w:r>
      <w:r w:rsidR="00376467" w:rsidRPr="00FB26C4">
        <w:rPr>
          <w:rFonts w:asciiTheme="minorHAnsi" w:hAnsiTheme="minorHAnsi" w:cstheme="minorHAnsi"/>
          <w:lang w:val="en-GB" w:eastAsia="hr-HR" w:bidi="bn-BD"/>
        </w:rPr>
        <w:t>se</w:t>
      </w:r>
      <w:r w:rsidRPr="00FB26C4">
        <w:rPr>
          <w:rFonts w:asciiTheme="minorHAnsi" w:hAnsiTheme="minorHAnsi" w:cstheme="minorHAnsi"/>
          <w:lang w:val="en-GB" w:eastAsia="hr-HR" w:bidi="bn-BD"/>
        </w:rPr>
        <w:t xml:space="preserve"> changes will </w:t>
      </w:r>
      <w:r w:rsidR="00376467" w:rsidRPr="00FB26C4">
        <w:rPr>
          <w:rFonts w:asciiTheme="minorHAnsi" w:hAnsiTheme="minorHAnsi" w:cstheme="minorHAnsi"/>
          <w:lang w:val="en-GB" w:eastAsia="hr-HR" w:bidi="bn-BD"/>
        </w:rPr>
        <w:t>influence the company</w:t>
      </w:r>
      <w:r w:rsidRPr="00FB26C4">
        <w:rPr>
          <w:rFonts w:asciiTheme="minorHAnsi" w:hAnsiTheme="minorHAnsi" w:cstheme="minorHAnsi"/>
          <w:lang w:val="en-GB" w:eastAsia="hr-HR" w:bidi="bn-BD"/>
        </w:rPr>
        <w:t xml:space="preserve"> to reconsider its future investment plans.</w:t>
      </w:r>
    </w:p>
    <w:p w:rsidR="00486E84" w:rsidRPr="00FB26C4" w:rsidRDefault="00486E84" w:rsidP="002E5DFD">
      <w:pPr>
        <w:autoSpaceDE w:val="0"/>
        <w:autoSpaceDN w:val="0"/>
        <w:adjustRightInd w:val="0"/>
        <w:jc w:val="both"/>
        <w:rPr>
          <w:rFonts w:asciiTheme="minorHAnsi" w:hAnsiTheme="minorHAnsi" w:cstheme="minorHAnsi"/>
          <w:lang w:val="en-GB" w:eastAsia="hr-HR" w:bidi="bn-BD"/>
        </w:rPr>
      </w:pPr>
    </w:p>
    <w:p w:rsidR="00EE09D6" w:rsidRPr="00FB26C4" w:rsidRDefault="00EE09D6" w:rsidP="002E5DFD">
      <w:pPr>
        <w:autoSpaceDE w:val="0"/>
        <w:autoSpaceDN w:val="0"/>
        <w:adjustRightInd w:val="0"/>
        <w:jc w:val="both"/>
        <w:rPr>
          <w:rFonts w:asciiTheme="minorHAnsi" w:hAnsiTheme="minorHAnsi" w:cstheme="minorHAnsi"/>
          <w:b/>
          <w:sz w:val="22"/>
          <w:szCs w:val="22"/>
          <w:lang w:val="en-GB" w:eastAsia="hr-HR" w:bidi="bn-BD"/>
        </w:rPr>
      </w:pPr>
    </w:p>
    <w:p w:rsidR="002C7C12" w:rsidRPr="00FB26C4" w:rsidRDefault="002C7C12" w:rsidP="00EF70D2">
      <w:pPr>
        <w:pStyle w:val="NormalWeb"/>
        <w:spacing w:before="0" w:beforeAutospacing="0" w:after="0" w:afterAutospacing="0"/>
        <w:textAlignment w:val="baseline"/>
        <w:rPr>
          <w:rFonts w:asciiTheme="minorHAnsi" w:eastAsia="MS PGothic" w:hAnsiTheme="minorHAnsi" w:cstheme="minorHAnsi"/>
          <w:b/>
          <w:bCs/>
          <w:color w:val="003F87"/>
          <w:kern w:val="24"/>
          <w:sz w:val="28"/>
          <w:szCs w:val="28"/>
          <w:lang w:val="en-GB"/>
        </w:rPr>
      </w:pPr>
    </w:p>
    <w:p w:rsidR="00376467" w:rsidRPr="00FB26C4" w:rsidRDefault="00376467" w:rsidP="00EF70D2">
      <w:pPr>
        <w:pStyle w:val="NormalWeb"/>
        <w:spacing w:before="0" w:beforeAutospacing="0" w:after="0" w:afterAutospacing="0"/>
        <w:textAlignment w:val="baseline"/>
        <w:rPr>
          <w:rFonts w:asciiTheme="minorHAnsi" w:eastAsia="MS PGothic" w:hAnsiTheme="minorHAnsi" w:cstheme="minorHAnsi"/>
          <w:b/>
          <w:bCs/>
          <w:color w:val="003F87"/>
          <w:kern w:val="24"/>
          <w:sz w:val="28"/>
          <w:szCs w:val="28"/>
          <w:lang w:val="en-GB"/>
        </w:rPr>
      </w:pPr>
    </w:p>
    <w:p w:rsidR="00376467" w:rsidRPr="00FB26C4" w:rsidRDefault="00376467" w:rsidP="00EF70D2">
      <w:pPr>
        <w:pStyle w:val="NormalWeb"/>
        <w:spacing w:before="0" w:beforeAutospacing="0" w:after="0" w:afterAutospacing="0"/>
        <w:textAlignment w:val="baseline"/>
        <w:rPr>
          <w:rFonts w:asciiTheme="minorHAnsi" w:eastAsia="MS PGothic" w:hAnsiTheme="minorHAnsi" w:cstheme="minorHAnsi"/>
          <w:b/>
          <w:bCs/>
          <w:color w:val="003F87"/>
          <w:kern w:val="24"/>
          <w:sz w:val="28"/>
          <w:szCs w:val="28"/>
          <w:lang w:val="en-GB"/>
        </w:rPr>
      </w:pPr>
    </w:p>
    <w:p w:rsidR="00376467" w:rsidRPr="00FB26C4" w:rsidRDefault="00376467" w:rsidP="00EF70D2">
      <w:pPr>
        <w:pStyle w:val="NormalWeb"/>
        <w:spacing w:before="0" w:beforeAutospacing="0" w:after="0" w:afterAutospacing="0"/>
        <w:textAlignment w:val="baseline"/>
        <w:rPr>
          <w:rFonts w:asciiTheme="minorHAnsi" w:eastAsia="MS PGothic" w:hAnsiTheme="minorHAnsi" w:cstheme="minorHAnsi"/>
          <w:b/>
          <w:bCs/>
          <w:color w:val="003F87"/>
          <w:kern w:val="24"/>
          <w:sz w:val="28"/>
          <w:szCs w:val="28"/>
          <w:lang w:val="en-GB"/>
        </w:rPr>
      </w:pPr>
    </w:p>
    <w:p w:rsidR="00376467" w:rsidRPr="00FB26C4" w:rsidRDefault="00376467" w:rsidP="00EF70D2">
      <w:pPr>
        <w:pStyle w:val="NormalWeb"/>
        <w:spacing w:before="0" w:beforeAutospacing="0" w:after="0" w:afterAutospacing="0"/>
        <w:textAlignment w:val="baseline"/>
        <w:rPr>
          <w:rFonts w:asciiTheme="minorHAnsi" w:eastAsia="MS PGothic" w:hAnsiTheme="minorHAnsi" w:cstheme="minorHAnsi"/>
          <w:b/>
          <w:bCs/>
          <w:color w:val="003F87"/>
          <w:kern w:val="24"/>
          <w:sz w:val="28"/>
          <w:szCs w:val="28"/>
          <w:lang w:val="en-GB"/>
        </w:rPr>
      </w:pPr>
    </w:p>
    <w:p w:rsidR="00376467" w:rsidRPr="00FB26C4" w:rsidRDefault="00376467" w:rsidP="00EF70D2">
      <w:pPr>
        <w:pStyle w:val="NormalWeb"/>
        <w:spacing w:before="0" w:beforeAutospacing="0" w:after="0" w:afterAutospacing="0"/>
        <w:textAlignment w:val="baseline"/>
        <w:rPr>
          <w:rFonts w:asciiTheme="minorHAnsi" w:eastAsia="MS PGothic" w:hAnsiTheme="minorHAnsi" w:cstheme="minorHAnsi"/>
          <w:b/>
          <w:bCs/>
          <w:color w:val="003F87"/>
          <w:kern w:val="24"/>
          <w:sz w:val="28"/>
          <w:szCs w:val="28"/>
          <w:lang w:val="en-GB"/>
        </w:rPr>
      </w:pPr>
    </w:p>
    <w:p w:rsidR="00376467" w:rsidRPr="00FB26C4" w:rsidRDefault="00376467" w:rsidP="00EF70D2">
      <w:pPr>
        <w:pStyle w:val="NormalWeb"/>
        <w:spacing w:before="0" w:beforeAutospacing="0" w:after="0" w:afterAutospacing="0"/>
        <w:textAlignment w:val="baseline"/>
        <w:rPr>
          <w:rFonts w:asciiTheme="minorHAnsi" w:eastAsia="MS PGothic" w:hAnsiTheme="minorHAnsi" w:cstheme="minorHAnsi"/>
          <w:b/>
          <w:bCs/>
          <w:color w:val="003F87"/>
          <w:kern w:val="24"/>
          <w:sz w:val="28"/>
          <w:szCs w:val="28"/>
          <w:lang w:val="en-GB"/>
        </w:rPr>
      </w:pPr>
    </w:p>
    <w:p w:rsidR="00376467" w:rsidRPr="00FB26C4" w:rsidRDefault="00376467" w:rsidP="00EF70D2">
      <w:pPr>
        <w:pStyle w:val="NormalWeb"/>
        <w:spacing w:before="0" w:beforeAutospacing="0" w:after="0" w:afterAutospacing="0"/>
        <w:textAlignment w:val="baseline"/>
        <w:rPr>
          <w:rFonts w:asciiTheme="minorHAnsi" w:eastAsia="MS PGothic" w:hAnsiTheme="minorHAnsi" w:cstheme="minorHAnsi"/>
          <w:b/>
          <w:bCs/>
          <w:color w:val="003F87"/>
          <w:kern w:val="24"/>
          <w:sz w:val="28"/>
          <w:szCs w:val="28"/>
          <w:lang w:val="en-GB"/>
        </w:rPr>
      </w:pPr>
    </w:p>
    <w:p w:rsidR="00376467" w:rsidRPr="00FB26C4" w:rsidRDefault="00376467" w:rsidP="00EF70D2">
      <w:pPr>
        <w:pStyle w:val="NormalWeb"/>
        <w:spacing w:before="0" w:beforeAutospacing="0" w:after="0" w:afterAutospacing="0"/>
        <w:textAlignment w:val="baseline"/>
        <w:rPr>
          <w:rFonts w:asciiTheme="minorHAnsi" w:eastAsia="MS PGothic" w:hAnsiTheme="minorHAnsi" w:cstheme="minorHAnsi"/>
          <w:b/>
          <w:bCs/>
          <w:color w:val="003F87"/>
          <w:kern w:val="24"/>
          <w:sz w:val="28"/>
          <w:szCs w:val="28"/>
          <w:lang w:val="en-GB"/>
        </w:rPr>
      </w:pPr>
    </w:p>
    <w:p w:rsidR="00376467" w:rsidRDefault="00376467" w:rsidP="00376467">
      <w:pPr>
        <w:jc w:val="both"/>
        <w:rPr>
          <w:rFonts w:asciiTheme="minorHAnsi" w:hAnsiTheme="minorHAnsi" w:cstheme="minorHAnsi"/>
          <w:lang w:val="en-GB" w:eastAsia="hr-HR" w:bidi="bn-BD"/>
        </w:rPr>
      </w:pPr>
      <w:r w:rsidRPr="00FB26C4">
        <w:rPr>
          <w:rFonts w:asciiTheme="minorHAnsi" w:hAnsiTheme="minorHAnsi" w:cstheme="minorHAnsi"/>
          <w:lang w:val="en-GB" w:eastAsia="hr-HR" w:bidi="bn-BD"/>
        </w:rPr>
        <w:t xml:space="preserve">Exploration and Production segment’s CAPEX in Q1 2014 amounted to HRK 226 million. Capital investments in Croatia amounted </w:t>
      </w:r>
      <w:r w:rsidR="009865F3">
        <w:rPr>
          <w:rFonts w:asciiTheme="minorHAnsi" w:hAnsiTheme="minorHAnsi" w:cstheme="minorHAnsi"/>
          <w:lang w:val="en-GB" w:eastAsia="hr-HR" w:bidi="bn-BD"/>
        </w:rPr>
        <w:t xml:space="preserve">to </w:t>
      </w:r>
      <w:r w:rsidRPr="00FB26C4">
        <w:rPr>
          <w:rFonts w:asciiTheme="minorHAnsi" w:hAnsiTheme="minorHAnsi" w:cstheme="minorHAnsi"/>
          <w:lang w:val="en-GB" w:eastAsia="hr-HR" w:bidi="bn-BD"/>
        </w:rPr>
        <w:t xml:space="preserve">HRK 202.6 million and capital investments abroad </w:t>
      </w:r>
      <w:r w:rsidR="009865F3">
        <w:rPr>
          <w:rFonts w:asciiTheme="minorHAnsi" w:hAnsiTheme="minorHAnsi" w:cstheme="minorHAnsi"/>
          <w:lang w:val="en-GB" w:eastAsia="hr-HR" w:bidi="bn-BD"/>
        </w:rPr>
        <w:t xml:space="preserve">were at the level of </w:t>
      </w:r>
      <w:r w:rsidRPr="00FB26C4">
        <w:rPr>
          <w:rFonts w:asciiTheme="minorHAnsi" w:hAnsiTheme="minorHAnsi" w:cstheme="minorHAnsi"/>
          <w:lang w:val="en-GB" w:eastAsia="hr-HR" w:bidi="bn-BD"/>
        </w:rPr>
        <w:t>HRK 22.8 million. In comparison with Q1 2013</w:t>
      </w:r>
      <w:r w:rsidR="009865F3">
        <w:rPr>
          <w:rFonts w:asciiTheme="minorHAnsi" w:hAnsiTheme="minorHAnsi" w:cstheme="minorHAnsi"/>
          <w:lang w:val="en-GB" w:eastAsia="hr-HR" w:bidi="bn-BD"/>
        </w:rPr>
        <w:t>,</w:t>
      </w:r>
      <w:r w:rsidRPr="00FB26C4">
        <w:rPr>
          <w:rFonts w:asciiTheme="minorHAnsi" w:hAnsiTheme="minorHAnsi" w:cstheme="minorHAnsi"/>
          <w:lang w:val="en-GB" w:eastAsia="hr-HR" w:bidi="bn-BD"/>
        </w:rPr>
        <w:t xml:space="preserve"> capital investments are higher in total </w:t>
      </w:r>
      <w:r w:rsidR="009865F3">
        <w:rPr>
          <w:rFonts w:asciiTheme="minorHAnsi" w:hAnsiTheme="minorHAnsi" w:cstheme="minorHAnsi"/>
          <w:lang w:val="en-GB" w:eastAsia="hr-HR" w:bidi="bn-BD"/>
        </w:rPr>
        <w:t>of</w:t>
      </w:r>
      <w:r w:rsidRPr="00FB26C4">
        <w:rPr>
          <w:rFonts w:asciiTheme="minorHAnsi" w:hAnsiTheme="minorHAnsi" w:cstheme="minorHAnsi"/>
          <w:lang w:val="en-GB" w:eastAsia="hr-HR" w:bidi="bn-BD"/>
        </w:rPr>
        <w:t xml:space="preserve"> HRK 111 million or 97%. Increased investment level is mainly </w:t>
      </w:r>
      <w:r w:rsidR="009865F3">
        <w:rPr>
          <w:rFonts w:asciiTheme="minorHAnsi" w:hAnsiTheme="minorHAnsi" w:cstheme="minorHAnsi"/>
          <w:lang w:val="en-GB" w:eastAsia="hr-HR" w:bidi="bn-BD"/>
        </w:rPr>
        <w:t xml:space="preserve">the </w:t>
      </w:r>
      <w:r w:rsidRPr="00FB26C4">
        <w:rPr>
          <w:rFonts w:asciiTheme="minorHAnsi" w:hAnsiTheme="minorHAnsi" w:cstheme="minorHAnsi"/>
          <w:lang w:val="en-GB" w:eastAsia="hr-HR" w:bidi="bn-BD"/>
        </w:rPr>
        <w:t xml:space="preserve">result of on-going offshore development drilling campaign on </w:t>
      </w:r>
      <w:proofErr w:type="spellStart"/>
      <w:r w:rsidRPr="00FB26C4">
        <w:rPr>
          <w:rFonts w:asciiTheme="minorHAnsi" w:hAnsiTheme="minorHAnsi" w:cstheme="minorHAnsi"/>
          <w:lang w:val="en-GB" w:eastAsia="hr-HR" w:bidi="bn-BD"/>
        </w:rPr>
        <w:t>Ika</w:t>
      </w:r>
      <w:proofErr w:type="spellEnd"/>
      <w:r w:rsidRPr="00FB26C4">
        <w:rPr>
          <w:rFonts w:asciiTheme="minorHAnsi" w:hAnsiTheme="minorHAnsi" w:cstheme="minorHAnsi"/>
          <w:lang w:val="en-GB" w:eastAsia="hr-HR" w:bidi="bn-BD"/>
        </w:rPr>
        <w:t xml:space="preserve"> field and intensive EOR </w:t>
      </w:r>
      <w:r w:rsidRPr="00FB26C4">
        <w:rPr>
          <w:rFonts w:asciiTheme="minorHAnsi" w:hAnsiTheme="minorHAnsi" w:cstheme="minorHAnsi"/>
        </w:rPr>
        <w:t>(</w:t>
      </w:r>
      <w:proofErr w:type="spellStart"/>
      <w:r w:rsidRPr="00FB26C4">
        <w:rPr>
          <w:rFonts w:asciiTheme="minorHAnsi" w:hAnsiTheme="minorHAnsi" w:cstheme="minorHAnsi"/>
        </w:rPr>
        <w:t>Enhanced</w:t>
      </w:r>
      <w:proofErr w:type="spellEnd"/>
      <w:r w:rsidRPr="00FB26C4">
        <w:rPr>
          <w:rFonts w:asciiTheme="minorHAnsi" w:hAnsiTheme="minorHAnsi" w:cstheme="minorHAnsi"/>
        </w:rPr>
        <w:t xml:space="preserve"> Oil </w:t>
      </w:r>
      <w:proofErr w:type="spellStart"/>
      <w:r w:rsidRPr="00FB26C4">
        <w:rPr>
          <w:rFonts w:asciiTheme="minorHAnsi" w:hAnsiTheme="minorHAnsi" w:cstheme="minorHAnsi"/>
        </w:rPr>
        <w:t>Recovery</w:t>
      </w:r>
      <w:proofErr w:type="spellEnd"/>
      <w:r w:rsidRPr="00FB26C4">
        <w:rPr>
          <w:rFonts w:asciiTheme="minorHAnsi" w:hAnsiTheme="minorHAnsi" w:cstheme="minorHAnsi"/>
        </w:rPr>
        <w:t xml:space="preserve">) </w:t>
      </w:r>
      <w:r w:rsidRPr="00FB26C4">
        <w:rPr>
          <w:rFonts w:asciiTheme="minorHAnsi" w:hAnsiTheme="minorHAnsi" w:cstheme="minorHAnsi"/>
          <w:lang w:val="en-GB" w:eastAsia="hr-HR" w:bidi="bn-BD"/>
        </w:rPr>
        <w:t xml:space="preserve">project activities. </w:t>
      </w:r>
    </w:p>
    <w:p w:rsidR="00FB26C4" w:rsidRDefault="00FB26C4" w:rsidP="00376467">
      <w:pPr>
        <w:jc w:val="both"/>
        <w:rPr>
          <w:rFonts w:asciiTheme="minorHAnsi" w:hAnsiTheme="minorHAnsi" w:cstheme="minorHAnsi"/>
          <w:lang w:val="en-GB" w:eastAsia="hr-HR" w:bidi="bn-BD"/>
        </w:rPr>
      </w:pPr>
    </w:p>
    <w:p w:rsidR="00FB26C4" w:rsidRPr="00FB26C4" w:rsidRDefault="00FB26C4" w:rsidP="00376467">
      <w:pPr>
        <w:jc w:val="both"/>
        <w:rPr>
          <w:rFonts w:asciiTheme="minorHAnsi" w:hAnsiTheme="minorHAnsi" w:cstheme="minorHAnsi"/>
          <w:lang w:val="en-GB" w:eastAsia="hr-HR" w:bidi="bn-BD"/>
        </w:rPr>
      </w:pPr>
    </w:p>
    <w:p w:rsidR="00376467" w:rsidRPr="00FB26C4" w:rsidRDefault="00376467" w:rsidP="00EF70D2">
      <w:pPr>
        <w:pStyle w:val="NormalWeb"/>
        <w:spacing w:before="0" w:beforeAutospacing="0" w:after="0" w:afterAutospacing="0"/>
        <w:textAlignment w:val="baseline"/>
        <w:rPr>
          <w:rFonts w:asciiTheme="minorHAnsi" w:hAnsiTheme="minorHAnsi" w:cstheme="minorHAnsi"/>
          <w:lang w:val="en-GB" w:bidi="bn-BD"/>
        </w:rPr>
      </w:pPr>
    </w:p>
    <w:p w:rsidR="00EF70D2" w:rsidRPr="00FB26C4" w:rsidRDefault="00EF70D2" w:rsidP="00EF70D2">
      <w:pPr>
        <w:pStyle w:val="NormalWeb"/>
        <w:spacing w:before="0" w:beforeAutospacing="0" w:after="0" w:afterAutospacing="0"/>
        <w:textAlignment w:val="baseline"/>
        <w:rPr>
          <w:rFonts w:asciiTheme="minorHAnsi" w:eastAsia="MS PGothic" w:hAnsiTheme="minorHAnsi" w:cstheme="minorHAnsi"/>
          <w:b/>
          <w:bCs/>
          <w:color w:val="003F87"/>
          <w:kern w:val="24"/>
          <w:sz w:val="28"/>
          <w:szCs w:val="28"/>
          <w:lang w:val="en-GB"/>
        </w:rPr>
      </w:pPr>
      <w:r w:rsidRPr="00FB26C4">
        <w:rPr>
          <w:rFonts w:asciiTheme="minorHAnsi" w:eastAsia="MS PGothic" w:hAnsiTheme="minorHAnsi" w:cstheme="minorHAnsi"/>
          <w:b/>
          <w:bCs/>
          <w:color w:val="003F87"/>
          <w:kern w:val="24"/>
          <w:sz w:val="28"/>
          <w:szCs w:val="28"/>
          <w:lang w:val="en-GB"/>
        </w:rPr>
        <w:t>Exploration and production CAPEX</w:t>
      </w:r>
    </w:p>
    <w:p w:rsidR="00EF70D2" w:rsidRPr="00FB26C4" w:rsidRDefault="00EF70D2" w:rsidP="00EF70D2">
      <w:pPr>
        <w:pStyle w:val="NormalWeb"/>
        <w:spacing w:before="0" w:beforeAutospacing="0" w:after="0" w:afterAutospacing="0"/>
        <w:rPr>
          <w:rFonts w:asciiTheme="minorHAnsi" w:hAnsiTheme="minorHAnsi" w:cstheme="minorHAnsi"/>
          <w:color w:val="3F3F3F"/>
          <w:sz w:val="21"/>
          <w:szCs w:val="21"/>
          <w:lang w:val="en-GB"/>
        </w:rPr>
      </w:pPr>
      <w:r w:rsidRPr="00FB26C4">
        <w:rPr>
          <w:rFonts w:asciiTheme="minorHAnsi" w:hAnsiTheme="minorHAnsi" w:cstheme="minorHAnsi"/>
          <w:color w:val="3F3F3F"/>
          <w:sz w:val="21"/>
          <w:szCs w:val="21"/>
          <w:lang w:val="en-GB"/>
        </w:rPr>
        <w:t>(HRK million)</w:t>
      </w:r>
    </w:p>
    <w:p w:rsidR="00376467" w:rsidRPr="00FB26C4" w:rsidRDefault="00376467" w:rsidP="00EF70D2">
      <w:pPr>
        <w:pStyle w:val="NormalWeb"/>
        <w:spacing w:before="0" w:beforeAutospacing="0" w:after="0" w:afterAutospacing="0"/>
        <w:rPr>
          <w:rFonts w:asciiTheme="minorHAnsi" w:hAnsiTheme="minorHAnsi" w:cstheme="minorHAnsi"/>
          <w:color w:val="3F3F3F"/>
          <w:sz w:val="21"/>
          <w:szCs w:val="21"/>
          <w:lang w:val="en-GB"/>
        </w:rPr>
      </w:pPr>
    </w:p>
    <w:p w:rsidR="00376467" w:rsidRPr="00FB26C4" w:rsidRDefault="00376467" w:rsidP="00EF70D2">
      <w:pPr>
        <w:pStyle w:val="NormalWeb"/>
        <w:spacing w:before="0" w:beforeAutospacing="0" w:after="0" w:afterAutospacing="0"/>
        <w:rPr>
          <w:rFonts w:asciiTheme="minorHAnsi" w:hAnsiTheme="minorHAnsi" w:cstheme="minorHAnsi"/>
          <w:color w:val="3F3F3F"/>
          <w:sz w:val="21"/>
          <w:szCs w:val="21"/>
          <w:lang w:val="en-GB"/>
        </w:rPr>
      </w:pPr>
    </w:p>
    <w:p w:rsidR="00D03BD6" w:rsidRPr="00FB26C4" w:rsidRDefault="00376467" w:rsidP="0030681C">
      <w:pPr>
        <w:rPr>
          <w:rFonts w:asciiTheme="minorHAnsi" w:hAnsiTheme="minorHAnsi" w:cstheme="minorHAnsi"/>
          <w:noProof/>
          <w:lang w:val="en-GB" w:eastAsia="hr-HR"/>
        </w:rPr>
      </w:pPr>
      <w:r w:rsidRPr="00FB26C4">
        <w:rPr>
          <w:rFonts w:asciiTheme="minorHAnsi" w:hAnsiTheme="minorHAnsi" w:cstheme="minorHAnsi"/>
          <w:noProof/>
          <w:lang w:eastAsia="hr-HR"/>
        </w:rPr>
        <w:drawing>
          <wp:inline distT="0" distB="0" distL="0" distR="0" wp14:anchorId="386D2CBC" wp14:editId="4F59FDDD">
            <wp:extent cx="2999740" cy="2121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9740" cy="2121535"/>
                    </a:xfrm>
                    <a:prstGeom prst="rect">
                      <a:avLst/>
                    </a:prstGeom>
                    <a:noFill/>
                  </pic:spPr>
                </pic:pic>
              </a:graphicData>
            </a:graphic>
          </wp:inline>
        </w:drawing>
      </w:r>
    </w:p>
    <w:p w:rsidR="002E5DFD" w:rsidRPr="00FB26C4" w:rsidRDefault="002E5DFD" w:rsidP="0030681C">
      <w:pPr>
        <w:rPr>
          <w:rFonts w:asciiTheme="minorHAnsi" w:hAnsiTheme="minorHAnsi" w:cstheme="minorHAnsi"/>
          <w:noProof/>
          <w:lang w:val="en-GB" w:eastAsia="hr-HR"/>
        </w:rPr>
      </w:pPr>
    </w:p>
    <w:p w:rsidR="00F616BC" w:rsidRPr="00FB26C4" w:rsidRDefault="00F616BC" w:rsidP="0030681C">
      <w:pPr>
        <w:rPr>
          <w:rFonts w:asciiTheme="minorHAnsi" w:hAnsiTheme="minorHAnsi" w:cstheme="minorHAnsi"/>
          <w:noProof/>
          <w:lang w:val="en-GB" w:eastAsia="hr-HR"/>
        </w:rPr>
      </w:pPr>
    </w:p>
    <w:p w:rsidR="00F616BC" w:rsidRPr="00FB26C4" w:rsidRDefault="00F616BC" w:rsidP="0030681C">
      <w:pPr>
        <w:rPr>
          <w:rFonts w:asciiTheme="minorHAnsi" w:hAnsiTheme="minorHAnsi" w:cstheme="minorHAnsi"/>
          <w:noProof/>
          <w:lang w:val="en-GB" w:eastAsia="hr-HR"/>
        </w:rPr>
      </w:pPr>
    </w:p>
    <w:p w:rsidR="00F616BC" w:rsidRPr="00FB26C4" w:rsidRDefault="00F616BC" w:rsidP="0030681C">
      <w:pPr>
        <w:rPr>
          <w:rFonts w:asciiTheme="minorHAnsi" w:hAnsiTheme="minorHAnsi" w:cstheme="minorHAnsi"/>
          <w:noProof/>
          <w:lang w:val="en-GB" w:eastAsia="hr-HR"/>
        </w:rPr>
      </w:pPr>
    </w:p>
    <w:p w:rsidR="00F616BC" w:rsidRPr="00FB26C4" w:rsidRDefault="00F616BC" w:rsidP="0030681C">
      <w:pPr>
        <w:rPr>
          <w:rFonts w:asciiTheme="minorHAnsi" w:hAnsiTheme="minorHAnsi" w:cstheme="minorHAnsi"/>
          <w:noProof/>
          <w:lang w:val="en-GB" w:eastAsia="hr-HR"/>
        </w:rPr>
      </w:pPr>
    </w:p>
    <w:p w:rsidR="00EE09D6" w:rsidRPr="00FB26C4" w:rsidRDefault="00EE09D6" w:rsidP="0030681C">
      <w:pPr>
        <w:rPr>
          <w:rFonts w:asciiTheme="minorHAnsi" w:hAnsiTheme="minorHAnsi" w:cstheme="minorHAnsi"/>
          <w:noProof/>
          <w:lang w:val="en-GB" w:eastAsia="hr-HR"/>
        </w:rPr>
      </w:pPr>
    </w:p>
    <w:p w:rsidR="00F616BC" w:rsidRPr="00FB26C4" w:rsidRDefault="00F616BC" w:rsidP="00EF70D2">
      <w:pPr>
        <w:tabs>
          <w:tab w:val="left" w:pos="1440"/>
        </w:tabs>
        <w:spacing w:line="360" w:lineRule="auto"/>
        <w:jc w:val="both"/>
        <w:rPr>
          <w:rFonts w:asciiTheme="minorHAnsi" w:hAnsiTheme="minorHAnsi" w:cstheme="minorHAnsi"/>
          <w:b/>
          <w:lang w:val="en-GB"/>
        </w:rPr>
      </w:pPr>
    </w:p>
    <w:p w:rsidR="00F616BC" w:rsidRPr="00FB26C4" w:rsidRDefault="00F616BC" w:rsidP="00EF70D2">
      <w:pPr>
        <w:tabs>
          <w:tab w:val="left" w:pos="1440"/>
        </w:tabs>
        <w:spacing w:line="360" w:lineRule="auto"/>
        <w:jc w:val="both"/>
        <w:rPr>
          <w:rFonts w:asciiTheme="minorHAnsi" w:hAnsiTheme="minorHAnsi" w:cstheme="minorHAnsi"/>
          <w:b/>
          <w:lang w:val="en-GB"/>
        </w:rPr>
      </w:pPr>
    </w:p>
    <w:p w:rsidR="00F616BC" w:rsidRPr="00FB26C4" w:rsidRDefault="00F616BC" w:rsidP="00EF70D2">
      <w:pPr>
        <w:tabs>
          <w:tab w:val="left" w:pos="1440"/>
        </w:tabs>
        <w:spacing w:line="360" w:lineRule="auto"/>
        <w:jc w:val="both"/>
        <w:rPr>
          <w:rFonts w:asciiTheme="minorHAnsi" w:hAnsiTheme="minorHAnsi" w:cstheme="minorHAnsi"/>
          <w:b/>
          <w:lang w:val="en-GB"/>
        </w:rPr>
      </w:pPr>
    </w:p>
    <w:p w:rsidR="00376467" w:rsidRPr="00FB26C4" w:rsidRDefault="00376467" w:rsidP="00EF70D2">
      <w:pPr>
        <w:tabs>
          <w:tab w:val="left" w:pos="1440"/>
        </w:tabs>
        <w:spacing w:line="360" w:lineRule="auto"/>
        <w:jc w:val="both"/>
        <w:rPr>
          <w:rFonts w:asciiTheme="minorHAnsi" w:hAnsiTheme="minorHAnsi" w:cstheme="minorHAnsi"/>
          <w:b/>
          <w:lang w:val="en-GB"/>
        </w:rPr>
      </w:pPr>
    </w:p>
    <w:p w:rsidR="00376467" w:rsidRPr="00FB26C4" w:rsidRDefault="00376467" w:rsidP="00EF70D2">
      <w:pPr>
        <w:tabs>
          <w:tab w:val="left" w:pos="1440"/>
        </w:tabs>
        <w:spacing w:line="360" w:lineRule="auto"/>
        <w:jc w:val="both"/>
        <w:rPr>
          <w:rFonts w:asciiTheme="minorHAnsi" w:hAnsiTheme="minorHAnsi" w:cstheme="minorHAnsi"/>
          <w:b/>
          <w:lang w:val="en-GB"/>
        </w:rPr>
      </w:pPr>
    </w:p>
    <w:p w:rsidR="00376467" w:rsidRPr="00FB26C4" w:rsidRDefault="00376467" w:rsidP="00EF70D2">
      <w:pPr>
        <w:tabs>
          <w:tab w:val="left" w:pos="1440"/>
        </w:tabs>
        <w:spacing w:line="360" w:lineRule="auto"/>
        <w:jc w:val="both"/>
        <w:rPr>
          <w:rFonts w:asciiTheme="minorHAnsi" w:hAnsiTheme="minorHAnsi" w:cstheme="minorHAnsi"/>
          <w:b/>
          <w:lang w:val="en-GB"/>
        </w:rPr>
      </w:pPr>
    </w:p>
    <w:p w:rsidR="00376467" w:rsidRPr="00FB26C4" w:rsidRDefault="00376467" w:rsidP="00EF70D2">
      <w:pPr>
        <w:tabs>
          <w:tab w:val="left" w:pos="1440"/>
        </w:tabs>
        <w:spacing w:line="360" w:lineRule="auto"/>
        <w:jc w:val="both"/>
        <w:rPr>
          <w:rFonts w:asciiTheme="minorHAnsi" w:hAnsiTheme="minorHAnsi" w:cstheme="minorHAnsi"/>
          <w:b/>
          <w:lang w:val="en-GB"/>
        </w:rPr>
      </w:pPr>
    </w:p>
    <w:p w:rsidR="00F616BC" w:rsidRPr="00FB26C4" w:rsidRDefault="00F616BC" w:rsidP="00EF70D2">
      <w:pPr>
        <w:tabs>
          <w:tab w:val="left" w:pos="1440"/>
        </w:tabs>
        <w:spacing w:line="360" w:lineRule="auto"/>
        <w:jc w:val="both"/>
        <w:rPr>
          <w:rFonts w:asciiTheme="minorHAnsi" w:hAnsiTheme="minorHAnsi" w:cstheme="minorHAnsi"/>
          <w:b/>
          <w:lang w:val="en-GB"/>
        </w:rPr>
      </w:pPr>
    </w:p>
    <w:p w:rsidR="00376467" w:rsidRPr="00FB26C4" w:rsidRDefault="00EF70D2" w:rsidP="00376467">
      <w:pPr>
        <w:jc w:val="both"/>
        <w:rPr>
          <w:rFonts w:asciiTheme="minorHAnsi" w:hAnsiTheme="minorHAnsi" w:cstheme="minorHAnsi"/>
          <w:lang w:val="en-GB"/>
        </w:rPr>
      </w:pPr>
      <w:r w:rsidRPr="00FB26C4">
        <w:rPr>
          <w:rFonts w:asciiTheme="minorHAnsi" w:hAnsiTheme="minorHAnsi" w:cstheme="minorHAnsi"/>
          <w:b/>
          <w:lang w:val="en-GB"/>
        </w:rPr>
        <w:lastRenderedPageBreak/>
        <w:t>Refining and Marketing, including Retail</w:t>
      </w:r>
      <w:r w:rsidRPr="00FB26C4">
        <w:rPr>
          <w:rFonts w:asciiTheme="minorHAnsi" w:hAnsiTheme="minorHAnsi" w:cstheme="minorHAnsi"/>
          <w:lang w:val="en-GB"/>
        </w:rPr>
        <w:t xml:space="preserve"> – Clean CCS-based</w:t>
      </w:r>
      <w:r w:rsidRPr="00FB26C4">
        <w:rPr>
          <w:rFonts w:asciiTheme="minorHAnsi" w:hAnsiTheme="minorHAnsi" w:cstheme="minorHAnsi"/>
          <w:vertAlign w:val="superscript"/>
          <w:lang w:val="en-GB"/>
        </w:rPr>
        <w:footnoteReference w:id="3"/>
      </w:r>
      <w:r w:rsidRPr="00FB26C4">
        <w:rPr>
          <w:rFonts w:asciiTheme="minorHAnsi" w:hAnsiTheme="minorHAnsi" w:cstheme="minorHAnsi"/>
          <w:lang w:val="en-GB"/>
        </w:rPr>
        <w:t xml:space="preserve"> EBITDA amounted to HRK </w:t>
      </w:r>
      <w:r w:rsidR="00376467" w:rsidRPr="00FB26C4">
        <w:rPr>
          <w:rFonts w:asciiTheme="minorHAnsi" w:hAnsiTheme="minorHAnsi" w:cstheme="minorHAnsi"/>
          <w:lang w:val="en-GB"/>
        </w:rPr>
        <w:t>268</w:t>
      </w:r>
      <w:r w:rsidRPr="00FB26C4">
        <w:rPr>
          <w:rFonts w:asciiTheme="minorHAnsi" w:hAnsiTheme="minorHAnsi" w:cstheme="minorHAnsi"/>
          <w:lang w:val="en-GB"/>
        </w:rPr>
        <w:t xml:space="preserve"> </w:t>
      </w:r>
      <w:proofErr w:type="spellStart"/>
      <w:r w:rsidRPr="00FB26C4">
        <w:rPr>
          <w:rFonts w:asciiTheme="minorHAnsi" w:hAnsiTheme="minorHAnsi" w:cstheme="minorHAnsi"/>
          <w:lang w:val="en-GB"/>
        </w:rPr>
        <w:t>mln</w:t>
      </w:r>
      <w:proofErr w:type="spellEnd"/>
      <w:r w:rsidRPr="00FB26C4">
        <w:rPr>
          <w:rFonts w:asciiTheme="minorHAnsi" w:hAnsiTheme="minorHAnsi" w:cstheme="minorHAnsi"/>
          <w:lang w:val="en-GB"/>
        </w:rPr>
        <w:t xml:space="preserve"> </w:t>
      </w:r>
      <w:r w:rsidR="00376467" w:rsidRPr="00FB26C4">
        <w:rPr>
          <w:rFonts w:asciiTheme="minorHAnsi" w:hAnsiTheme="minorHAnsi" w:cstheme="minorHAnsi"/>
          <w:lang w:val="en-GB"/>
        </w:rPr>
        <w:t xml:space="preserve">loss, which is HRK 85 million below previous quarter performance. </w:t>
      </w:r>
    </w:p>
    <w:p w:rsidR="00376467" w:rsidRPr="00FB26C4" w:rsidRDefault="00376467" w:rsidP="00376467">
      <w:pPr>
        <w:jc w:val="both"/>
        <w:rPr>
          <w:rFonts w:asciiTheme="minorHAnsi" w:hAnsiTheme="minorHAnsi" w:cstheme="minorHAnsi"/>
          <w:lang w:val="en-GB"/>
        </w:rPr>
      </w:pPr>
    </w:p>
    <w:p w:rsidR="00376467" w:rsidRPr="00FB26C4" w:rsidRDefault="00376467" w:rsidP="00376467">
      <w:pPr>
        <w:jc w:val="both"/>
        <w:rPr>
          <w:rFonts w:asciiTheme="minorHAnsi" w:hAnsiTheme="minorHAnsi" w:cstheme="minorHAnsi"/>
          <w:lang w:val="en-GB"/>
        </w:rPr>
      </w:pPr>
      <w:r w:rsidRPr="00FB26C4">
        <w:rPr>
          <w:rFonts w:asciiTheme="minorHAnsi" w:hAnsiTheme="minorHAnsi" w:cstheme="minorHAnsi"/>
          <w:lang w:val="en-GB"/>
        </w:rPr>
        <w:t xml:space="preserve">Main drivers of the negative difference were: </w:t>
      </w:r>
    </w:p>
    <w:p w:rsidR="00376467" w:rsidRPr="00FB26C4" w:rsidRDefault="00376467" w:rsidP="003950A8">
      <w:pPr>
        <w:pStyle w:val="ListParagraph"/>
        <w:numPr>
          <w:ilvl w:val="0"/>
          <w:numId w:val="14"/>
        </w:numPr>
        <w:jc w:val="both"/>
        <w:rPr>
          <w:rFonts w:asciiTheme="minorHAnsi" w:hAnsiTheme="minorHAnsi" w:cstheme="minorHAnsi"/>
          <w:lang w:val="en-GB"/>
        </w:rPr>
      </w:pPr>
      <w:r w:rsidRPr="00FB26C4">
        <w:rPr>
          <w:rFonts w:asciiTheme="minorHAnsi" w:hAnsiTheme="minorHAnsi" w:cstheme="minorHAnsi"/>
          <w:lang w:val="en-GB"/>
        </w:rPr>
        <w:t xml:space="preserve">lower R&amp;M spread deriving from 27% lower average crack spread (especially lower LPG and gasoil crack spreads), </w:t>
      </w:r>
    </w:p>
    <w:p w:rsidR="00376467" w:rsidRPr="00FB26C4" w:rsidRDefault="00376467" w:rsidP="003950A8">
      <w:pPr>
        <w:pStyle w:val="ListParagraph"/>
        <w:numPr>
          <w:ilvl w:val="0"/>
          <w:numId w:val="14"/>
        </w:numPr>
        <w:jc w:val="both"/>
        <w:rPr>
          <w:rFonts w:asciiTheme="minorHAnsi" w:hAnsiTheme="minorHAnsi" w:cstheme="minorHAnsi"/>
          <w:lang w:val="en-GB"/>
        </w:rPr>
      </w:pPr>
      <w:r w:rsidRPr="00FB26C4">
        <w:rPr>
          <w:rFonts w:asciiTheme="minorHAnsi" w:hAnsiTheme="minorHAnsi" w:cstheme="minorHAnsi"/>
          <w:lang w:val="en-GB"/>
        </w:rPr>
        <w:t>decreased sales volumes by 15% combined with less favourable sales structure (higher fuel oil share produced)</w:t>
      </w:r>
    </w:p>
    <w:p w:rsidR="003950A8" w:rsidRPr="00FB26C4" w:rsidRDefault="00376467" w:rsidP="003950A8">
      <w:pPr>
        <w:pStyle w:val="ListParagraph"/>
        <w:numPr>
          <w:ilvl w:val="0"/>
          <w:numId w:val="14"/>
        </w:numPr>
        <w:jc w:val="both"/>
        <w:rPr>
          <w:rFonts w:asciiTheme="minorHAnsi" w:hAnsiTheme="minorHAnsi" w:cstheme="minorHAnsi"/>
          <w:lang w:val="en-GB"/>
        </w:rPr>
      </w:pPr>
      <w:proofErr w:type="gramStart"/>
      <w:r w:rsidRPr="00FB26C4">
        <w:rPr>
          <w:rFonts w:asciiTheme="minorHAnsi" w:hAnsiTheme="minorHAnsi" w:cstheme="minorHAnsi"/>
          <w:lang w:val="en-GB"/>
        </w:rPr>
        <w:t>higher</w:t>
      </w:r>
      <w:proofErr w:type="gramEnd"/>
      <w:r w:rsidRPr="00FB26C4">
        <w:rPr>
          <w:rFonts w:asciiTheme="minorHAnsi" w:hAnsiTheme="minorHAnsi" w:cstheme="minorHAnsi"/>
          <w:lang w:val="en-GB"/>
        </w:rPr>
        <w:t xml:space="preserve"> energy consumption. </w:t>
      </w:r>
    </w:p>
    <w:p w:rsidR="003950A8" w:rsidRPr="00FB26C4" w:rsidRDefault="003950A8" w:rsidP="00376467">
      <w:pPr>
        <w:jc w:val="both"/>
        <w:rPr>
          <w:rFonts w:asciiTheme="minorHAnsi" w:hAnsiTheme="minorHAnsi" w:cstheme="minorHAnsi"/>
          <w:lang w:val="en-GB"/>
        </w:rPr>
      </w:pPr>
    </w:p>
    <w:p w:rsidR="00376467" w:rsidRPr="00FB26C4" w:rsidRDefault="00376467" w:rsidP="00376467">
      <w:pPr>
        <w:jc w:val="both"/>
        <w:rPr>
          <w:rFonts w:asciiTheme="minorHAnsi" w:hAnsiTheme="minorHAnsi" w:cstheme="minorHAnsi"/>
          <w:lang w:val="en-GB"/>
        </w:rPr>
      </w:pPr>
      <w:r w:rsidRPr="00FB26C4">
        <w:rPr>
          <w:rFonts w:asciiTheme="minorHAnsi" w:hAnsiTheme="minorHAnsi" w:cstheme="minorHAnsi"/>
          <w:lang w:val="en-GB"/>
        </w:rPr>
        <w:t>These factors were partially offset by lower operating expenses coming from decreased transportation cost</w:t>
      </w:r>
      <w:r w:rsidR="003950A8" w:rsidRPr="00FB26C4">
        <w:rPr>
          <w:rFonts w:asciiTheme="minorHAnsi" w:hAnsiTheme="minorHAnsi" w:cstheme="minorHAnsi"/>
          <w:lang w:val="en-GB"/>
        </w:rPr>
        <w:t>,</w:t>
      </w:r>
      <w:r w:rsidRPr="00FB26C4">
        <w:rPr>
          <w:rFonts w:asciiTheme="minorHAnsi" w:hAnsiTheme="minorHAnsi" w:cstheme="minorHAnsi"/>
          <w:lang w:val="en-GB"/>
        </w:rPr>
        <w:t xml:space="preserve"> and improved Brent-Ural spread (1.4 in Q1 vs. 0.5 USD/</w:t>
      </w:r>
      <w:proofErr w:type="spellStart"/>
      <w:r w:rsidRPr="00FB26C4">
        <w:rPr>
          <w:rFonts w:asciiTheme="minorHAnsi" w:hAnsiTheme="minorHAnsi" w:cstheme="minorHAnsi"/>
          <w:lang w:val="en-GB"/>
        </w:rPr>
        <w:t>bbl</w:t>
      </w:r>
      <w:proofErr w:type="spellEnd"/>
      <w:r w:rsidRPr="00FB26C4">
        <w:rPr>
          <w:rFonts w:asciiTheme="minorHAnsi" w:hAnsiTheme="minorHAnsi" w:cstheme="minorHAnsi"/>
          <w:lang w:val="en-GB"/>
        </w:rPr>
        <w:t xml:space="preserve"> in Q4).</w:t>
      </w:r>
    </w:p>
    <w:p w:rsidR="00376467" w:rsidRPr="00FB26C4" w:rsidRDefault="00376467" w:rsidP="00376467">
      <w:pPr>
        <w:tabs>
          <w:tab w:val="left" w:pos="1440"/>
        </w:tabs>
        <w:jc w:val="both"/>
        <w:rPr>
          <w:rFonts w:asciiTheme="minorHAnsi" w:hAnsiTheme="minorHAnsi" w:cstheme="minorHAnsi"/>
          <w:lang w:val="en-GB"/>
        </w:rPr>
      </w:pPr>
    </w:p>
    <w:p w:rsidR="003950A8" w:rsidRPr="00FB26C4" w:rsidRDefault="003950A8" w:rsidP="003950A8">
      <w:pPr>
        <w:autoSpaceDE w:val="0"/>
        <w:autoSpaceDN w:val="0"/>
        <w:adjustRightInd w:val="0"/>
        <w:jc w:val="both"/>
        <w:rPr>
          <w:rFonts w:asciiTheme="minorHAnsi" w:hAnsiTheme="minorHAnsi" w:cstheme="minorHAnsi"/>
          <w:lang w:val="en-GB"/>
        </w:rPr>
      </w:pPr>
      <w:r w:rsidRPr="00FB26C4">
        <w:rPr>
          <w:rFonts w:asciiTheme="minorHAnsi" w:hAnsiTheme="minorHAnsi" w:cstheme="minorHAnsi"/>
          <w:lang w:val="en-GB"/>
        </w:rPr>
        <w:t xml:space="preserve">Total sales volumes of Retail Segment in Q1 2014 amounted to 196 </w:t>
      </w:r>
      <w:proofErr w:type="spellStart"/>
      <w:r w:rsidRPr="00FB26C4">
        <w:rPr>
          <w:rFonts w:asciiTheme="minorHAnsi" w:hAnsiTheme="minorHAnsi" w:cstheme="minorHAnsi"/>
          <w:lang w:val="en-GB"/>
        </w:rPr>
        <w:t>kt</w:t>
      </w:r>
      <w:proofErr w:type="spellEnd"/>
      <w:r w:rsidRPr="00FB26C4">
        <w:rPr>
          <w:rFonts w:asciiTheme="minorHAnsi" w:hAnsiTheme="minorHAnsi" w:cstheme="minorHAnsi"/>
          <w:lang w:val="en-GB"/>
        </w:rPr>
        <w:t xml:space="preserve">, in comparison to the same period of the previous year </w:t>
      </w:r>
      <w:proofErr w:type="gramStart"/>
      <w:r w:rsidRPr="00FB26C4">
        <w:rPr>
          <w:rFonts w:asciiTheme="minorHAnsi" w:hAnsiTheme="minorHAnsi" w:cstheme="minorHAnsi"/>
          <w:lang w:val="en-GB"/>
        </w:rPr>
        <w:t>was</w:t>
      </w:r>
      <w:proofErr w:type="gramEnd"/>
      <w:r w:rsidRPr="00FB26C4">
        <w:rPr>
          <w:rFonts w:asciiTheme="minorHAnsi" w:hAnsiTheme="minorHAnsi" w:cstheme="minorHAnsi"/>
          <w:lang w:val="en-GB"/>
        </w:rPr>
        <w:t xml:space="preserve"> increased by 2% while throughput per site was also higher by 2%.</w:t>
      </w:r>
    </w:p>
    <w:p w:rsidR="003950A8" w:rsidRPr="00FB26C4" w:rsidRDefault="003950A8" w:rsidP="003950A8">
      <w:pPr>
        <w:autoSpaceDE w:val="0"/>
        <w:autoSpaceDN w:val="0"/>
        <w:adjustRightInd w:val="0"/>
        <w:jc w:val="both"/>
        <w:rPr>
          <w:rFonts w:asciiTheme="minorHAnsi" w:hAnsiTheme="minorHAnsi" w:cstheme="minorHAnsi"/>
          <w:lang w:val="en-GB"/>
        </w:rPr>
      </w:pPr>
      <w:r w:rsidRPr="00FB26C4">
        <w:rPr>
          <w:rFonts w:asciiTheme="minorHAnsi" w:hAnsiTheme="minorHAnsi" w:cstheme="minorHAnsi"/>
          <w:lang w:val="en-GB"/>
        </w:rPr>
        <w:t xml:space="preserve"> </w:t>
      </w:r>
    </w:p>
    <w:p w:rsidR="003950A8" w:rsidRPr="00FB26C4" w:rsidRDefault="003950A8" w:rsidP="003950A8">
      <w:pPr>
        <w:jc w:val="both"/>
        <w:rPr>
          <w:rFonts w:asciiTheme="minorHAnsi" w:hAnsiTheme="minorHAnsi" w:cstheme="minorHAnsi"/>
          <w:lang w:val="en-GB"/>
        </w:rPr>
      </w:pPr>
      <w:r w:rsidRPr="00FB26C4">
        <w:rPr>
          <w:rFonts w:asciiTheme="minorHAnsi" w:hAnsiTheme="minorHAnsi" w:cstheme="minorHAnsi"/>
          <w:lang w:val="en-GB"/>
        </w:rPr>
        <w:t xml:space="preserve">Capital expenditures in Q1 2014 were slightly higher than in the same period of 2013 and </w:t>
      </w:r>
      <w:r w:rsidR="00CC3E7F" w:rsidRPr="00FB26C4">
        <w:rPr>
          <w:rFonts w:asciiTheme="minorHAnsi" w:hAnsiTheme="minorHAnsi" w:cstheme="minorHAnsi"/>
          <w:lang w:val="en-GB"/>
        </w:rPr>
        <w:t>amounted</w:t>
      </w:r>
      <w:r w:rsidRPr="00FB26C4">
        <w:rPr>
          <w:rFonts w:asciiTheme="minorHAnsi" w:hAnsiTheme="minorHAnsi" w:cstheme="minorHAnsi"/>
          <w:lang w:val="en-GB"/>
        </w:rPr>
        <w:t xml:space="preserve"> to HRK 46 million. One of the projects</w:t>
      </w:r>
      <w:r w:rsidR="009865F3">
        <w:rPr>
          <w:rFonts w:asciiTheme="minorHAnsi" w:hAnsiTheme="minorHAnsi" w:cstheme="minorHAnsi"/>
          <w:lang w:val="en-GB"/>
        </w:rPr>
        <w:t xml:space="preserve"> </w:t>
      </w:r>
      <w:r w:rsidR="005E7BB8">
        <w:rPr>
          <w:rFonts w:asciiTheme="minorHAnsi" w:hAnsiTheme="minorHAnsi" w:cstheme="minorHAnsi"/>
          <w:lang w:val="en-GB"/>
        </w:rPr>
        <w:t xml:space="preserve">that </w:t>
      </w:r>
      <w:r w:rsidR="009865F3">
        <w:rPr>
          <w:rFonts w:asciiTheme="minorHAnsi" w:hAnsiTheme="minorHAnsi" w:cstheme="minorHAnsi"/>
          <w:lang w:val="en-GB"/>
        </w:rPr>
        <w:t>are</w:t>
      </w:r>
      <w:r w:rsidR="005E7BB8">
        <w:rPr>
          <w:rFonts w:asciiTheme="minorHAnsi" w:hAnsiTheme="minorHAnsi" w:cstheme="minorHAnsi"/>
          <w:lang w:val="en-GB"/>
        </w:rPr>
        <w:t xml:space="preserve"> prepared</w:t>
      </w:r>
      <w:r w:rsidRPr="00FB26C4">
        <w:rPr>
          <w:rFonts w:asciiTheme="minorHAnsi" w:hAnsiTheme="minorHAnsi" w:cstheme="minorHAnsi"/>
          <w:lang w:val="en-GB"/>
        </w:rPr>
        <w:t xml:space="preserve"> in R&amp;M</w:t>
      </w:r>
      <w:r w:rsidR="005E7BB8">
        <w:rPr>
          <w:rFonts w:asciiTheme="minorHAnsi" w:hAnsiTheme="minorHAnsi" w:cstheme="minorHAnsi"/>
          <w:lang w:val="en-GB"/>
        </w:rPr>
        <w:t xml:space="preserve"> in this </w:t>
      </w:r>
      <w:proofErr w:type="gramStart"/>
      <w:r w:rsidR="005E7BB8">
        <w:rPr>
          <w:rFonts w:asciiTheme="minorHAnsi" w:hAnsiTheme="minorHAnsi" w:cstheme="minorHAnsi"/>
          <w:lang w:val="en-GB"/>
        </w:rPr>
        <w:t>quarter</w:t>
      </w:r>
      <w:r w:rsidRPr="00FB26C4">
        <w:rPr>
          <w:rFonts w:asciiTheme="minorHAnsi" w:hAnsiTheme="minorHAnsi" w:cstheme="minorHAnsi"/>
          <w:lang w:val="en-GB"/>
        </w:rPr>
        <w:t xml:space="preserve"> </w:t>
      </w:r>
      <w:r w:rsidR="009865F3">
        <w:rPr>
          <w:rFonts w:asciiTheme="minorHAnsi" w:hAnsiTheme="minorHAnsi" w:cstheme="minorHAnsi"/>
          <w:lang w:val="en-GB"/>
        </w:rPr>
        <w:t xml:space="preserve"> is</w:t>
      </w:r>
      <w:proofErr w:type="gramEnd"/>
      <w:r w:rsidR="009865F3">
        <w:rPr>
          <w:rFonts w:asciiTheme="minorHAnsi" w:hAnsiTheme="minorHAnsi" w:cstheme="minorHAnsi"/>
          <w:lang w:val="en-GB"/>
        </w:rPr>
        <w:t xml:space="preserve"> </w:t>
      </w:r>
      <w:r w:rsidRPr="00FB26C4">
        <w:rPr>
          <w:rFonts w:asciiTheme="minorHAnsi" w:hAnsiTheme="minorHAnsi" w:cstheme="minorHAnsi"/>
          <w:lang w:val="en-GB"/>
        </w:rPr>
        <w:t>the turnaround in Sisak Refinery which has the objective to ensure safe, reliable, and efficient operation in Sisak Refinery.</w:t>
      </w:r>
    </w:p>
    <w:p w:rsidR="003950A8" w:rsidRPr="00FB26C4" w:rsidRDefault="003950A8" w:rsidP="003950A8">
      <w:pPr>
        <w:ind w:right="23"/>
        <w:jc w:val="both"/>
        <w:rPr>
          <w:rFonts w:asciiTheme="minorHAnsi" w:hAnsiTheme="minorHAnsi" w:cstheme="minorHAnsi"/>
          <w:lang w:val="en-GB"/>
        </w:rPr>
      </w:pPr>
    </w:p>
    <w:p w:rsidR="00946364" w:rsidRPr="00FB26C4" w:rsidRDefault="00946364" w:rsidP="00946364">
      <w:pPr>
        <w:pStyle w:val="NormalWeb"/>
        <w:spacing w:before="0" w:beforeAutospacing="0" w:after="0" w:afterAutospacing="0"/>
        <w:textAlignment w:val="baseline"/>
        <w:rPr>
          <w:rFonts w:asciiTheme="minorHAnsi" w:eastAsia="MS PGothic" w:hAnsiTheme="minorHAnsi" w:cstheme="minorHAnsi"/>
          <w:b/>
          <w:bCs/>
          <w:color w:val="003F87"/>
          <w:kern w:val="24"/>
          <w:sz w:val="28"/>
          <w:szCs w:val="28"/>
          <w:lang w:val="en-GB"/>
        </w:rPr>
      </w:pPr>
      <w:r w:rsidRPr="00FB26C4">
        <w:rPr>
          <w:rFonts w:asciiTheme="minorHAnsi" w:eastAsia="MS PGothic" w:hAnsiTheme="minorHAnsi" w:cstheme="minorHAnsi"/>
          <w:b/>
          <w:bCs/>
          <w:color w:val="003F87"/>
          <w:kern w:val="24"/>
          <w:sz w:val="28"/>
          <w:szCs w:val="28"/>
          <w:lang w:val="en-GB"/>
        </w:rPr>
        <w:t>Refining and marketing CAPEX (including Retail)</w:t>
      </w:r>
    </w:p>
    <w:p w:rsidR="00946364" w:rsidRPr="00FB26C4" w:rsidRDefault="00946364" w:rsidP="00946364">
      <w:pPr>
        <w:pStyle w:val="NormalWeb"/>
        <w:spacing w:before="0" w:beforeAutospacing="0" w:after="0" w:afterAutospacing="0"/>
        <w:rPr>
          <w:rFonts w:asciiTheme="minorHAnsi" w:hAnsiTheme="minorHAnsi" w:cstheme="minorHAnsi"/>
          <w:color w:val="3F3F3F"/>
          <w:sz w:val="21"/>
          <w:szCs w:val="21"/>
          <w:lang w:val="en-GB"/>
        </w:rPr>
      </w:pPr>
      <w:r w:rsidRPr="00FB26C4">
        <w:rPr>
          <w:rFonts w:asciiTheme="minorHAnsi" w:hAnsiTheme="minorHAnsi" w:cstheme="minorHAnsi"/>
          <w:color w:val="3F3F3F"/>
          <w:sz w:val="21"/>
          <w:szCs w:val="21"/>
          <w:lang w:val="en-GB"/>
        </w:rPr>
        <w:t>(HRK million)</w:t>
      </w:r>
      <w:r w:rsidR="00EE09D6" w:rsidRPr="00FB26C4">
        <w:rPr>
          <w:rFonts w:asciiTheme="minorHAnsi" w:hAnsiTheme="minorHAnsi" w:cstheme="minorHAnsi"/>
          <w:noProof/>
          <w:lang w:val="en-GB"/>
        </w:rPr>
        <w:t xml:space="preserve"> </w:t>
      </w:r>
    </w:p>
    <w:p w:rsidR="0030681C" w:rsidRPr="00FB26C4" w:rsidRDefault="006D73C3" w:rsidP="0030681C">
      <w:pPr>
        <w:rPr>
          <w:rFonts w:asciiTheme="minorHAnsi" w:hAnsiTheme="minorHAnsi" w:cstheme="minorHAnsi"/>
          <w:lang w:val="en-GB"/>
        </w:rPr>
      </w:pPr>
      <w:r w:rsidRPr="008F0879">
        <w:rPr>
          <w:rFonts w:asciiTheme="minorHAnsi" w:hAnsiTheme="minorHAnsi" w:cstheme="minorHAnsi"/>
          <w:noProof/>
          <w:lang w:eastAsia="hr-HR"/>
        </w:rPr>
        <w:drawing>
          <wp:inline distT="0" distB="0" distL="0" distR="0" wp14:anchorId="0E3CCDBB" wp14:editId="4DAD2EE3">
            <wp:extent cx="2731135" cy="1713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1135" cy="1713230"/>
                    </a:xfrm>
                    <a:prstGeom prst="rect">
                      <a:avLst/>
                    </a:prstGeom>
                    <a:noFill/>
                  </pic:spPr>
                </pic:pic>
              </a:graphicData>
            </a:graphic>
          </wp:inline>
        </w:drawing>
      </w:r>
    </w:p>
    <w:p w:rsidR="00324B77" w:rsidRPr="00FB26C4" w:rsidRDefault="00324B77" w:rsidP="00182070">
      <w:pPr>
        <w:autoSpaceDE w:val="0"/>
        <w:autoSpaceDN w:val="0"/>
        <w:adjustRightInd w:val="0"/>
        <w:jc w:val="both"/>
        <w:rPr>
          <w:rFonts w:asciiTheme="minorHAnsi" w:hAnsiTheme="minorHAnsi" w:cstheme="minorHAnsi"/>
          <w:lang w:val="en-GB" w:eastAsia="hr-HR" w:bidi="bn-BD"/>
        </w:rPr>
      </w:pPr>
    </w:p>
    <w:p w:rsidR="004712BC" w:rsidRPr="00FB26C4" w:rsidRDefault="004712BC" w:rsidP="00946364">
      <w:pPr>
        <w:autoSpaceDE w:val="0"/>
        <w:autoSpaceDN w:val="0"/>
        <w:adjustRightInd w:val="0"/>
        <w:jc w:val="both"/>
        <w:rPr>
          <w:rFonts w:asciiTheme="minorHAnsi" w:hAnsiTheme="minorHAnsi" w:cstheme="minorHAnsi"/>
          <w:lang w:val="en-GB" w:eastAsia="hr-HR" w:bidi="bn-BD"/>
        </w:rPr>
      </w:pPr>
    </w:p>
    <w:p w:rsidR="004712BC" w:rsidRPr="00FB26C4" w:rsidRDefault="004712BC" w:rsidP="00946364">
      <w:pPr>
        <w:autoSpaceDE w:val="0"/>
        <w:autoSpaceDN w:val="0"/>
        <w:adjustRightInd w:val="0"/>
        <w:jc w:val="both"/>
        <w:rPr>
          <w:rFonts w:asciiTheme="minorHAnsi" w:hAnsiTheme="minorHAnsi" w:cstheme="minorHAnsi"/>
          <w:lang w:val="en-GB" w:eastAsia="hr-HR" w:bidi="bn-BD"/>
        </w:rPr>
      </w:pPr>
    </w:p>
    <w:p w:rsidR="003950A8" w:rsidRPr="00FB26C4" w:rsidRDefault="003950A8" w:rsidP="003950A8">
      <w:pPr>
        <w:jc w:val="both"/>
        <w:rPr>
          <w:rFonts w:asciiTheme="minorHAnsi" w:hAnsiTheme="minorHAnsi" w:cstheme="minorHAnsi"/>
          <w:lang w:val="en-GB"/>
        </w:rPr>
      </w:pPr>
      <w:r w:rsidRPr="00FB26C4">
        <w:rPr>
          <w:rFonts w:asciiTheme="minorHAnsi" w:hAnsiTheme="minorHAnsi" w:cstheme="minorHAnsi"/>
          <w:lang w:val="en-GB"/>
        </w:rPr>
        <w:t xml:space="preserve">Retail capital expenditures focused primarily on </w:t>
      </w:r>
      <w:r w:rsidR="009865F3">
        <w:rPr>
          <w:rFonts w:asciiTheme="minorHAnsi" w:hAnsiTheme="minorHAnsi" w:cstheme="minorHAnsi"/>
          <w:lang w:val="en-GB"/>
        </w:rPr>
        <w:t xml:space="preserve">the </w:t>
      </w:r>
      <w:r w:rsidRPr="00FB26C4">
        <w:rPr>
          <w:rFonts w:asciiTheme="minorHAnsi" w:hAnsiTheme="minorHAnsi" w:cstheme="minorHAnsi"/>
          <w:lang w:val="en-GB"/>
        </w:rPr>
        <w:t xml:space="preserve">modernization and capital reconstruction of petrol stations within the project “Blue concept”, and amounted to HRK 18.5 million. </w:t>
      </w:r>
    </w:p>
    <w:p w:rsidR="00966770" w:rsidRPr="00FB26C4" w:rsidRDefault="00966770" w:rsidP="005953D7">
      <w:pPr>
        <w:autoSpaceDE w:val="0"/>
        <w:autoSpaceDN w:val="0"/>
        <w:adjustRightInd w:val="0"/>
        <w:jc w:val="both"/>
        <w:rPr>
          <w:rFonts w:asciiTheme="minorHAnsi" w:hAnsiTheme="minorHAnsi" w:cstheme="minorHAnsi"/>
          <w:lang w:val="en-GB" w:eastAsia="hr-HR" w:bidi="bn-BD"/>
        </w:rPr>
      </w:pPr>
    </w:p>
    <w:p w:rsidR="005953D7" w:rsidRPr="00FB26C4" w:rsidRDefault="005953D7" w:rsidP="0030681C">
      <w:pPr>
        <w:jc w:val="both"/>
        <w:rPr>
          <w:rFonts w:asciiTheme="minorHAnsi" w:hAnsiTheme="minorHAnsi" w:cstheme="minorHAnsi"/>
          <w:lang w:val="en-GB"/>
        </w:rPr>
      </w:pPr>
    </w:p>
    <w:p w:rsidR="005953D7" w:rsidRPr="00FB26C4" w:rsidRDefault="005953D7" w:rsidP="0030681C">
      <w:pPr>
        <w:jc w:val="both"/>
        <w:rPr>
          <w:rFonts w:asciiTheme="minorHAnsi" w:hAnsiTheme="minorHAnsi" w:cstheme="minorHAnsi"/>
          <w:lang w:val="en-GB"/>
        </w:rPr>
      </w:pPr>
    </w:p>
    <w:p w:rsidR="00EE09D6" w:rsidRPr="00FB26C4" w:rsidRDefault="00EE09D6" w:rsidP="00EE09D6">
      <w:pPr>
        <w:spacing w:line="276" w:lineRule="auto"/>
        <w:jc w:val="both"/>
        <w:rPr>
          <w:rFonts w:asciiTheme="minorHAnsi" w:hAnsiTheme="minorHAnsi" w:cstheme="minorHAnsi"/>
          <w:bCs/>
          <w:lang w:val="en-GB"/>
        </w:rPr>
      </w:pPr>
    </w:p>
    <w:p w:rsidR="003950A8" w:rsidRPr="00FB26C4" w:rsidRDefault="003950A8" w:rsidP="00946364">
      <w:pPr>
        <w:spacing w:line="276" w:lineRule="auto"/>
        <w:jc w:val="both"/>
        <w:rPr>
          <w:rFonts w:asciiTheme="minorHAnsi" w:hAnsiTheme="minorHAnsi" w:cstheme="minorHAnsi"/>
          <w:bCs/>
          <w:lang w:val="en-GB"/>
        </w:rPr>
      </w:pPr>
    </w:p>
    <w:p w:rsidR="00946364" w:rsidRPr="00FB26C4" w:rsidRDefault="003950A8" w:rsidP="00946364">
      <w:pPr>
        <w:spacing w:line="276" w:lineRule="auto"/>
        <w:jc w:val="both"/>
        <w:rPr>
          <w:rFonts w:asciiTheme="minorHAnsi" w:hAnsiTheme="minorHAnsi" w:cstheme="minorHAnsi"/>
          <w:lang w:val="en-GB"/>
        </w:rPr>
      </w:pPr>
      <w:r w:rsidRPr="00FB26C4">
        <w:rPr>
          <w:rFonts w:asciiTheme="minorHAnsi" w:hAnsiTheme="minorHAnsi" w:cstheme="minorHAnsi"/>
          <w:lang w:val="en-GB"/>
        </w:rPr>
        <w:t>INA Group net debt decreased by 2% and amounted to HRK 4,687 million compared to 31 December 2013. Gearing ratio</w:t>
      </w:r>
      <w:r w:rsidRPr="000112C5">
        <w:rPr>
          <w:rFonts w:asciiTheme="minorHAnsi" w:hAnsiTheme="minorHAnsi" w:cstheme="minorHAnsi"/>
          <w:vertAlign w:val="superscript"/>
        </w:rPr>
        <w:footnoteReference w:id="4"/>
      </w:r>
      <w:r w:rsidRPr="000112C5">
        <w:rPr>
          <w:rFonts w:asciiTheme="minorHAnsi" w:hAnsiTheme="minorHAnsi" w:cstheme="minorHAnsi"/>
          <w:vertAlign w:val="superscript"/>
          <w:lang w:val="en-GB"/>
        </w:rPr>
        <w:t xml:space="preserve"> </w:t>
      </w:r>
      <w:r w:rsidRPr="00FB26C4">
        <w:rPr>
          <w:rFonts w:asciiTheme="minorHAnsi" w:hAnsiTheme="minorHAnsi" w:cstheme="minorHAnsi"/>
          <w:lang w:val="en-GB"/>
        </w:rPr>
        <w:t>decreased from 27.0% as at 31 December 2013, to 26.2% as at 31 March 2014.</w:t>
      </w:r>
    </w:p>
    <w:bookmarkEnd w:id="0"/>
    <w:p w:rsidR="00616C91" w:rsidRPr="00FB26C4" w:rsidRDefault="00616C91" w:rsidP="0030681C">
      <w:pPr>
        <w:spacing w:line="276" w:lineRule="auto"/>
        <w:jc w:val="both"/>
        <w:rPr>
          <w:rFonts w:asciiTheme="minorHAnsi" w:hAnsiTheme="minorHAnsi" w:cstheme="minorHAnsi"/>
          <w:bCs/>
          <w:lang w:val="en-GB"/>
        </w:rPr>
      </w:pPr>
    </w:p>
    <w:p w:rsidR="007222C0" w:rsidRPr="00CE145C" w:rsidRDefault="007222C0" w:rsidP="007222C0">
      <w:pPr>
        <w:pStyle w:val="NormalWeb"/>
        <w:spacing w:before="0" w:beforeAutospacing="0" w:after="0" w:afterAutospacing="0"/>
        <w:textAlignment w:val="baseline"/>
        <w:rPr>
          <w:rFonts w:ascii="Calibri" w:eastAsia="MS PGothic" w:hAnsi="Calibri" w:cs="MS PGothic"/>
          <w:b/>
          <w:bCs/>
          <w:color w:val="003F87"/>
          <w:kern w:val="24"/>
          <w:sz w:val="28"/>
          <w:szCs w:val="28"/>
          <w:lang w:val="en-GB"/>
        </w:rPr>
      </w:pPr>
      <w:r w:rsidRPr="00CE145C">
        <w:rPr>
          <w:rFonts w:ascii="Calibri" w:eastAsia="MS PGothic" w:hAnsi="Calibri" w:cs="MS PGothic"/>
          <w:b/>
          <w:bCs/>
          <w:color w:val="003F87"/>
          <w:kern w:val="24"/>
          <w:sz w:val="28"/>
          <w:szCs w:val="28"/>
          <w:lang w:val="en-GB"/>
        </w:rPr>
        <w:t xml:space="preserve">Net indebtedness of </w:t>
      </w:r>
      <w:r>
        <w:rPr>
          <w:rFonts w:ascii="Calibri" w:eastAsia="MS PGothic" w:hAnsi="Calibri" w:cs="MS PGothic"/>
          <w:b/>
          <w:bCs/>
          <w:color w:val="003F87"/>
          <w:kern w:val="24"/>
          <w:sz w:val="28"/>
          <w:szCs w:val="28"/>
          <w:lang w:val="en-GB"/>
        </w:rPr>
        <w:tab/>
      </w:r>
      <w:r>
        <w:rPr>
          <w:rFonts w:ascii="Calibri" w:eastAsia="MS PGothic" w:hAnsi="Calibri" w:cs="MS PGothic"/>
          <w:b/>
          <w:bCs/>
          <w:color w:val="003F87"/>
          <w:kern w:val="24"/>
          <w:sz w:val="28"/>
          <w:szCs w:val="28"/>
          <w:lang w:val="en-GB"/>
        </w:rPr>
        <w:tab/>
      </w:r>
      <w:r>
        <w:rPr>
          <w:rFonts w:ascii="Calibri" w:eastAsia="MS PGothic" w:hAnsi="Calibri" w:cs="MS PGothic"/>
          <w:b/>
          <w:bCs/>
          <w:color w:val="003F87"/>
          <w:kern w:val="24"/>
          <w:sz w:val="28"/>
          <w:szCs w:val="28"/>
          <w:lang w:val="en-GB"/>
        </w:rPr>
        <w:tab/>
      </w:r>
      <w:r>
        <w:rPr>
          <w:rFonts w:ascii="Calibri" w:eastAsia="MS PGothic" w:hAnsi="Calibri" w:cs="MS PGothic"/>
          <w:b/>
          <w:bCs/>
          <w:color w:val="003F87"/>
          <w:kern w:val="24"/>
          <w:sz w:val="28"/>
          <w:szCs w:val="28"/>
          <w:lang w:val="en-GB"/>
        </w:rPr>
        <w:tab/>
      </w:r>
      <w:r>
        <w:rPr>
          <w:rFonts w:ascii="Calibri" w:eastAsia="MS PGothic" w:hAnsi="Calibri" w:cs="MS PGothic"/>
          <w:b/>
          <w:bCs/>
          <w:color w:val="003F87"/>
          <w:kern w:val="24"/>
          <w:sz w:val="28"/>
          <w:szCs w:val="28"/>
          <w:lang w:val="en-GB"/>
        </w:rPr>
        <w:tab/>
      </w:r>
      <w:proofErr w:type="gramStart"/>
      <w:r w:rsidRPr="00FB26C4">
        <w:rPr>
          <w:rFonts w:asciiTheme="minorHAnsi" w:eastAsia="MS PGothic" w:hAnsiTheme="minorHAnsi" w:cstheme="minorHAnsi"/>
          <w:b/>
          <w:bCs/>
          <w:color w:val="003F87"/>
          <w:kern w:val="24"/>
          <w:sz w:val="28"/>
          <w:szCs w:val="28"/>
          <w:lang w:val="en-GB"/>
        </w:rPr>
        <w:t>Gearing</w:t>
      </w:r>
      <w:proofErr w:type="gramEnd"/>
      <w:r w:rsidRPr="00FB26C4">
        <w:rPr>
          <w:rFonts w:asciiTheme="minorHAnsi" w:eastAsia="MS PGothic" w:hAnsiTheme="minorHAnsi" w:cstheme="minorHAnsi"/>
          <w:b/>
          <w:bCs/>
          <w:color w:val="003F87"/>
          <w:kern w:val="24"/>
          <w:sz w:val="28"/>
          <w:szCs w:val="28"/>
          <w:lang w:val="en-GB"/>
        </w:rPr>
        <w:t xml:space="preserve"> ratio of INA Group</w:t>
      </w:r>
    </w:p>
    <w:p w:rsidR="007222C0" w:rsidRPr="00BE359B" w:rsidRDefault="007222C0" w:rsidP="007222C0">
      <w:pPr>
        <w:pStyle w:val="NormalWeb"/>
        <w:spacing w:before="0" w:beforeAutospacing="0" w:after="0" w:afterAutospacing="0"/>
        <w:textAlignment w:val="baseline"/>
        <w:rPr>
          <w:rFonts w:ascii="Calibri" w:eastAsia="MS PGothic" w:hAnsi="Calibri" w:cs="MS PGothic"/>
          <w:b/>
          <w:bCs/>
          <w:color w:val="003F87"/>
          <w:kern w:val="24"/>
          <w:sz w:val="28"/>
          <w:szCs w:val="28"/>
          <w:lang w:val="es-MX"/>
        </w:rPr>
      </w:pPr>
      <w:r w:rsidRPr="00CE145C">
        <w:rPr>
          <w:rFonts w:ascii="Calibri" w:eastAsia="MS PGothic" w:hAnsi="Calibri" w:cs="MS PGothic"/>
          <w:b/>
          <w:bCs/>
          <w:color w:val="003F87"/>
          <w:kern w:val="24"/>
          <w:sz w:val="28"/>
          <w:szCs w:val="28"/>
          <w:lang w:val="en-GB"/>
        </w:rPr>
        <w:t>INA Group</w:t>
      </w:r>
    </w:p>
    <w:p w:rsidR="007222C0" w:rsidRPr="00FB26C4" w:rsidRDefault="007222C0" w:rsidP="007222C0">
      <w:pPr>
        <w:pStyle w:val="NormalWeb"/>
        <w:spacing w:before="0" w:beforeAutospacing="0" w:after="0" w:afterAutospacing="0"/>
        <w:textAlignment w:val="baseline"/>
        <w:rPr>
          <w:rFonts w:asciiTheme="minorHAnsi" w:eastAsia="MS PGothic" w:hAnsiTheme="minorHAnsi" w:cstheme="minorHAnsi"/>
          <w:b/>
          <w:bCs/>
          <w:color w:val="003F87"/>
          <w:kern w:val="24"/>
          <w:sz w:val="28"/>
          <w:szCs w:val="28"/>
          <w:lang w:val="en-GB"/>
        </w:rPr>
      </w:pPr>
      <w:r w:rsidRPr="00325981">
        <w:rPr>
          <w:rFonts w:ascii="Calibri" w:hAnsi="Calibri" w:cs="Calibri"/>
          <w:color w:val="3F3F3F"/>
          <w:sz w:val="21"/>
          <w:szCs w:val="21"/>
          <w:lang w:val="en-GB"/>
        </w:rPr>
        <w:t>(</w:t>
      </w:r>
      <w:r w:rsidRPr="00325981">
        <w:rPr>
          <w:rFonts w:ascii="Calibri" w:hAnsi="Calibri" w:cs="Calibri"/>
          <w:color w:val="3F3F3F"/>
          <w:sz w:val="21"/>
          <w:szCs w:val="21"/>
        </w:rPr>
        <w:t xml:space="preserve">HRK </w:t>
      </w:r>
      <w:proofErr w:type="spellStart"/>
      <w:r w:rsidRPr="00325981">
        <w:rPr>
          <w:rFonts w:ascii="Calibri" w:hAnsi="Calibri" w:cs="Calibri"/>
          <w:color w:val="3F3F3F"/>
          <w:sz w:val="21"/>
          <w:szCs w:val="21"/>
        </w:rPr>
        <w:t>million</w:t>
      </w:r>
      <w:proofErr w:type="spellEnd"/>
      <w:r w:rsidRPr="00325981">
        <w:rPr>
          <w:rFonts w:ascii="Calibri" w:hAnsi="Calibri" w:cs="Calibri"/>
          <w:color w:val="3F3F3F"/>
          <w:sz w:val="21"/>
          <w:szCs w:val="21"/>
          <w:lang w:val="en-GB"/>
        </w:rPr>
        <w:t>)</w:t>
      </w:r>
      <w:r w:rsidRPr="007222C0">
        <w:rPr>
          <w:rFonts w:asciiTheme="minorHAnsi" w:eastAsia="MS PGothic" w:hAnsiTheme="minorHAnsi" w:cstheme="minorHAnsi"/>
          <w:b/>
          <w:bCs/>
          <w:color w:val="003F87"/>
          <w:kern w:val="24"/>
          <w:sz w:val="28"/>
          <w:szCs w:val="28"/>
          <w:lang w:val="en-GB"/>
        </w:rPr>
        <w:t xml:space="preserve"> </w:t>
      </w:r>
      <w:r>
        <w:rPr>
          <w:rFonts w:asciiTheme="minorHAnsi" w:eastAsia="MS PGothic" w:hAnsiTheme="minorHAnsi" w:cstheme="minorHAnsi"/>
          <w:b/>
          <w:bCs/>
          <w:color w:val="003F87"/>
          <w:kern w:val="24"/>
          <w:sz w:val="28"/>
          <w:szCs w:val="28"/>
          <w:lang w:val="en-GB"/>
        </w:rPr>
        <w:tab/>
      </w:r>
      <w:r>
        <w:rPr>
          <w:rFonts w:asciiTheme="minorHAnsi" w:eastAsia="MS PGothic" w:hAnsiTheme="minorHAnsi" w:cstheme="minorHAnsi"/>
          <w:b/>
          <w:bCs/>
          <w:color w:val="003F87"/>
          <w:kern w:val="24"/>
          <w:sz w:val="28"/>
          <w:szCs w:val="28"/>
          <w:lang w:val="en-GB"/>
        </w:rPr>
        <w:tab/>
      </w:r>
      <w:r>
        <w:rPr>
          <w:rFonts w:asciiTheme="minorHAnsi" w:eastAsia="MS PGothic" w:hAnsiTheme="minorHAnsi" w:cstheme="minorHAnsi"/>
          <w:b/>
          <w:bCs/>
          <w:color w:val="003F87"/>
          <w:kern w:val="24"/>
          <w:sz w:val="28"/>
          <w:szCs w:val="28"/>
          <w:lang w:val="en-GB"/>
        </w:rPr>
        <w:tab/>
      </w:r>
      <w:r>
        <w:rPr>
          <w:rFonts w:asciiTheme="minorHAnsi" w:eastAsia="MS PGothic" w:hAnsiTheme="minorHAnsi" w:cstheme="minorHAnsi"/>
          <w:b/>
          <w:bCs/>
          <w:color w:val="003F87"/>
          <w:kern w:val="24"/>
          <w:sz w:val="28"/>
          <w:szCs w:val="28"/>
          <w:lang w:val="en-GB"/>
        </w:rPr>
        <w:tab/>
      </w:r>
      <w:r>
        <w:rPr>
          <w:rFonts w:asciiTheme="minorHAnsi" w:eastAsia="MS PGothic" w:hAnsiTheme="minorHAnsi" w:cstheme="minorHAnsi"/>
          <w:b/>
          <w:bCs/>
          <w:color w:val="003F87"/>
          <w:kern w:val="24"/>
          <w:sz w:val="28"/>
          <w:szCs w:val="28"/>
          <w:lang w:val="en-GB"/>
        </w:rPr>
        <w:tab/>
      </w:r>
      <w:r>
        <w:rPr>
          <w:rFonts w:asciiTheme="minorHAnsi" w:eastAsia="MS PGothic" w:hAnsiTheme="minorHAnsi" w:cstheme="minorHAnsi"/>
          <w:b/>
          <w:bCs/>
          <w:color w:val="003F87"/>
          <w:kern w:val="24"/>
          <w:sz w:val="28"/>
          <w:szCs w:val="28"/>
          <w:lang w:val="en-GB"/>
        </w:rPr>
        <w:tab/>
      </w:r>
      <w:r>
        <w:rPr>
          <w:rFonts w:asciiTheme="minorHAnsi" w:eastAsia="MS PGothic" w:hAnsiTheme="minorHAnsi" w:cstheme="minorHAnsi"/>
          <w:b/>
          <w:bCs/>
          <w:color w:val="003F87"/>
          <w:kern w:val="24"/>
          <w:sz w:val="28"/>
          <w:szCs w:val="28"/>
          <w:lang w:val="en-GB"/>
        </w:rPr>
        <w:tab/>
      </w:r>
    </w:p>
    <w:p w:rsidR="007222C0" w:rsidRPr="004712BC" w:rsidRDefault="007222C0" w:rsidP="007222C0">
      <w:pPr>
        <w:pStyle w:val="NormalWeb"/>
        <w:spacing w:before="0" w:beforeAutospacing="0" w:after="0" w:afterAutospacing="0"/>
        <w:rPr>
          <w:rFonts w:ascii="Calibri" w:hAnsi="Calibri" w:cs="Calibri"/>
          <w:color w:val="3F3F3F"/>
          <w:sz w:val="21"/>
          <w:szCs w:val="21"/>
          <w:lang w:val="en-GB"/>
        </w:rPr>
      </w:pPr>
    </w:p>
    <w:p w:rsidR="004712BC" w:rsidRPr="00FB26C4" w:rsidRDefault="007222C0" w:rsidP="0030681C">
      <w:pPr>
        <w:rPr>
          <w:rFonts w:asciiTheme="minorHAnsi" w:hAnsiTheme="minorHAnsi" w:cstheme="minorHAnsi"/>
          <w:b/>
          <w:lang w:val="en-GB"/>
        </w:rPr>
      </w:pPr>
      <w:r w:rsidRPr="00FB26C4">
        <w:rPr>
          <w:rFonts w:asciiTheme="minorHAnsi" w:hAnsiTheme="minorHAnsi" w:cstheme="minorHAnsi"/>
          <w:noProof/>
          <w:lang w:eastAsia="hr-HR"/>
        </w:rPr>
        <w:drawing>
          <wp:anchor distT="0" distB="0" distL="114300" distR="114300" simplePos="0" relativeHeight="251661312" behindDoc="1" locked="0" layoutInCell="1" allowOverlap="1" wp14:anchorId="5724CA46" wp14:editId="3970D12C">
            <wp:simplePos x="0" y="0"/>
            <wp:positionH relativeFrom="column">
              <wp:posOffset>-179070</wp:posOffset>
            </wp:positionH>
            <wp:positionV relativeFrom="paragraph">
              <wp:posOffset>52705</wp:posOffset>
            </wp:positionV>
            <wp:extent cx="2655570" cy="25565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5570" cy="2556510"/>
                    </a:xfrm>
                    <a:prstGeom prst="rect">
                      <a:avLst/>
                    </a:prstGeom>
                    <a:noFill/>
                  </pic:spPr>
                </pic:pic>
              </a:graphicData>
            </a:graphic>
            <wp14:sizeRelH relativeFrom="page">
              <wp14:pctWidth>0</wp14:pctWidth>
            </wp14:sizeRelH>
            <wp14:sizeRelV relativeFrom="page">
              <wp14:pctHeight>0</wp14:pctHeight>
            </wp14:sizeRelV>
          </wp:anchor>
        </w:drawing>
      </w:r>
      <w:r w:rsidRPr="00FB26C4">
        <w:rPr>
          <w:rFonts w:asciiTheme="minorHAnsi" w:hAnsiTheme="minorHAnsi" w:cstheme="minorHAnsi"/>
          <w:noProof/>
          <w:lang w:eastAsia="hr-HR"/>
        </w:rPr>
        <w:drawing>
          <wp:anchor distT="0" distB="0" distL="114300" distR="114300" simplePos="0" relativeHeight="251660288" behindDoc="0" locked="0" layoutInCell="1" allowOverlap="1" wp14:anchorId="4636FA22" wp14:editId="4626BCC6">
            <wp:simplePos x="0" y="0"/>
            <wp:positionH relativeFrom="column">
              <wp:posOffset>3273425</wp:posOffset>
            </wp:positionH>
            <wp:positionV relativeFrom="paragraph">
              <wp:posOffset>123190</wp:posOffset>
            </wp:positionV>
            <wp:extent cx="2655570" cy="24860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5570" cy="2486025"/>
                    </a:xfrm>
                    <a:prstGeom prst="rect">
                      <a:avLst/>
                    </a:prstGeom>
                    <a:noFill/>
                  </pic:spPr>
                </pic:pic>
              </a:graphicData>
            </a:graphic>
            <wp14:sizeRelH relativeFrom="page">
              <wp14:pctWidth>0</wp14:pctWidth>
            </wp14:sizeRelH>
            <wp14:sizeRelV relativeFrom="page">
              <wp14:pctHeight>0</wp14:pctHeight>
            </wp14:sizeRelV>
          </wp:anchor>
        </w:drawing>
      </w:r>
    </w:p>
    <w:p w:rsidR="00EE09D6" w:rsidRDefault="00EE09D6" w:rsidP="0030681C">
      <w:pPr>
        <w:rPr>
          <w:rFonts w:asciiTheme="minorHAnsi" w:hAnsiTheme="minorHAnsi" w:cstheme="minorHAnsi"/>
        </w:rPr>
      </w:pPr>
    </w:p>
    <w:p w:rsidR="007222C0" w:rsidRDefault="007222C0" w:rsidP="0030681C">
      <w:pPr>
        <w:rPr>
          <w:rFonts w:asciiTheme="minorHAnsi" w:hAnsiTheme="minorHAnsi" w:cstheme="minorHAnsi"/>
        </w:rPr>
      </w:pPr>
    </w:p>
    <w:p w:rsidR="007222C0" w:rsidRDefault="007222C0" w:rsidP="0030681C">
      <w:pPr>
        <w:rPr>
          <w:rFonts w:asciiTheme="minorHAnsi" w:hAnsiTheme="minorHAnsi" w:cstheme="minorHAnsi"/>
        </w:rPr>
      </w:pPr>
    </w:p>
    <w:p w:rsidR="007222C0" w:rsidRDefault="007222C0" w:rsidP="0030681C">
      <w:pPr>
        <w:rPr>
          <w:rFonts w:asciiTheme="minorHAnsi" w:hAnsiTheme="minorHAnsi" w:cstheme="minorHAnsi"/>
        </w:rPr>
      </w:pPr>
    </w:p>
    <w:p w:rsidR="007222C0" w:rsidRDefault="007222C0" w:rsidP="0030681C">
      <w:pPr>
        <w:rPr>
          <w:rFonts w:asciiTheme="minorHAnsi" w:hAnsiTheme="minorHAnsi" w:cstheme="minorHAnsi"/>
        </w:rPr>
      </w:pPr>
    </w:p>
    <w:p w:rsidR="007222C0" w:rsidRDefault="007222C0" w:rsidP="0030681C">
      <w:pPr>
        <w:rPr>
          <w:rFonts w:asciiTheme="minorHAnsi" w:hAnsiTheme="minorHAnsi" w:cstheme="minorHAnsi"/>
        </w:rPr>
      </w:pPr>
    </w:p>
    <w:p w:rsidR="007222C0" w:rsidRPr="00FB26C4" w:rsidRDefault="007222C0" w:rsidP="007222C0">
      <w:pPr>
        <w:pStyle w:val="NormalWeb"/>
        <w:spacing w:before="0" w:beforeAutospacing="0" w:after="0" w:afterAutospacing="0"/>
        <w:ind w:firstLine="708"/>
        <w:textAlignment w:val="baseline"/>
        <w:rPr>
          <w:rFonts w:asciiTheme="minorHAnsi" w:eastAsia="MS PGothic" w:hAnsiTheme="minorHAnsi" w:cstheme="minorHAnsi"/>
          <w:color w:val="808080"/>
          <w:kern w:val="24"/>
          <w:sz w:val="21"/>
          <w:szCs w:val="21"/>
          <w:lang w:val="en-GB"/>
        </w:rPr>
      </w:pPr>
      <w:r w:rsidRPr="00FB26C4">
        <w:rPr>
          <w:rFonts w:asciiTheme="minorHAnsi" w:eastAsia="MS PGothic" w:hAnsiTheme="minorHAnsi" w:cstheme="minorHAnsi"/>
          <w:color w:val="808080"/>
          <w:kern w:val="24"/>
          <w:sz w:val="21"/>
          <w:szCs w:val="21"/>
          <w:lang w:val="en-GB"/>
        </w:rPr>
        <w:t xml:space="preserve"> (%)</w:t>
      </w:r>
    </w:p>
    <w:p w:rsidR="007222C0" w:rsidRPr="00FB26C4" w:rsidRDefault="007222C0" w:rsidP="007222C0">
      <w:pPr>
        <w:rPr>
          <w:rFonts w:asciiTheme="minorHAnsi" w:hAnsiTheme="minorHAnsi" w:cstheme="minorHAnsi"/>
          <w:lang w:val="en-GB"/>
        </w:rPr>
      </w:pPr>
    </w:p>
    <w:p w:rsidR="002064E7" w:rsidRPr="00FB26C4" w:rsidRDefault="002064E7" w:rsidP="007222C0">
      <w:pPr>
        <w:rPr>
          <w:rFonts w:asciiTheme="minorHAnsi" w:hAnsiTheme="minorHAnsi" w:cstheme="minorHAnsi"/>
          <w:bCs/>
          <w:lang w:val="en-GB"/>
        </w:rPr>
      </w:pPr>
    </w:p>
    <w:sectPr w:rsidR="002064E7" w:rsidRPr="00FB26C4" w:rsidSect="00FB26C4">
      <w:headerReference w:type="default" r:id="rId18"/>
      <w:type w:val="continuous"/>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A70" w:rsidRDefault="00866A70" w:rsidP="0030681C">
      <w:r>
        <w:separator/>
      </w:r>
    </w:p>
  </w:endnote>
  <w:endnote w:type="continuationSeparator" w:id="0">
    <w:p w:rsidR="00866A70" w:rsidRDefault="00866A70" w:rsidP="0030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1C" w:rsidRDefault="0030681C">
    <w:pPr>
      <w:pStyle w:val="Footer"/>
      <w:jc w:val="right"/>
      <w:rPr>
        <w:rFonts w:ascii="Arial" w:hAnsi="Arial" w:cs="Arial"/>
        <w:sz w:val="20"/>
      </w:rPr>
    </w:pPr>
  </w:p>
  <w:p w:rsidR="0030681C" w:rsidRPr="005B4643" w:rsidRDefault="0030681C">
    <w:pPr>
      <w:pStyle w:val="Footer"/>
      <w:jc w:val="right"/>
      <w:rPr>
        <w:rFonts w:ascii="Arial" w:hAnsi="Arial" w:cs="Arial"/>
        <w:sz w:val="20"/>
      </w:rPr>
    </w:pPr>
    <w:r w:rsidRPr="005B4643">
      <w:rPr>
        <w:rFonts w:ascii="Arial" w:hAnsi="Arial" w:cs="Arial"/>
        <w:sz w:val="20"/>
      </w:rPr>
      <w:fldChar w:fldCharType="begin"/>
    </w:r>
    <w:r w:rsidRPr="005B4643">
      <w:rPr>
        <w:rFonts w:ascii="Arial" w:hAnsi="Arial" w:cs="Arial"/>
        <w:sz w:val="20"/>
      </w:rPr>
      <w:instrText xml:space="preserve"> PAGE   \* MERGEFORMAT </w:instrText>
    </w:r>
    <w:r w:rsidRPr="005B4643">
      <w:rPr>
        <w:rFonts w:ascii="Arial" w:hAnsi="Arial" w:cs="Arial"/>
        <w:sz w:val="20"/>
      </w:rPr>
      <w:fldChar w:fldCharType="separate"/>
    </w:r>
    <w:r w:rsidR="008F0879">
      <w:rPr>
        <w:rFonts w:ascii="Arial" w:hAnsi="Arial" w:cs="Arial"/>
        <w:noProof/>
        <w:sz w:val="20"/>
      </w:rPr>
      <w:t>6</w:t>
    </w:r>
    <w:r w:rsidRPr="005B4643">
      <w:rPr>
        <w:rFonts w:ascii="Arial" w:hAnsi="Arial" w:cs="Arial"/>
        <w:noProof/>
        <w:sz w:val="20"/>
      </w:rPr>
      <w:fldChar w:fldCharType="end"/>
    </w:r>
  </w:p>
  <w:p w:rsidR="0030681C" w:rsidRDefault="0030681C">
    <w:pPr>
      <w:pStyle w:val="Footer"/>
    </w:pPr>
  </w:p>
  <w:p w:rsidR="0030681C" w:rsidRDefault="003068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A70" w:rsidRDefault="00866A70" w:rsidP="0030681C">
      <w:r>
        <w:separator/>
      </w:r>
    </w:p>
  </w:footnote>
  <w:footnote w:type="continuationSeparator" w:id="0">
    <w:p w:rsidR="00866A70" w:rsidRDefault="00866A70" w:rsidP="0030681C">
      <w:r>
        <w:continuationSeparator/>
      </w:r>
    </w:p>
  </w:footnote>
  <w:footnote w:id="1">
    <w:p w:rsidR="00D54182" w:rsidRDefault="00D54182">
      <w:pPr>
        <w:pStyle w:val="FootnoteText"/>
      </w:pPr>
      <w:r>
        <w:rPr>
          <w:rStyle w:val="FootnoteReference"/>
        </w:rPr>
        <w:footnoteRef/>
      </w:r>
      <w:r>
        <w:t xml:space="preserve"> </w:t>
      </w:r>
      <w:r w:rsidRPr="006A79B6">
        <w:rPr>
          <w:rFonts w:ascii="Arial Narrow" w:hAnsi="Arial Narrow" w:cs="Arial"/>
          <w:i/>
          <w:sz w:val="14"/>
          <w:szCs w:val="14"/>
          <w:u w:color="FFFFFF"/>
        </w:rPr>
        <w:t xml:space="preserve">EBITDA = EBIT + </w:t>
      </w:r>
      <w:proofErr w:type="spellStart"/>
      <w:r w:rsidRPr="006A79B6">
        <w:rPr>
          <w:rFonts w:ascii="Arial Narrow" w:hAnsi="Arial Narrow" w:cs="Arial"/>
          <w:i/>
          <w:sz w:val="14"/>
          <w:szCs w:val="14"/>
          <w:u w:color="FFFFFF"/>
        </w:rPr>
        <w:t>Depreciation</w:t>
      </w:r>
      <w:proofErr w:type="spellEnd"/>
      <w:r w:rsidRPr="006A79B6">
        <w:rPr>
          <w:rFonts w:ascii="Arial Narrow" w:hAnsi="Arial Narrow" w:cs="Arial"/>
          <w:i/>
          <w:sz w:val="14"/>
          <w:szCs w:val="14"/>
          <w:u w:color="FFFFFF"/>
        </w:rPr>
        <w:t xml:space="preserve"> + </w:t>
      </w:r>
      <w:proofErr w:type="spellStart"/>
      <w:r w:rsidRPr="006A79B6">
        <w:rPr>
          <w:rFonts w:ascii="Arial Narrow" w:hAnsi="Arial Narrow" w:cs="Arial"/>
          <w:i/>
          <w:sz w:val="14"/>
          <w:szCs w:val="14"/>
          <w:u w:color="FFFFFF"/>
        </w:rPr>
        <w:t>Impairment</w:t>
      </w:r>
      <w:proofErr w:type="spellEnd"/>
      <w:r w:rsidRPr="006A79B6">
        <w:rPr>
          <w:rFonts w:ascii="Arial Narrow" w:hAnsi="Arial Narrow" w:cs="Arial"/>
          <w:i/>
          <w:sz w:val="14"/>
          <w:szCs w:val="14"/>
          <w:u w:color="FFFFFF"/>
        </w:rPr>
        <w:t xml:space="preserve"> + </w:t>
      </w:r>
      <w:proofErr w:type="spellStart"/>
      <w:r w:rsidRPr="006A79B6">
        <w:rPr>
          <w:rFonts w:ascii="Arial Narrow" w:hAnsi="Arial Narrow" w:cs="Arial"/>
          <w:i/>
          <w:sz w:val="14"/>
          <w:szCs w:val="14"/>
          <w:u w:color="FFFFFF"/>
        </w:rPr>
        <w:t>Provisions</w:t>
      </w:r>
      <w:proofErr w:type="spellEnd"/>
    </w:p>
  </w:footnote>
  <w:footnote w:id="2">
    <w:p w:rsidR="000112C5" w:rsidRDefault="000112C5">
      <w:pPr>
        <w:pStyle w:val="FootnoteText"/>
      </w:pPr>
      <w:r>
        <w:rPr>
          <w:rStyle w:val="FootnoteReference"/>
        </w:rPr>
        <w:footnoteRef/>
      </w:r>
      <w:r>
        <w:t xml:space="preserve"> </w:t>
      </w:r>
      <w:r w:rsidRPr="00F27814">
        <w:rPr>
          <w:rFonts w:ascii="Arial Narrow" w:hAnsi="Arial Narrow"/>
          <w:sz w:val="14"/>
          <w:szCs w:val="14"/>
        </w:rPr>
        <w:t xml:space="preserve">Net </w:t>
      </w:r>
      <w:proofErr w:type="spellStart"/>
      <w:r w:rsidRPr="00F27814">
        <w:rPr>
          <w:rFonts w:ascii="Arial Narrow" w:hAnsi="Arial Narrow"/>
          <w:sz w:val="14"/>
          <w:szCs w:val="14"/>
        </w:rPr>
        <w:t>debt</w:t>
      </w:r>
      <w:proofErr w:type="spellEnd"/>
      <w:r w:rsidRPr="00F27814">
        <w:rPr>
          <w:rFonts w:ascii="Arial Narrow" w:hAnsi="Arial Narrow"/>
          <w:sz w:val="14"/>
          <w:szCs w:val="14"/>
        </w:rPr>
        <w:t xml:space="preserve"> / net </w:t>
      </w:r>
      <w:proofErr w:type="spellStart"/>
      <w:r w:rsidRPr="00F27814">
        <w:rPr>
          <w:rFonts w:ascii="Arial Narrow" w:hAnsi="Arial Narrow"/>
          <w:sz w:val="14"/>
          <w:szCs w:val="14"/>
        </w:rPr>
        <w:t>debt</w:t>
      </w:r>
      <w:proofErr w:type="spellEnd"/>
      <w:r w:rsidRPr="00F27814">
        <w:rPr>
          <w:rFonts w:ascii="Arial Narrow" w:hAnsi="Arial Narrow"/>
          <w:sz w:val="14"/>
          <w:szCs w:val="14"/>
        </w:rPr>
        <w:t xml:space="preserve"> plus </w:t>
      </w:r>
      <w:proofErr w:type="spellStart"/>
      <w:r w:rsidRPr="00F27814">
        <w:rPr>
          <w:rFonts w:ascii="Arial Narrow" w:hAnsi="Arial Narrow"/>
          <w:sz w:val="14"/>
          <w:szCs w:val="14"/>
        </w:rPr>
        <w:t>equity</w:t>
      </w:r>
      <w:proofErr w:type="spellEnd"/>
      <w:r w:rsidRPr="00F27814">
        <w:rPr>
          <w:rFonts w:ascii="Arial Narrow" w:hAnsi="Arial Narrow"/>
          <w:sz w:val="14"/>
          <w:szCs w:val="14"/>
        </w:rPr>
        <w:t xml:space="preserve"> </w:t>
      </w:r>
      <w:proofErr w:type="spellStart"/>
      <w:r w:rsidRPr="00F27814">
        <w:rPr>
          <w:rFonts w:ascii="Arial Narrow" w:hAnsi="Arial Narrow"/>
          <w:sz w:val="14"/>
          <w:szCs w:val="14"/>
        </w:rPr>
        <w:t>incl</w:t>
      </w:r>
      <w:proofErr w:type="spellEnd"/>
      <w:r w:rsidRPr="00F27814">
        <w:rPr>
          <w:rFonts w:ascii="Arial Narrow" w:hAnsi="Arial Narrow"/>
          <w:sz w:val="14"/>
          <w:szCs w:val="14"/>
        </w:rPr>
        <w:t xml:space="preserve">. </w:t>
      </w:r>
      <w:proofErr w:type="spellStart"/>
      <w:r w:rsidRPr="00F27814">
        <w:rPr>
          <w:rFonts w:ascii="Arial Narrow" w:hAnsi="Arial Narrow"/>
          <w:sz w:val="14"/>
          <w:szCs w:val="14"/>
        </w:rPr>
        <w:t>minority</w:t>
      </w:r>
      <w:proofErr w:type="spellEnd"/>
      <w:r w:rsidRPr="00F27814">
        <w:rPr>
          <w:rFonts w:ascii="Arial Narrow" w:hAnsi="Arial Narrow"/>
          <w:sz w:val="14"/>
          <w:szCs w:val="14"/>
        </w:rPr>
        <w:t xml:space="preserve"> </w:t>
      </w:r>
      <w:proofErr w:type="spellStart"/>
      <w:r w:rsidRPr="00F27814">
        <w:rPr>
          <w:rFonts w:ascii="Arial Narrow" w:hAnsi="Arial Narrow"/>
          <w:sz w:val="14"/>
          <w:szCs w:val="14"/>
        </w:rPr>
        <w:t>interests</w:t>
      </w:r>
      <w:proofErr w:type="spellEnd"/>
      <w:r w:rsidRPr="00F27814">
        <w:rPr>
          <w:rFonts w:ascii="Arial Narrow" w:hAnsi="Arial Narrow"/>
          <w:sz w:val="14"/>
          <w:szCs w:val="14"/>
        </w:rPr>
        <w:t xml:space="preserve">  </w:t>
      </w:r>
    </w:p>
  </w:footnote>
  <w:footnote w:id="3">
    <w:p w:rsidR="00EF70D2" w:rsidRPr="0041301A" w:rsidRDefault="00EF70D2" w:rsidP="00EF70D2">
      <w:pPr>
        <w:jc w:val="both"/>
        <w:rPr>
          <w:rFonts w:ascii="Calibri" w:eastAsia="MS Mincho" w:hAnsi="Calibri" w:cs="Calibri"/>
          <w:i/>
          <w:sz w:val="18"/>
          <w:szCs w:val="18"/>
          <w:lang w:val="en-US" w:eastAsia="ja-JP"/>
        </w:rPr>
      </w:pPr>
      <w:r w:rsidRPr="0041301A">
        <w:rPr>
          <w:rStyle w:val="FootnoteReference"/>
          <w:rFonts w:ascii="Calibri" w:hAnsi="Calibri" w:cs="Calibri"/>
          <w:i/>
          <w:sz w:val="18"/>
          <w:szCs w:val="18"/>
        </w:rPr>
        <w:footnoteRef/>
      </w:r>
      <w:r w:rsidRPr="0041301A">
        <w:rPr>
          <w:rFonts w:ascii="Calibri" w:hAnsi="Calibri" w:cs="Calibri"/>
          <w:i/>
          <w:sz w:val="18"/>
          <w:szCs w:val="18"/>
        </w:rPr>
        <w:t xml:space="preserve"> </w:t>
      </w:r>
      <w:r w:rsidRPr="0041301A">
        <w:rPr>
          <w:rFonts w:ascii="Calibri" w:eastAsia="MS Mincho" w:hAnsi="Calibri" w:cs="Calibri"/>
          <w:i/>
          <w:sz w:val="18"/>
          <w:szCs w:val="18"/>
          <w:lang w:val="en-US" w:eastAsia="ja-JP"/>
        </w:rPr>
        <w:t>CCS (current cost of supplies) is a result adjusted for changes in the price of feedstock in a way that these expenses are calculated at single price at the end of the reporting period (regardless of price changes over the period).</w:t>
      </w:r>
    </w:p>
    <w:p w:rsidR="00EF70D2" w:rsidRDefault="00EF70D2" w:rsidP="00EF70D2">
      <w:pPr>
        <w:pStyle w:val="FootnoteText"/>
      </w:pPr>
    </w:p>
  </w:footnote>
  <w:footnote w:id="4">
    <w:p w:rsidR="003950A8" w:rsidRPr="009B4E4F" w:rsidRDefault="003950A8" w:rsidP="003950A8">
      <w:pPr>
        <w:pStyle w:val="FootnoteText"/>
        <w:rPr>
          <w:rFonts w:ascii="Arial Narrow" w:hAnsi="Arial Narrow"/>
          <w:sz w:val="14"/>
          <w:szCs w:val="14"/>
        </w:rPr>
      </w:pPr>
      <w:r w:rsidRPr="009B4E4F">
        <w:rPr>
          <w:rStyle w:val="FootnoteReference"/>
          <w:rFonts w:ascii="Arial Narrow" w:hAnsi="Arial Narrow"/>
          <w:sz w:val="14"/>
          <w:szCs w:val="14"/>
        </w:rPr>
        <w:footnoteRef/>
      </w:r>
      <w:r w:rsidRPr="00F27814">
        <w:rPr>
          <w:rFonts w:ascii="Arial Narrow" w:hAnsi="Arial Narrow"/>
          <w:sz w:val="14"/>
          <w:szCs w:val="14"/>
        </w:rPr>
        <w:t xml:space="preserve">  </w:t>
      </w:r>
      <w:r w:rsidRPr="00F27814">
        <w:rPr>
          <w:rFonts w:ascii="Arial Narrow" w:hAnsi="Arial Narrow"/>
          <w:sz w:val="14"/>
          <w:szCs w:val="14"/>
        </w:rPr>
        <w:t xml:space="preserve">Net </w:t>
      </w:r>
      <w:proofErr w:type="spellStart"/>
      <w:r w:rsidRPr="00F27814">
        <w:rPr>
          <w:rFonts w:ascii="Arial Narrow" w:hAnsi="Arial Narrow"/>
          <w:sz w:val="14"/>
          <w:szCs w:val="14"/>
        </w:rPr>
        <w:t>debt</w:t>
      </w:r>
      <w:proofErr w:type="spellEnd"/>
      <w:r w:rsidRPr="00F27814">
        <w:rPr>
          <w:rFonts w:ascii="Arial Narrow" w:hAnsi="Arial Narrow"/>
          <w:sz w:val="14"/>
          <w:szCs w:val="14"/>
        </w:rPr>
        <w:t xml:space="preserve"> / net </w:t>
      </w:r>
      <w:proofErr w:type="spellStart"/>
      <w:r w:rsidRPr="00F27814">
        <w:rPr>
          <w:rFonts w:ascii="Arial Narrow" w:hAnsi="Arial Narrow"/>
          <w:sz w:val="14"/>
          <w:szCs w:val="14"/>
        </w:rPr>
        <w:t>debt</w:t>
      </w:r>
      <w:proofErr w:type="spellEnd"/>
      <w:r w:rsidRPr="00F27814">
        <w:rPr>
          <w:rFonts w:ascii="Arial Narrow" w:hAnsi="Arial Narrow"/>
          <w:sz w:val="14"/>
          <w:szCs w:val="14"/>
        </w:rPr>
        <w:t xml:space="preserve"> plus </w:t>
      </w:r>
      <w:proofErr w:type="spellStart"/>
      <w:r w:rsidRPr="00F27814">
        <w:rPr>
          <w:rFonts w:ascii="Arial Narrow" w:hAnsi="Arial Narrow"/>
          <w:sz w:val="14"/>
          <w:szCs w:val="14"/>
        </w:rPr>
        <w:t>equity</w:t>
      </w:r>
      <w:proofErr w:type="spellEnd"/>
      <w:r w:rsidRPr="00F27814">
        <w:rPr>
          <w:rFonts w:ascii="Arial Narrow" w:hAnsi="Arial Narrow"/>
          <w:sz w:val="14"/>
          <w:szCs w:val="14"/>
        </w:rPr>
        <w:t xml:space="preserve"> </w:t>
      </w:r>
      <w:proofErr w:type="spellStart"/>
      <w:r w:rsidRPr="00F27814">
        <w:rPr>
          <w:rFonts w:ascii="Arial Narrow" w:hAnsi="Arial Narrow"/>
          <w:sz w:val="14"/>
          <w:szCs w:val="14"/>
        </w:rPr>
        <w:t>incl</w:t>
      </w:r>
      <w:proofErr w:type="spellEnd"/>
      <w:r w:rsidRPr="00F27814">
        <w:rPr>
          <w:rFonts w:ascii="Arial Narrow" w:hAnsi="Arial Narrow"/>
          <w:sz w:val="14"/>
          <w:szCs w:val="14"/>
        </w:rPr>
        <w:t xml:space="preserve">. </w:t>
      </w:r>
      <w:proofErr w:type="spellStart"/>
      <w:r w:rsidRPr="00F27814">
        <w:rPr>
          <w:rFonts w:ascii="Arial Narrow" w:hAnsi="Arial Narrow"/>
          <w:sz w:val="14"/>
          <w:szCs w:val="14"/>
        </w:rPr>
        <w:t>minority</w:t>
      </w:r>
      <w:proofErr w:type="spellEnd"/>
      <w:r w:rsidRPr="00F27814">
        <w:rPr>
          <w:rFonts w:ascii="Arial Narrow" w:hAnsi="Arial Narrow"/>
          <w:sz w:val="14"/>
          <w:szCs w:val="14"/>
        </w:rPr>
        <w:t xml:space="preserve"> </w:t>
      </w:r>
      <w:proofErr w:type="spellStart"/>
      <w:r w:rsidRPr="00F27814">
        <w:rPr>
          <w:rFonts w:ascii="Arial Narrow" w:hAnsi="Arial Narrow"/>
          <w:sz w:val="14"/>
          <w:szCs w:val="14"/>
        </w:rPr>
        <w:t>interests</w:t>
      </w:r>
      <w:proofErr w:type="spellEnd"/>
      <w:r w:rsidRPr="00F27814">
        <w:rPr>
          <w:rFonts w:ascii="Arial Narrow" w:hAnsi="Arial Narrow"/>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1C" w:rsidRDefault="0030681C">
    <w:pPr>
      <w:pStyle w:val="Header"/>
    </w:pPr>
    <w:r>
      <w:rPr>
        <w:noProof/>
        <w:lang w:eastAsia="hr-HR"/>
      </w:rPr>
      <w:drawing>
        <wp:anchor distT="0" distB="0" distL="114300" distR="114300" simplePos="0" relativeHeight="251657216" behindDoc="0" locked="0" layoutInCell="1" allowOverlap="1" wp14:anchorId="614E458F" wp14:editId="12CF6215">
          <wp:simplePos x="0" y="0"/>
          <wp:positionH relativeFrom="column">
            <wp:posOffset>304800</wp:posOffset>
          </wp:positionH>
          <wp:positionV relativeFrom="paragraph">
            <wp:posOffset>304800</wp:posOffset>
          </wp:positionV>
          <wp:extent cx="1213485" cy="451485"/>
          <wp:effectExtent l="0" t="0" r="5715" b="5715"/>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81C" w:rsidRDefault="003068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FE" w:rsidRDefault="0030681C">
    <w:pPr>
      <w:pStyle w:val="Header"/>
    </w:pPr>
    <w:r>
      <w:rPr>
        <w:noProof/>
        <w:lang w:eastAsia="hr-HR"/>
      </w:rPr>
      <w:drawing>
        <wp:anchor distT="0" distB="0" distL="114300" distR="114300" simplePos="0" relativeHeight="251658240" behindDoc="0" locked="0" layoutInCell="1" allowOverlap="1" wp14:anchorId="78BC572C" wp14:editId="6C692998">
          <wp:simplePos x="0" y="0"/>
          <wp:positionH relativeFrom="column">
            <wp:posOffset>153035</wp:posOffset>
          </wp:positionH>
          <wp:positionV relativeFrom="paragraph">
            <wp:posOffset>243205</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3201"/>
    <w:multiLevelType w:val="hybridMultilevel"/>
    <w:tmpl w:val="1F2A028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C345C0"/>
    <w:multiLevelType w:val="hybridMultilevel"/>
    <w:tmpl w:val="45E0256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CDD18FA"/>
    <w:multiLevelType w:val="hybridMultilevel"/>
    <w:tmpl w:val="B93CEC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E9B08BA"/>
    <w:multiLevelType w:val="hybridMultilevel"/>
    <w:tmpl w:val="F210DDB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9621D0"/>
    <w:multiLevelType w:val="hybridMultilevel"/>
    <w:tmpl w:val="37DEA036"/>
    <w:lvl w:ilvl="0" w:tplc="903A7C00">
      <w:start w:val="1"/>
      <w:numFmt w:val="bullet"/>
      <w:lvlText w:val="►"/>
      <w:lvlJc w:val="left"/>
      <w:pPr>
        <w:tabs>
          <w:tab w:val="num" w:pos="360"/>
        </w:tabs>
        <w:ind w:left="360" w:hanging="360"/>
      </w:pPr>
      <w:rPr>
        <w:rFonts w:ascii="Arial" w:hAnsi="Arial" w:hint="default"/>
        <w:color w:val="00008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751409E"/>
    <w:multiLevelType w:val="hybridMultilevel"/>
    <w:tmpl w:val="5F50DB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B4604E6"/>
    <w:multiLevelType w:val="hybridMultilevel"/>
    <w:tmpl w:val="D9AC3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C245821"/>
    <w:multiLevelType w:val="hybridMultilevel"/>
    <w:tmpl w:val="975C381A"/>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C95235B"/>
    <w:multiLevelType w:val="hybridMultilevel"/>
    <w:tmpl w:val="0262B396"/>
    <w:lvl w:ilvl="0" w:tplc="10BE84D2">
      <w:start w:val="1"/>
      <w:numFmt w:val="bullet"/>
      <w:lvlText w:val=""/>
      <w:lvlJc w:val="left"/>
      <w:pPr>
        <w:tabs>
          <w:tab w:val="num" w:pos="720"/>
        </w:tabs>
        <w:ind w:left="720" w:hanging="360"/>
      </w:pPr>
      <w:rPr>
        <w:rFonts w:ascii="Wingdings" w:hAnsi="Wingdings" w:hint="default"/>
      </w:rPr>
    </w:lvl>
    <w:lvl w:ilvl="1" w:tplc="11648EA0" w:tentative="1">
      <w:start w:val="1"/>
      <w:numFmt w:val="bullet"/>
      <w:lvlText w:val=""/>
      <w:lvlJc w:val="left"/>
      <w:pPr>
        <w:tabs>
          <w:tab w:val="num" w:pos="1440"/>
        </w:tabs>
        <w:ind w:left="1440" w:hanging="360"/>
      </w:pPr>
      <w:rPr>
        <w:rFonts w:ascii="Wingdings" w:hAnsi="Wingdings" w:hint="default"/>
      </w:rPr>
    </w:lvl>
    <w:lvl w:ilvl="2" w:tplc="11C4F624" w:tentative="1">
      <w:start w:val="1"/>
      <w:numFmt w:val="bullet"/>
      <w:lvlText w:val=""/>
      <w:lvlJc w:val="left"/>
      <w:pPr>
        <w:tabs>
          <w:tab w:val="num" w:pos="2160"/>
        </w:tabs>
        <w:ind w:left="2160" w:hanging="360"/>
      </w:pPr>
      <w:rPr>
        <w:rFonts w:ascii="Wingdings" w:hAnsi="Wingdings" w:hint="default"/>
      </w:rPr>
    </w:lvl>
    <w:lvl w:ilvl="3" w:tplc="8CB436DC" w:tentative="1">
      <w:start w:val="1"/>
      <w:numFmt w:val="bullet"/>
      <w:lvlText w:val=""/>
      <w:lvlJc w:val="left"/>
      <w:pPr>
        <w:tabs>
          <w:tab w:val="num" w:pos="2880"/>
        </w:tabs>
        <w:ind w:left="2880" w:hanging="360"/>
      </w:pPr>
      <w:rPr>
        <w:rFonts w:ascii="Wingdings" w:hAnsi="Wingdings" w:hint="default"/>
      </w:rPr>
    </w:lvl>
    <w:lvl w:ilvl="4" w:tplc="F5A69802" w:tentative="1">
      <w:start w:val="1"/>
      <w:numFmt w:val="bullet"/>
      <w:lvlText w:val=""/>
      <w:lvlJc w:val="left"/>
      <w:pPr>
        <w:tabs>
          <w:tab w:val="num" w:pos="3600"/>
        </w:tabs>
        <w:ind w:left="3600" w:hanging="360"/>
      </w:pPr>
      <w:rPr>
        <w:rFonts w:ascii="Wingdings" w:hAnsi="Wingdings" w:hint="default"/>
      </w:rPr>
    </w:lvl>
    <w:lvl w:ilvl="5" w:tplc="1A186FB4" w:tentative="1">
      <w:start w:val="1"/>
      <w:numFmt w:val="bullet"/>
      <w:lvlText w:val=""/>
      <w:lvlJc w:val="left"/>
      <w:pPr>
        <w:tabs>
          <w:tab w:val="num" w:pos="4320"/>
        </w:tabs>
        <w:ind w:left="4320" w:hanging="360"/>
      </w:pPr>
      <w:rPr>
        <w:rFonts w:ascii="Wingdings" w:hAnsi="Wingdings" w:hint="default"/>
      </w:rPr>
    </w:lvl>
    <w:lvl w:ilvl="6" w:tplc="D0D626AC" w:tentative="1">
      <w:start w:val="1"/>
      <w:numFmt w:val="bullet"/>
      <w:lvlText w:val=""/>
      <w:lvlJc w:val="left"/>
      <w:pPr>
        <w:tabs>
          <w:tab w:val="num" w:pos="5040"/>
        </w:tabs>
        <w:ind w:left="5040" w:hanging="360"/>
      </w:pPr>
      <w:rPr>
        <w:rFonts w:ascii="Wingdings" w:hAnsi="Wingdings" w:hint="default"/>
      </w:rPr>
    </w:lvl>
    <w:lvl w:ilvl="7" w:tplc="F56EFE56" w:tentative="1">
      <w:start w:val="1"/>
      <w:numFmt w:val="bullet"/>
      <w:lvlText w:val=""/>
      <w:lvlJc w:val="left"/>
      <w:pPr>
        <w:tabs>
          <w:tab w:val="num" w:pos="5760"/>
        </w:tabs>
        <w:ind w:left="5760" w:hanging="360"/>
      </w:pPr>
      <w:rPr>
        <w:rFonts w:ascii="Wingdings" w:hAnsi="Wingdings" w:hint="default"/>
      </w:rPr>
    </w:lvl>
    <w:lvl w:ilvl="8" w:tplc="C3ECF1E0" w:tentative="1">
      <w:start w:val="1"/>
      <w:numFmt w:val="bullet"/>
      <w:lvlText w:val=""/>
      <w:lvlJc w:val="left"/>
      <w:pPr>
        <w:tabs>
          <w:tab w:val="num" w:pos="6480"/>
        </w:tabs>
        <w:ind w:left="6480" w:hanging="360"/>
      </w:pPr>
      <w:rPr>
        <w:rFonts w:ascii="Wingdings" w:hAnsi="Wingdings" w:hint="default"/>
      </w:rPr>
    </w:lvl>
  </w:abstractNum>
  <w:abstractNum w:abstractNumId="9">
    <w:nsid w:val="5530697F"/>
    <w:multiLevelType w:val="hybridMultilevel"/>
    <w:tmpl w:val="07102CE2"/>
    <w:lvl w:ilvl="0" w:tplc="69042104">
      <w:start w:val="1"/>
      <w:numFmt w:val="bullet"/>
      <w:lvlText w:val=""/>
      <w:lvlJc w:val="left"/>
      <w:pPr>
        <w:tabs>
          <w:tab w:val="num" w:pos="720"/>
        </w:tabs>
        <w:ind w:left="720" w:hanging="360"/>
      </w:pPr>
      <w:rPr>
        <w:rFonts w:ascii="Wingdings" w:hAnsi="Wingdings" w:hint="default"/>
      </w:rPr>
    </w:lvl>
    <w:lvl w:ilvl="1" w:tplc="DF9260C6" w:tentative="1">
      <w:start w:val="1"/>
      <w:numFmt w:val="bullet"/>
      <w:lvlText w:val=""/>
      <w:lvlJc w:val="left"/>
      <w:pPr>
        <w:tabs>
          <w:tab w:val="num" w:pos="1440"/>
        </w:tabs>
        <w:ind w:left="1440" w:hanging="360"/>
      </w:pPr>
      <w:rPr>
        <w:rFonts w:ascii="Wingdings" w:hAnsi="Wingdings" w:hint="default"/>
      </w:rPr>
    </w:lvl>
    <w:lvl w:ilvl="2" w:tplc="E4A6492E" w:tentative="1">
      <w:start w:val="1"/>
      <w:numFmt w:val="bullet"/>
      <w:lvlText w:val=""/>
      <w:lvlJc w:val="left"/>
      <w:pPr>
        <w:tabs>
          <w:tab w:val="num" w:pos="2160"/>
        </w:tabs>
        <w:ind w:left="2160" w:hanging="360"/>
      </w:pPr>
      <w:rPr>
        <w:rFonts w:ascii="Wingdings" w:hAnsi="Wingdings" w:hint="default"/>
      </w:rPr>
    </w:lvl>
    <w:lvl w:ilvl="3" w:tplc="E0AEF472" w:tentative="1">
      <w:start w:val="1"/>
      <w:numFmt w:val="bullet"/>
      <w:lvlText w:val=""/>
      <w:lvlJc w:val="left"/>
      <w:pPr>
        <w:tabs>
          <w:tab w:val="num" w:pos="2880"/>
        </w:tabs>
        <w:ind w:left="2880" w:hanging="360"/>
      </w:pPr>
      <w:rPr>
        <w:rFonts w:ascii="Wingdings" w:hAnsi="Wingdings" w:hint="default"/>
      </w:rPr>
    </w:lvl>
    <w:lvl w:ilvl="4" w:tplc="3AF8A38E" w:tentative="1">
      <w:start w:val="1"/>
      <w:numFmt w:val="bullet"/>
      <w:lvlText w:val=""/>
      <w:lvlJc w:val="left"/>
      <w:pPr>
        <w:tabs>
          <w:tab w:val="num" w:pos="3600"/>
        </w:tabs>
        <w:ind w:left="3600" w:hanging="360"/>
      </w:pPr>
      <w:rPr>
        <w:rFonts w:ascii="Wingdings" w:hAnsi="Wingdings" w:hint="default"/>
      </w:rPr>
    </w:lvl>
    <w:lvl w:ilvl="5" w:tplc="2EAA7B60" w:tentative="1">
      <w:start w:val="1"/>
      <w:numFmt w:val="bullet"/>
      <w:lvlText w:val=""/>
      <w:lvlJc w:val="left"/>
      <w:pPr>
        <w:tabs>
          <w:tab w:val="num" w:pos="4320"/>
        </w:tabs>
        <w:ind w:left="4320" w:hanging="360"/>
      </w:pPr>
      <w:rPr>
        <w:rFonts w:ascii="Wingdings" w:hAnsi="Wingdings" w:hint="default"/>
      </w:rPr>
    </w:lvl>
    <w:lvl w:ilvl="6" w:tplc="97AC4534" w:tentative="1">
      <w:start w:val="1"/>
      <w:numFmt w:val="bullet"/>
      <w:lvlText w:val=""/>
      <w:lvlJc w:val="left"/>
      <w:pPr>
        <w:tabs>
          <w:tab w:val="num" w:pos="5040"/>
        </w:tabs>
        <w:ind w:left="5040" w:hanging="360"/>
      </w:pPr>
      <w:rPr>
        <w:rFonts w:ascii="Wingdings" w:hAnsi="Wingdings" w:hint="default"/>
      </w:rPr>
    </w:lvl>
    <w:lvl w:ilvl="7" w:tplc="568ED8DA" w:tentative="1">
      <w:start w:val="1"/>
      <w:numFmt w:val="bullet"/>
      <w:lvlText w:val=""/>
      <w:lvlJc w:val="left"/>
      <w:pPr>
        <w:tabs>
          <w:tab w:val="num" w:pos="5760"/>
        </w:tabs>
        <w:ind w:left="5760" w:hanging="360"/>
      </w:pPr>
      <w:rPr>
        <w:rFonts w:ascii="Wingdings" w:hAnsi="Wingdings" w:hint="default"/>
      </w:rPr>
    </w:lvl>
    <w:lvl w:ilvl="8" w:tplc="A5C4E65A" w:tentative="1">
      <w:start w:val="1"/>
      <w:numFmt w:val="bullet"/>
      <w:lvlText w:val=""/>
      <w:lvlJc w:val="left"/>
      <w:pPr>
        <w:tabs>
          <w:tab w:val="num" w:pos="6480"/>
        </w:tabs>
        <w:ind w:left="6480" w:hanging="360"/>
      </w:pPr>
      <w:rPr>
        <w:rFonts w:ascii="Wingdings" w:hAnsi="Wingdings" w:hint="default"/>
      </w:rPr>
    </w:lvl>
  </w:abstractNum>
  <w:abstractNum w:abstractNumId="10">
    <w:nsid w:val="62D12DC9"/>
    <w:multiLevelType w:val="hybridMultilevel"/>
    <w:tmpl w:val="72489F0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47476E7"/>
    <w:multiLevelType w:val="hybridMultilevel"/>
    <w:tmpl w:val="ABFA2D4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9521846"/>
    <w:multiLevelType w:val="hybridMultilevel"/>
    <w:tmpl w:val="7250CB7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9BA273D"/>
    <w:multiLevelType w:val="hybridMultilevel"/>
    <w:tmpl w:val="0E9A8C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3"/>
  </w:num>
  <w:num w:numId="5">
    <w:abstractNumId w:val="0"/>
  </w:num>
  <w:num w:numId="6">
    <w:abstractNumId w:val="11"/>
  </w:num>
  <w:num w:numId="7">
    <w:abstractNumId w:val="10"/>
  </w:num>
  <w:num w:numId="8">
    <w:abstractNumId w:val="5"/>
  </w:num>
  <w:num w:numId="9">
    <w:abstractNumId w:val="6"/>
  </w:num>
  <w:num w:numId="10">
    <w:abstractNumId w:val="2"/>
  </w:num>
  <w:num w:numId="11">
    <w:abstractNumId w:val="9"/>
  </w:num>
  <w:num w:numId="12">
    <w:abstractNumId w:val="8"/>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1C"/>
    <w:rsid w:val="000112C5"/>
    <w:rsid w:val="0002126C"/>
    <w:rsid w:val="00023BB7"/>
    <w:rsid w:val="00025986"/>
    <w:rsid w:val="00043898"/>
    <w:rsid w:val="00044D71"/>
    <w:rsid w:val="0007257D"/>
    <w:rsid w:val="00072B5B"/>
    <w:rsid w:val="00072E87"/>
    <w:rsid w:val="000826FE"/>
    <w:rsid w:val="000A5B0B"/>
    <w:rsid w:val="000B327E"/>
    <w:rsid w:val="000B77F4"/>
    <w:rsid w:val="000F7271"/>
    <w:rsid w:val="00100EF1"/>
    <w:rsid w:val="001033F8"/>
    <w:rsid w:val="00137583"/>
    <w:rsid w:val="001474D8"/>
    <w:rsid w:val="0015403B"/>
    <w:rsid w:val="0015570E"/>
    <w:rsid w:val="0016058C"/>
    <w:rsid w:val="00182070"/>
    <w:rsid w:val="001874FF"/>
    <w:rsid w:val="00191574"/>
    <w:rsid w:val="00193316"/>
    <w:rsid w:val="001949E9"/>
    <w:rsid w:val="001973DF"/>
    <w:rsid w:val="001977F0"/>
    <w:rsid w:val="001C061D"/>
    <w:rsid w:val="001C7D35"/>
    <w:rsid w:val="001D33EA"/>
    <w:rsid w:val="001E062E"/>
    <w:rsid w:val="001E0D97"/>
    <w:rsid w:val="001E7160"/>
    <w:rsid w:val="001F09CC"/>
    <w:rsid w:val="001F7DAE"/>
    <w:rsid w:val="00204796"/>
    <w:rsid w:val="002064E7"/>
    <w:rsid w:val="002123F3"/>
    <w:rsid w:val="00213DDE"/>
    <w:rsid w:val="00232C26"/>
    <w:rsid w:val="002379B9"/>
    <w:rsid w:val="00274551"/>
    <w:rsid w:val="00276338"/>
    <w:rsid w:val="00281FCA"/>
    <w:rsid w:val="00291667"/>
    <w:rsid w:val="002A7AC9"/>
    <w:rsid w:val="002B5C3E"/>
    <w:rsid w:val="002C08BB"/>
    <w:rsid w:val="002C461D"/>
    <w:rsid w:val="002C7C12"/>
    <w:rsid w:val="002D476C"/>
    <w:rsid w:val="002E5DFD"/>
    <w:rsid w:val="002F2314"/>
    <w:rsid w:val="0030681C"/>
    <w:rsid w:val="00314C23"/>
    <w:rsid w:val="00324B77"/>
    <w:rsid w:val="00327037"/>
    <w:rsid w:val="0033386D"/>
    <w:rsid w:val="00345092"/>
    <w:rsid w:val="003450C6"/>
    <w:rsid w:val="003701C8"/>
    <w:rsid w:val="00376467"/>
    <w:rsid w:val="003950A8"/>
    <w:rsid w:val="00396E6F"/>
    <w:rsid w:val="003A0563"/>
    <w:rsid w:val="003A2278"/>
    <w:rsid w:val="003B12EB"/>
    <w:rsid w:val="003B2B54"/>
    <w:rsid w:val="003C5E90"/>
    <w:rsid w:val="003E349F"/>
    <w:rsid w:val="003F4CE4"/>
    <w:rsid w:val="003F4ECF"/>
    <w:rsid w:val="00402E92"/>
    <w:rsid w:val="004151DF"/>
    <w:rsid w:val="0041535F"/>
    <w:rsid w:val="00420474"/>
    <w:rsid w:val="00424A3D"/>
    <w:rsid w:val="00433E04"/>
    <w:rsid w:val="00454D5E"/>
    <w:rsid w:val="00460F8C"/>
    <w:rsid w:val="004712BC"/>
    <w:rsid w:val="00471C00"/>
    <w:rsid w:val="004733CF"/>
    <w:rsid w:val="00474E12"/>
    <w:rsid w:val="00486E84"/>
    <w:rsid w:val="004B0742"/>
    <w:rsid w:val="004B26C3"/>
    <w:rsid w:val="004B43E5"/>
    <w:rsid w:val="004B6427"/>
    <w:rsid w:val="004C2F1D"/>
    <w:rsid w:val="004D2E9C"/>
    <w:rsid w:val="004D7DA5"/>
    <w:rsid w:val="004E29DD"/>
    <w:rsid w:val="004F779A"/>
    <w:rsid w:val="00511D57"/>
    <w:rsid w:val="00533201"/>
    <w:rsid w:val="00544DF7"/>
    <w:rsid w:val="00557BC3"/>
    <w:rsid w:val="00565079"/>
    <w:rsid w:val="00577FCA"/>
    <w:rsid w:val="005953D7"/>
    <w:rsid w:val="005B5F83"/>
    <w:rsid w:val="005C4819"/>
    <w:rsid w:val="005E7BB8"/>
    <w:rsid w:val="005F4F57"/>
    <w:rsid w:val="00614776"/>
    <w:rsid w:val="00616C91"/>
    <w:rsid w:val="0064025B"/>
    <w:rsid w:val="00650216"/>
    <w:rsid w:val="00650362"/>
    <w:rsid w:val="00656555"/>
    <w:rsid w:val="00661111"/>
    <w:rsid w:val="00673439"/>
    <w:rsid w:val="006C5480"/>
    <w:rsid w:val="006D00D7"/>
    <w:rsid w:val="006D16D7"/>
    <w:rsid w:val="006D73C3"/>
    <w:rsid w:val="006E2ABC"/>
    <w:rsid w:val="006F110E"/>
    <w:rsid w:val="007067CF"/>
    <w:rsid w:val="007222C0"/>
    <w:rsid w:val="00740D64"/>
    <w:rsid w:val="00760D1E"/>
    <w:rsid w:val="00776446"/>
    <w:rsid w:val="00791CB3"/>
    <w:rsid w:val="007A3FB3"/>
    <w:rsid w:val="007A4BAD"/>
    <w:rsid w:val="007E2D1F"/>
    <w:rsid w:val="00804CDB"/>
    <w:rsid w:val="008055F8"/>
    <w:rsid w:val="00832B51"/>
    <w:rsid w:val="00833335"/>
    <w:rsid w:val="00835A90"/>
    <w:rsid w:val="008365FC"/>
    <w:rsid w:val="00837EE6"/>
    <w:rsid w:val="008407F2"/>
    <w:rsid w:val="00855A74"/>
    <w:rsid w:val="008608AF"/>
    <w:rsid w:val="008655E1"/>
    <w:rsid w:val="00866A70"/>
    <w:rsid w:val="00872171"/>
    <w:rsid w:val="008770B4"/>
    <w:rsid w:val="008A17B9"/>
    <w:rsid w:val="008C1645"/>
    <w:rsid w:val="008C17AC"/>
    <w:rsid w:val="008D0D9A"/>
    <w:rsid w:val="008D79E4"/>
    <w:rsid w:val="008E2029"/>
    <w:rsid w:val="008F0879"/>
    <w:rsid w:val="008F23B5"/>
    <w:rsid w:val="008F467D"/>
    <w:rsid w:val="008F5EFC"/>
    <w:rsid w:val="00902CFF"/>
    <w:rsid w:val="009269DF"/>
    <w:rsid w:val="0094132F"/>
    <w:rsid w:val="0094231C"/>
    <w:rsid w:val="00946364"/>
    <w:rsid w:val="0095206B"/>
    <w:rsid w:val="0096259C"/>
    <w:rsid w:val="00965E50"/>
    <w:rsid w:val="00966770"/>
    <w:rsid w:val="009865F3"/>
    <w:rsid w:val="009E0B0E"/>
    <w:rsid w:val="009F5861"/>
    <w:rsid w:val="00A03FCD"/>
    <w:rsid w:val="00A044C5"/>
    <w:rsid w:val="00A07CA6"/>
    <w:rsid w:val="00A1348A"/>
    <w:rsid w:val="00A142D8"/>
    <w:rsid w:val="00A333D4"/>
    <w:rsid w:val="00A42C59"/>
    <w:rsid w:val="00A87C1E"/>
    <w:rsid w:val="00A94B9C"/>
    <w:rsid w:val="00AA6B9A"/>
    <w:rsid w:val="00AB477D"/>
    <w:rsid w:val="00AD0C4D"/>
    <w:rsid w:val="00AD5678"/>
    <w:rsid w:val="00AD6CCE"/>
    <w:rsid w:val="00AD7997"/>
    <w:rsid w:val="00AE205D"/>
    <w:rsid w:val="00B05A39"/>
    <w:rsid w:val="00B20E24"/>
    <w:rsid w:val="00B37695"/>
    <w:rsid w:val="00B52696"/>
    <w:rsid w:val="00B5745E"/>
    <w:rsid w:val="00B57A7C"/>
    <w:rsid w:val="00B72CB1"/>
    <w:rsid w:val="00B800D6"/>
    <w:rsid w:val="00BC3116"/>
    <w:rsid w:val="00BD30CE"/>
    <w:rsid w:val="00BD686A"/>
    <w:rsid w:val="00BD6B46"/>
    <w:rsid w:val="00BE0D4D"/>
    <w:rsid w:val="00BE359B"/>
    <w:rsid w:val="00BE3C13"/>
    <w:rsid w:val="00C044ED"/>
    <w:rsid w:val="00C27358"/>
    <w:rsid w:val="00C36ED4"/>
    <w:rsid w:val="00C56397"/>
    <w:rsid w:val="00C7404D"/>
    <w:rsid w:val="00C83B13"/>
    <w:rsid w:val="00C97B82"/>
    <w:rsid w:val="00CA2A27"/>
    <w:rsid w:val="00CA5173"/>
    <w:rsid w:val="00CB656D"/>
    <w:rsid w:val="00CC2544"/>
    <w:rsid w:val="00CC3E7F"/>
    <w:rsid w:val="00CE03AF"/>
    <w:rsid w:val="00CE3FEE"/>
    <w:rsid w:val="00CF1241"/>
    <w:rsid w:val="00CF32F0"/>
    <w:rsid w:val="00D007FC"/>
    <w:rsid w:val="00D03BD6"/>
    <w:rsid w:val="00D06D31"/>
    <w:rsid w:val="00D07A08"/>
    <w:rsid w:val="00D1343E"/>
    <w:rsid w:val="00D146C3"/>
    <w:rsid w:val="00D300A0"/>
    <w:rsid w:val="00D300B6"/>
    <w:rsid w:val="00D54182"/>
    <w:rsid w:val="00D66350"/>
    <w:rsid w:val="00D73EC4"/>
    <w:rsid w:val="00D75DF0"/>
    <w:rsid w:val="00D839F5"/>
    <w:rsid w:val="00DA3120"/>
    <w:rsid w:val="00DD7B3C"/>
    <w:rsid w:val="00DD7F0F"/>
    <w:rsid w:val="00DE222A"/>
    <w:rsid w:val="00DE47D1"/>
    <w:rsid w:val="00E0796E"/>
    <w:rsid w:val="00E1131D"/>
    <w:rsid w:val="00E3295A"/>
    <w:rsid w:val="00E418F6"/>
    <w:rsid w:val="00E43491"/>
    <w:rsid w:val="00E545EB"/>
    <w:rsid w:val="00E562DC"/>
    <w:rsid w:val="00E65F1B"/>
    <w:rsid w:val="00E735BD"/>
    <w:rsid w:val="00E769A8"/>
    <w:rsid w:val="00E77786"/>
    <w:rsid w:val="00E844CD"/>
    <w:rsid w:val="00E868E3"/>
    <w:rsid w:val="00E908BA"/>
    <w:rsid w:val="00E964A0"/>
    <w:rsid w:val="00EA7331"/>
    <w:rsid w:val="00EB02C6"/>
    <w:rsid w:val="00ED509E"/>
    <w:rsid w:val="00EE09D6"/>
    <w:rsid w:val="00EE2482"/>
    <w:rsid w:val="00EF6E72"/>
    <w:rsid w:val="00EF70D2"/>
    <w:rsid w:val="00F01D8C"/>
    <w:rsid w:val="00F3713F"/>
    <w:rsid w:val="00F37B23"/>
    <w:rsid w:val="00F40017"/>
    <w:rsid w:val="00F5206A"/>
    <w:rsid w:val="00F57CD9"/>
    <w:rsid w:val="00F616BC"/>
    <w:rsid w:val="00F625A5"/>
    <w:rsid w:val="00F63C49"/>
    <w:rsid w:val="00F71197"/>
    <w:rsid w:val="00F77748"/>
    <w:rsid w:val="00F85D9C"/>
    <w:rsid w:val="00FB26C4"/>
    <w:rsid w:val="00FB5821"/>
    <w:rsid w:val="00FC26F3"/>
    <w:rsid w:val="00FC3C14"/>
    <w:rsid w:val="00FE21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681C"/>
    <w:pPr>
      <w:tabs>
        <w:tab w:val="center" w:pos="4536"/>
        <w:tab w:val="right" w:pos="9072"/>
      </w:tabs>
    </w:pPr>
  </w:style>
  <w:style w:type="character" w:customStyle="1" w:styleId="HeaderChar">
    <w:name w:val="Header Char"/>
    <w:basedOn w:val="DefaultParagraphFont"/>
    <w:link w:val="Header"/>
    <w:rsid w:val="0030681C"/>
    <w:rPr>
      <w:rFonts w:ascii="Times New Roman" w:eastAsia="Times New Roman" w:hAnsi="Times New Roman" w:cs="Times New Roman"/>
      <w:sz w:val="24"/>
      <w:szCs w:val="24"/>
    </w:rPr>
  </w:style>
  <w:style w:type="paragraph" w:styleId="Footer">
    <w:name w:val="footer"/>
    <w:basedOn w:val="Normal"/>
    <w:link w:val="FooterChar"/>
    <w:uiPriority w:val="99"/>
    <w:rsid w:val="0030681C"/>
    <w:pPr>
      <w:tabs>
        <w:tab w:val="center" w:pos="4536"/>
        <w:tab w:val="right" w:pos="9072"/>
      </w:tabs>
    </w:pPr>
  </w:style>
  <w:style w:type="character" w:customStyle="1" w:styleId="FooterChar">
    <w:name w:val="Footer Char"/>
    <w:basedOn w:val="DefaultParagraphFont"/>
    <w:link w:val="Footer"/>
    <w:uiPriority w:val="99"/>
    <w:rsid w:val="0030681C"/>
    <w:rPr>
      <w:rFonts w:ascii="Times New Roman" w:eastAsia="Times New Roman" w:hAnsi="Times New Roman" w:cs="Times New Roman"/>
      <w:sz w:val="24"/>
      <w:szCs w:val="24"/>
    </w:rPr>
  </w:style>
  <w:style w:type="paragraph" w:styleId="NormalWeb">
    <w:name w:val="Normal (Web)"/>
    <w:basedOn w:val="Normal"/>
    <w:uiPriority w:val="99"/>
    <w:unhideWhenUsed/>
    <w:rsid w:val="0030681C"/>
    <w:pPr>
      <w:spacing w:before="100" w:beforeAutospacing="1" w:after="100" w:afterAutospacing="1"/>
    </w:pPr>
    <w:rPr>
      <w:lang w:eastAsia="hr-HR"/>
    </w:rPr>
  </w:style>
  <w:style w:type="character" w:styleId="CommentReference">
    <w:name w:val="annotation reference"/>
    <w:semiHidden/>
    <w:rsid w:val="0030681C"/>
    <w:rPr>
      <w:sz w:val="16"/>
      <w:szCs w:val="16"/>
    </w:rPr>
  </w:style>
  <w:style w:type="character" w:styleId="Hyperlink">
    <w:name w:val="Hyperlink"/>
    <w:rsid w:val="0030681C"/>
    <w:rPr>
      <w:color w:val="0000FF"/>
      <w:u w:val="single"/>
    </w:rPr>
  </w:style>
  <w:style w:type="paragraph" w:styleId="FootnoteText">
    <w:name w:val="footnote text"/>
    <w:aliases w:val=" Char2"/>
    <w:basedOn w:val="Normal"/>
    <w:link w:val="FootnoteTextChar"/>
    <w:uiPriority w:val="99"/>
    <w:semiHidden/>
    <w:rsid w:val="0030681C"/>
    <w:rPr>
      <w:sz w:val="20"/>
      <w:szCs w:val="20"/>
    </w:rPr>
  </w:style>
  <w:style w:type="character" w:customStyle="1" w:styleId="FootnoteTextChar">
    <w:name w:val="Footnote Text Char"/>
    <w:aliases w:val=" Char2 Char"/>
    <w:basedOn w:val="DefaultParagraphFont"/>
    <w:link w:val="FootnoteText"/>
    <w:rsid w:val="0030681C"/>
    <w:rPr>
      <w:rFonts w:ascii="Times New Roman" w:eastAsia="Times New Roman" w:hAnsi="Times New Roman" w:cs="Times New Roman"/>
      <w:sz w:val="20"/>
      <w:szCs w:val="20"/>
    </w:rPr>
  </w:style>
  <w:style w:type="character" w:styleId="FootnoteReference">
    <w:name w:val="footnote reference"/>
    <w:uiPriority w:val="99"/>
    <w:semiHidden/>
    <w:rsid w:val="0030681C"/>
    <w:rPr>
      <w:vertAlign w:val="superscript"/>
    </w:rPr>
  </w:style>
  <w:style w:type="paragraph" w:styleId="BalloonText">
    <w:name w:val="Balloon Text"/>
    <w:basedOn w:val="Normal"/>
    <w:link w:val="BalloonTextChar"/>
    <w:uiPriority w:val="99"/>
    <w:semiHidden/>
    <w:unhideWhenUsed/>
    <w:rsid w:val="0030681C"/>
    <w:rPr>
      <w:rFonts w:ascii="Tahoma" w:hAnsi="Tahoma" w:cs="Tahoma"/>
      <w:sz w:val="16"/>
      <w:szCs w:val="16"/>
    </w:rPr>
  </w:style>
  <w:style w:type="character" w:customStyle="1" w:styleId="BalloonTextChar">
    <w:name w:val="Balloon Text Char"/>
    <w:basedOn w:val="DefaultParagraphFont"/>
    <w:link w:val="BalloonText"/>
    <w:uiPriority w:val="99"/>
    <w:semiHidden/>
    <w:rsid w:val="0030681C"/>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8F467D"/>
    <w:rPr>
      <w:sz w:val="20"/>
      <w:szCs w:val="20"/>
    </w:rPr>
  </w:style>
  <w:style w:type="character" w:customStyle="1" w:styleId="CommentTextChar">
    <w:name w:val="Comment Text Char"/>
    <w:basedOn w:val="DefaultParagraphFont"/>
    <w:link w:val="CommentText"/>
    <w:uiPriority w:val="99"/>
    <w:semiHidden/>
    <w:rsid w:val="008F46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467D"/>
    <w:rPr>
      <w:b/>
      <w:bCs/>
    </w:rPr>
  </w:style>
  <w:style w:type="character" w:customStyle="1" w:styleId="CommentSubjectChar">
    <w:name w:val="Comment Subject Char"/>
    <w:basedOn w:val="CommentTextChar"/>
    <w:link w:val="CommentSubject"/>
    <w:uiPriority w:val="99"/>
    <w:semiHidden/>
    <w:rsid w:val="008F467D"/>
    <w:rPr>
      <w:rFonts w:ascii="Times New Roman" w:eastAsia="Times New Roman" w:hAnsi="Times New Roman" w:cs="Times New Roman"/>
      <w:b/>
      <w:bCs/>
      <w:sz w:val="20"/>
      <w:szCs w:val="20"/>
    </w:rPr>
  </w:style>
  <w:style w:type="paragraph" w:styleId="ListParagraph">
    <w:name w:val="List Paragraph"/>
    <w:basedOn w:val="Normal"/>
    <w:uiPriority w:val="34"/>
    <w:qFormat/>
    <w:rsid w:val="002C461D"/>
    <w:pPr>
      <w:ind w:left="720"/>
      <w:contextualSpacing/>
    </w:pPr>
  </w:style>
  <w:style w:type="paragraph" w:styleId="BodyText3">
    <w:name w:val="Body Text 3"/>
    <w:basedOn w:val="Normal"/>
    <w:link w:val="BodyText3Char"/>
    <w:rsid w:val="001973DF"/>
    <w:pPr>
      <w:jc w:val="both"/>
    </w:pPr>
    <w:rPr>
      <w:sz w:val="18"/>
      <w:szCs w:val="20"/>
      <w:lang w:val="en-GB"/>
    </w:rPr>
  </w:style>
  <w:style w:type="character" w:customStyle="1" w:styleId="BodyText3Char">
    <w:name w:val="Body Text 3 Char"/>
    <w:basedOn w:val="DefaultParagraphFont"/>
    <w:link w:val="BodyText3"/>
    <w:rsid w:val="001973DF"/>
    <w:rPr>
      <w:rFonts w:ascii="Times New Roman" w:eastAsia="Times New Roman" w:hAnsi="Times New Roman" w:cs="Times New Roman"/>
      <w:sz w:val="18"/>
      <w:szCs w:val="20"/>
      <w:lang w:val="en-GB"/>
    </w:rPr>
  </w:style>
  <w:style w:type="paragraph" w:styleId="Revision">
    <w:name w:val="Revision"/>
    <w:hidden/>
    <w:uiPriority w:val="99"/>
    <w:semiHidden/>
    <w:rsid w:val="000826FE"/>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aliases w:val=" Char2 Char2, Char2 Char1"/>
    <w:uiPriority w:val="99"/>
    <w:rsid w:val="00424A3D"/>
    <w:rPr>
      <w:sz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681C"/>
    <w:pPr>
      <w:tabs>
        <w:tab w:val="center" w:pos="4536"/>
        <w:tab w:val="right" w:pos="9072"/>
      </w:tabs>
    </w:pPr>
  </w:style>
  <w:style w:type="character" w:customStyle="1" w:styleId="HeaderChar">
    <w:name w:val="Header Char"/>
    <w:basedOn w:val="DefaultParagraphFont"/>
    <w:link w:val="Header"/>
    <w:rsid w:val="0030681C"/>
    <w:rPr>
      <w:rFonts w:ascii="Times New Roman" w:eastAsia="Times New Roman" w:hAnsi="Times New Roman" w:cs="Times New Roman"/>
      <w:sz w:val="24"/>
      <w:szCs w:val="24"/>
    </w:rPr>
  </w:style>
  <w:style w:type="paragraph" w:styleId="Footer">
    <w:name w:val="footer"/>
    <w:basedOn w:val="Normal"/>
    <w:link w:val="FooterChar"/>
    <w:uiPriority w:val="99"/>
    <w:rsid w:val="0030681C"/>
    <w:pPr>
      <w:tabs>
        <w:tab w:val="center" w:pos="4536"/>
        <w:tab w:val="right" w:pos="9072"/>
      </w:tabs>
    </w:pPr>
  </w:style>
  <w:style w:type="character" w:customStyle="1" w:styleId="FooterChar">
    <w:name w:val="Footer Char"/>
    <w:basedOn w:val="DefaultParagraphFont"/>
    <w:link w:val="Footer"/>
    <w:uiPriority w:val="99"/>
    <w:rsid w:val="0030681C"/>
    <w:rPr>
      <w:rFonts w:ascii="Times New Roman" w:eastAsia="Times New Roman" w:hAnsi="Times New Roman" w:cs="Times New Roman"/>
      <w:sz w:val="24"/>
      <w:szCs w:val="24"/>
    </w:rPr>
  </w:style>
  <w:style w:type="paragraph" w:styleId="NormalWeb">
    <w:name w:val="Normal (Web)"/>
    <w:basedOn w:val="Normal"/>
    <w:uiPriority w:val="99"/>
    <w:unhideWhenUsed/>
    <w:rsid w:val="0030681C"/>
    <w:pPr>
      <w:spacing w:before="100" w:beforeAutospacing="1" w:after="100" w:afterAutospacing="1"/>
    </w:pPr>
    <w:rPr>
      <w:lang w:eastAsia="hr-HR"/>
    </w:rPr>
  </w:style>
  <w:style w:type="character" w:styleId="CommentReference">
    <w:name w:val="annotation reference"/>
    <w:semiHidden/>
    <w:rsid w:val="0030681C"/>
    <w:rPr>
      <w:sz w:val="16"/>
      <w:szCs w:val="16"/>
    </w:rPr>
  </w:style>
  <w:style w:type="character" w:styleId="Hyperlink">
    <w:name w:val="Hyperlink"/>
    <w:rsid w:val="0030681C"/>
    <w:rPr>
      <w:color w:val="0000FF"/>
      <w:u w:val="single"/>
    </w:rPr>
  </w:style>
  <w:style w:type="paragraph" w:styleId="FootnoteText">
    <w:name w:val="footnote text"/>
    <w:aliases w:val=" Char2"/>
    <w:basedOn w:val="Normal"/>
    <w:link w:val="FootnoteTextChar"/>
    <w:uiPriority w:val="99"/>
    <w:semiHidden/>
    <w:rsid w:val="0030681C"/>
    <w:rPr>
      <w:sz w:val="20"/>
      <w:szCs w:val="20"/>
    </w:rPr>
  </w:style>
  <w:style w:type="character" w:customStyle="1" w:styleId="FootnoteTextChar">
    <w:name w:val="Footnote Text Char"/>
    <w:aliases w:val=" Char2 Char"/>
    <w:basedOn w:val="DefaultParagraphFont"/>
    <w:link w:val="FootnoteText"/>
    <w:rsid w:val="0030681C"/>
    <w:rPr>
      <w:rFonts w:ascii="Times New Roman" w:eastAsia="Times New Roman" w:hAnsi="Times New Roman" w:cs="Times New Roman"/>
      <w:sz w:val="20"/>
      <w:szCs w:val="20"/>
    </w:rPr>
  </w:style>
  <w:style w:type="character" w:styleId="FootnoteReference">
    <w:name w:val="footnote reference"/>
    <w:uiPriority w:val="99"/>
    <w:semiHidden/>
    <w:rsid w:val="0030681C"/>
    <w:rPr>
      <w:vertAlign w:val="superscript"/>
    </w:rPr>
  </w:style>
  <w:style w:type="paragraph" w:styleId="BalloonText">
    <w:name w:val="Balloon Text"/>
    <w:basedOn w:val="Normal"/>
    <w:link w:val="BalloonTextChar"/>
    <w:uiPriority w:val="99"/>
    <w:semiHidden/>
    <w:unhideWhenUsed/>
    <w:rsid w:val="0030681C"/>
    <w:rPr>
      <w:rFonts w:ascii="Tahoma" w:hAnsi="Tahoma" w:cs="Tahoma"/>
      <w:sz w:val="16"/>
      <w:szCs w:val="16"/>
    </w:rPr>
  </w:style>
  <w:style w:type="character" w:customStyle="1" w:styleId="BalloonTextChar">
    <w:name w:val="Balloon Text Char"/>
    <w:basedOn w:val="DefaultParagraphFont"/>
    <w:link w:val="BalloonText"/>
    <w:uiPriority w:val="99"/>
    <w:semiHidden/>
    <w:rsid w:val="0030681C"/>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8F467D"/>
    <w:rPr>
      <w:sz w:val="20"/>
      <w:szCs w:val="20"/>
    </w:rPr>
  </w:style>
  <w:style w:type="character" w:customStyle="1" w:styleId="CommentTextChar">
    <w:name w:val="Comment Text Char"/>
    <w:basedOn w:val="DefaultParagraphFont"/>
    <w:link w:val="CommentText"/>
    <w:uiPriority w:val="99"/>
    <w:semiHidden/>
    <w:rsid w:val="008F46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467D"/>
    <w:rPr>
      <w:b/>
      <w:bCs/>
    </w:rPr>
  </w:style>
  <w:style w:type="character" w:customStyle="1" w:styleId="CommentSubjectChar">
    <w:name w:val="Comment Subject Char"/>
    <w:basedOn w:val="CommentTextChar"/>
    <w:link w:val="CommentSubject"/>
    <w:uiPriority w:val="99"/>
    <w:semiHidden/>
    <w:rsid w:val="008F467D"/>
    <w:rPr>
      <w:rFonts w:ascii="Times New Roman" w:eastAsia="Times New Roman" w:hAnsi="Times New Roman" w:cs="Times New Roman"/>
      <w:b/>
      <w:bCs/>
      <w:sz w:val="20"/>
      <w:szCs w:val="20"/>
    </w:rPr>
  </w:style>
  <w:style w:type="paragraph" w:styleId="ListParagraph">
    <w:name w:val="List Paragraph"/>
    <w:basedOn w:val="Normal"/>
    <w:uiPriority w:val="34"/>
    <w:qFormat/>
    <w:rsid w:val="002C461D"/>
    <w:pPr>
      <w:ind w:left="720"/>
      <w:contextualSpacing/>
    </w:pPr>
  </w:style>
  <w:style w:type="paragraph" w:styleId="BodyText3">
    <w:name w:val="Body Text 3"/>
    <w:basedOn w:val="Normal"/>
    <w:link w:val="BodyText3Char"/>
    <w:rsid w:val="001973DF"/>
    <w:pPr>
      <w:jc w:val="both"/>
    </w:pPr>
    <w:rPr>
      <w:sz w:val="18"/>
      <w:szCs w:val="20"/>
      <w:lang w:val="en-GB"/>
    </w:rPr>
  </w:style>
  <w:style w:type="character" w:customStyle="1" w:styleId="BodyText3Char">
    <w:name w:val="Body Text 3 Char"/>
    <w:basedOn w:val="DefaultParagraphFont"/>
    <w:link w:val="BodyText3"/>
    <w:rsid w:val="001973DF"/>
    <w:rPr>
      <w:rFonts w:ascii="Times New Roman" w:eastAsia="Times New Roman" w:hAnsi="Times New Roman" w:cs="Times New Roman"/>
      <w:sz w:val="18"/>
      <w:szCs w:val="20"/>
      <w:lang w:val="en-GB"/>
    </w:rPr>
  </w:style>
  <w:style w:type="paragraph" w:styleId="Revision">
    <w:name w:val="Revision"/>
    <w:hidden/>
    <w:uiPriority w:val="99"/>
    <w:semiHidden/>
    <w:rsid w:val="000826FE"/>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aliases w:val=" Char2 Char2, Char2 Char1"/>
    <w:uiPriority w:val="99"/>
    <w:rsid w:val="00424A3D"/>
    <w:rPr>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3038">
      <w:bodyDiv w:val="1"/>
      <w:marLeft w:val="0"/>
      <w:marRight w:val="0"/>
      <w:marTop w:val="0"/>
      <w:marBottom w:val="0"/>
      <w:divBdr>
        <w:top w:val="none" w:sz="0" w:space="0" w:color="auto"/>
        <w:left w:val="none" w:sz="0" w:space="0" w:color="auto"/>
        <w:bottom w:val="none" w:sz="0" w:space="0" w:color="auto"/>
        <w:right w:val="none" w:sz="0" w:space="0" w:color="auto"/>
      </w:divBdr>
      <w:divsChild>
        <w:div w:id="747654570">
          <w:marLeft w:val="446"/>
          <w:marRight w:val="0"/>
          <w:marTop w:val="0"/>
          <w:marBottom w:val="0"/>
          <w:divBdr>
            <w:top w:val="none" w:sz="0" w:space="0" w:color="auto"/>
            <w:left w:val="none" w:sz="0" w:space="0" w:color="auto"/>
            <w:bottom w:val="none" w:sz="0" w:space="0" w:color="auto"/>
            <w:right w:val="none" w:sz="0" w:space="0" w:color="auto"/>
          </w:divBdr>
        </w:div>
        <w:div w:id="2083599937">
          <w:marLeft w:val="446"/>
          <w:marRight w:val="0"/>
          <w:marTop w:val="0"/>
          <w:marBottom w:val="0"/>
          <w:divBdr>
            <w:top w:val="none" w:sz="0" w:space="0" w:color="auto"/>
            <w:left w:val="none" w:sz="0" w:space="0" w:color="auto"/>
            <w:bottom w:val="none" w:sz="0" w:space="0" w:color="auto"/>
            <w:right w:val="none" w:sz="0" w:space="0" w:color="auto"/>
          </w:divBdr>
        </w:div>
        <w:div w:id="1708261484">
          <w:marLeft w:val="446"/>
          <w:marRight w:val="0"/>
          <w:marTop w:val="0"/>
          <w:marBottom w:val="0"/>
          <w:divBdr>
            <w:top w:val="none" w:sz="0" w:space="0" w:color="auto"/>
            <w:left w:val="none" w:sz="0" w:space="0" w:color="auto"/>
            <w:bottom w:val="none" w:sz="0" w:space="0" w:color="auto"/>
            <w:right w:val="none" w:sz="0" w:space="0" w:color="auto"/>
          </w:divBdr>
        </w:div>
        <w:div w:id="1881042802">
          <w:marLeft w:val="446"/>
          <w:marRight w:val="0"/>
          <w:marTop w:val="0"/>
          <w:marBottom w:val="0"/>
          <w:divBdr>
            <w:top w:val="none" w:sz="0" w:space="0" w:color="auto"/>
            <w:left w:val="none" w:sz="0" w:space="0" w:color="auto"/>
            <w:bottom w:val="none" w:sz="0" w:space="0" w:color="auto"/>
            <w:right w:val="none" w:sz="0" w:space="0" w:color="auto"/>
          </w:divBdr>
        </w:div>
        <w:div w:id="952833072">
          <w:marLeft w:val="446"/>
          <w:marRight w:val="0"/>
          <w:marTop w:val="0"/>
          <w:marBottom w:val="0"/>
          <w:divBdr>
            <w:top w:val="none" w:sz="0" w:space="0" w:color="auto"/>
            <w:left w:val="none" w:sz="0" w:space="0" w:color="auto"/>
            <w:bottom w:val="none" w:sz="0" w:space="0" w:color="auto"/>
            <w:right w:val="none" w:sz="0" w:space="0" w:color="auto"/>
          </w:divBdr>
        </w:div>
      </w:divsChild>
    </w:div>
    <w:div w:id="386148590">
      <w:bodyDiv w:val="1"/>
      <w:marLeft w:val="0"/>
      <w:marRight w:val="0"/>
      <w:marTop w:val="0"/>
      <w:marBottom w:val="0"/>
      <w:divBdr>
        <w:top w:val="none" w:sz="0" w:space="0" w:color="auto"/>
        <w:left w:val="none" w:sz="0" w:space="0" w:color="auto"/>
        <w:bottom w:val="none" w:sz="0" w:space="0" w:color="auto"/>
        <w:right w:val="none" w:sz="0" w:space="0" w:color="auto"/>
      </w:divBdr>
    </w:div>
    <w:div w:id="451675720">
      <w:bodyDiv w:val="1"/>
      <w:marLeft w:val="0"/>
      <w:marRight w:val="0"/>
      <w:marTop w:val="0"/>
      <w:marBottom w:val="0"/>
      <w:divBdr>
        <w:top w:val="none" w:sz="0" w:space="0" w:color="auto"/>
        <w:left w:val="none" w:sz="0" w:space="0" w:color="auto"/>
        <w:bottom w:val="none" w:sz="0" w:space="0" w:color="auto"/>
        <w:right w:val="none" w:sz="0" w:space="0" w:color="auto"/>
      </w:divBdr>
      <w:divsChild>
        <w:div w:id="985281571">
          <w:marLeft w:val="403"/>
          <w:marRight w:val="0"/>
          <w:marTop w:val="240"/>
          <w:marBottom w:val="0"/>
          <w:divBdr>
            <w:top w:val="none" w:sz="0" w:space="0" w:color="auto"/>
            <w:left w:val="none" w:sz="0" w:space="0" w:color="auto"/>
            <w:bottom w:val="none" w:sz="0" w:space="0" w:color="auto"/>
            <w:right w:val="none" w:sz="0" w:space="0" w:color="auto"/>
          </w:divBdr>
        </w:div>
        <w:div w:id="216010053">
          <w:marLeft w:val="403"/>
          <w:marRight w:val="0"/>
          <w:marTop w:val="240"/>
          <w:marBottom w:val="0"/>
          <w:divBdr>
            <w:top w:val="none" w:sz="0" w:space="0" w:color="auto"/>
            <w:left w:val="none" w:sz="0" w:space="0" w:color="auto"/>
            <w:bottom w:val="none" w:sz="0" w:space="0" w:color="auto"/>
            <w:right w:val="none" w:sz="0" w:space="0" w:color="auto"/>
          </w:divBdr>
        </w:div>
        <w:div w:id="346830003">
          <w:marLeft w:val="403"/>
          <w:marRight w:val="0"/>
          <w:marTop w:val="240"/>
          <w:marBottom w:val="0"/>
          <w:divBdr>
            <w:top w:val="none" w:sz="0" w:space="0" w:color="auto"/>
            <w:left w:val="none" w:sz="0" w:space="0" w:color="auto"/>
            <w:bottom w:val="none" w:sz="0" w:space="0" w:color="auto"/>
            <w:right w:val="none" w:sz="0" w:space="0" w:color="auto"/>
          </w:divBdr>
        </w:div>
        <w:div w:id="1193878818">
          <w:marLeft w:val="403"/>
          <w:marRight w:val="0"/>
          <w:marTop w:val="240"/>
          <w:marBottom w:val="0"/>
          <w:divBdr>
            <w:top w:val="none" w:sz="0" w:space="0" w:color="auto"/>
            <w:left w:val="none" w:sz="0" w:space="0" w:color="auto"/>
            <w:bottom w:val="none" w:sz="0" w:space="0" w:color="auto"/>
            <w:right w:val="none" w:sz="0" w:space="0" w:color="auto"/>
          </w:divBdr>
        </w:div>
      </w:divsChild>
    </w:div>
    <w:div w:id="800655356">
      <w:bodyDiv w:val="1"/>
      <w:marLeft w:val="0"/>
      <w:marRight w:val="0"/>
      <w:marTop w:val="0"/>
      <w:marBottom w:val="0"/>
      <w:divBdr>
        <w:top w:val="none" w:sz="0" w:space="0" w:color="auto"/>
        <w:left w:val="none" w:sz="0" w:space="0" w:color="auto"/>
        <w:bottom w:val="none" w:sz="0" w:space="0" w:color="auto"/>
        <w:right w:val="none" w:sz="0" w:space="0" w:color="auto"/>
      </w:divBdr>
      <w:divsChild>
        <w:div w:id="1487210257">
          <w:marLeft w:val="403"/>
          <w:marRight w:val="0"/>
          <w:marTop w:val="240"/>
          <w:marBottom w:val="0"/>
          <w:divBdr>
            <w:top w:val="none" w:sz="0" w:space="0" w:color="auto"/>
            <w:left w:val="none" w:sz="0" w:space="0" w:color="auto"/>
            <w:bottom w:val="none" w:sz="0" w:space="0" w:color="auto"/>
            <w:right w:val="none" w:sz="0" w:space="0" w:color="auto"/>
          </w:divBdr>
        </w:div>
      </w:divsChild>
    </w:div>
    <w:div w:id="822239585">
      <w:bodyDiv w:val="1"/>
      <w:marLeft w:val="0"/>
      <w:marRight w:val="0"/>
      <w:marTop w:val="0"/>
      <w:marBottom w:val="0"/>
      <w:divBdr>
        <w:top w:val="none" w:sz="0" w:space="0" w:color="auto"/>
        <w:left w:val="none" w:sz="0" w:space="0" w:color="auto"/>
        <w:bottom w:val="none" w:sz="0" w:space="0" w:color="auto"/>
        <w:right w:val="none" w:sz="0" w:space="0" w:color="auto"/>
      </w:divBdr>
      <w:divsChild>
        <w:div w:id="1782602619">
          <w:marLeft w:val="403"/>
          <w:marRight w:val="0"/>
          <w:marTop w:val="240"/>
          <w:marBottom w:val="0"/>
          <w:divBdr>
            <w:top w:val="none" w:sz="0" w:space="0" w:color="auto"/>
            <w:left w:val="none" w:sz="0" w:space="0" w:color="auto"/>
            <w:bottom w:val="none" w:sz="0" w:space="0" w:color="auto"/>
            <w:right w:val="none" w:sz="0" w:space="0" w:color="auto"/>
          </w:divBdr>
        </w:div>
      </w:divsChild>
    </w:div>
    <w:div w:id="930158588">
      <w:bodyDiv w:val="1"/>
      <w:marLeft w:val="0"/>
      <w:marRight w:val="0"/>
      <w:marTop w:val="0"/>
      <w:marBottom w:val="0"/>
      <w:divBdr>
        <w:top w:val="none" w:sz="0" w:space="0" w:color="auto"/>
        <w:left w:val="none" w:sz="0" w:space="0" w:color="auto"/>
        <w:bottom w:val="none" w:sz="0" w:space="0" w:color="auto"/>
        <w:right w:val="none" w:sz="0" w:space="0" w:color="auto"/>
      </w:divBdr>
      <w:divsChild>
        <w:div w:id="2016151245">
          <w:marLeft w:val="446"/>
          <w:marRight w:val="0"/>
          <w:marTop w:val="0"/>
          <w:marBottom w:val="0"/>
          <w:divBdr>
            <w:top w:val="none" w:sz="0" w:space="0" w:color="auto"/>
            <w:left w:val="none" w:sz="0" w:space="0" w:color="auto"/>
            <w:bottom w:val="none" w:sz="0" w:space="0" w:color="auto"/>
            <w:right w:val="none" w:sz="0" w:space="0" w:color="auto"/>
          </w:divBdr>
        </w:div>
        <w:div w:id="1623338202">
          <w:marLeft w:val="446"/>
          <w:marRight w:val="0"/>
          <w:marTop w:val="0"/>
          <w:marBottom w:val="0"/>
          <w:divBdr>
            <w:top w:val="none" w:sz="0" w:space="0" w:color="auto"/>
            <w:left w:val="none" w:sz="0" w:space="0" w:color="auto"/>
            <w:bottom w:val="none" w:sz="0" w:space="0" w:color="auto"/>
            <w:right w:val="none" w:sz="0" w:space="0" w:color="auto"/>
          </w:divBdr>
        </w:div>
        <w:div w:id="887300690">
          <w:marLeft w:val="446"/>
          <w:marRight w:val="0"/>
          <w:marTop w:val="0"/>
          <w:marBottom w:val="0"/>
          <w:divBdr>
            <w:top w:val="none" w:sz="0" w:space="0" w:color="auto"/>
            <w:left w:val="none" w:sz="0" w:space="0" w:color="auto"/>
            <w:bottom w:val="none" w:sz="0" w:space="0" w:color="auto"/>
            <w:right w:val="none" w:sz="0" w:space="0" w:color="auto"/>
          </w:divBdr>
        </w:div>
        <w:div w:id="546601573">
          <w:marLeft w:val="446"/>
          <w:marRight w:val="0"/>
          <w:marTop w:val="0"/>
          <w:marBottom w:val="0"/>
          <w:divBdr>
            <w:top w:val="none" w:sz="0" w:space="0" w:color="auto"/>
            <w:left w:val="none" w:sz="0" w:space="0" w:color="auto"/>
            <w:bottom w:val="none" w:sz="0" w:space="0" w:color="auto"/>
            <w:right w:val="none" w:sz="0" w:space="0" w:color="auto"/>
          </w:divBdr>
        </w:div>
        <w:div w:id="2144615520">
          <w:marLeft w:val="446"/>
          <w:marRight w:val="0"/>
          <w:marTop w:val="0"/>
          <w:marBottom w:val="0"/>
          <w:divBdr>
            <w:top w:val="none" w:sz="0" w:space="0" w:color="auto"/>
            <w:left w:val="none" w:sz="0" w:space="0" w:color="auto"/>
            <w:bottom w:val="none" w:sz="0" w:space="0" w:color="auto"/>
            <w:right w:val="none" w:sz="0" w:space="0" w:color="auto"/>
          </w:divBdr>
        </w:div>
      </w:divsChild>
    </w:div>
    <w:div w:id="1129084816">
      <w:bodyDiv w:val="1"/>
      <w:marLeft w:val="0"/>
      <w:marRight w:val="0"/>
      <w:marTop w:val="0"/>
      <w:marBottom w:val="0"/>
      <w:divBdr>
        <w:top w:val="none" w:sz="0" w:space="0" w:color="auto"/>
        <w:left w:val="none" w:sz="0" w:space="0" w:color="auto"/>
        <w:bottom w:val="none" w:sz="0" w:space="0" w:color="auto"/>
        <w:right w:val="none" w:sz="0" w:space="0" w:color="auto"/>
      </w:divBdr>
      <w:divsChild>
        <w:div w:id="1546141386">
          <w:marLeft w:val="403"/>
          <w:marRight w:val="0"/>
          <w:marTop w:val="240"/>
          <w:marBottom w:val="0"/>
          <w:divBdr>
            <w:top w:val="none" w:sz="0" w:space="0" w:color="auto"/>
            <w:left w:val="none" w:sz="0" w:space="0" w:color="auto"/>
            <w:bottom w:val="none" w:sz="0" w:space="0" w:color="auto"/>
            <w:right w:val="none" w:sz="0" w:space="0" w:color="auto"/>
          </w:divBdr>
        </w:div>
        <w:div w:id="1620915916">
          <w:marLeft w:val="403"/>
          <w:marRight w:val="0"/>
          <w:marTop w:val="240"/>
          <w:marBottom w:val="0"/>
          <w:divBdr>
            <w:top w:val="none" w:sz="0" w:space="0" w:color="auto"/>
            <w:left w:val="none" w:sz="0" w:space="0" w:color="auto"/>
            <w:bottom w:val="none" w:sz="0" w:space="0" w:color="auto"/>
            <w:right w:val="none" w:sz="0" w:space="0" w:color="auto"/>
          </w:divBdr>
        </w:div>
        <w:div w:id="1979989363">
          <w:marLeft w:val="403"/>
          <w:marRight w:val="0"/>
          <w:marTop w:val="240"/>
          <w:marBottom w:val="0"/>
          <w:divBdr>
            <w:top w:val="none" w:sz="0" w:space="0" w:color="auto"/>
            <w:left w:val="none" w:sz="0" w:space="0" w:color="auto"/>
            <w:bottom w:val="none" w:sz="0" w:space="0" w:color="auto"/>
            <w:right w:val="none" w:sz="0" w:space="0" w:color="auto"/>
          </w:divBdr>
        </w:div>
        <w:div w:id="325017959">
          <w:marLeft w:val="403"/>
          <w:marRight w:val="0"/>
          <w:marTop w:val="240"/>
          <w:marBottom w:val="0"/>
          <w:divBdr>
            <w:top w:val="none" w:sz="0" w:space="0" w:color="auto"/>
            <w:left w:val="none" w:sz="0" w:space="0" w:color="auto"/>
            <w:bottom w:val="none" w:sz="0" w:space="0" w:color="auto"/>
            <w:right w:val="none" w:sz="0" w:space="0" w:color="auto"/>
          </w:divBdr>
        </w:div>
        <w:div w:id="1109085222">
          <w:marLeft w:val="403"/>
          <w:marRight w:val="0"/>
          <w:marTop w:val="240"/>
          <w:marBottom w:val="0"/>
          <w:divBdr>
            <w:top w:val="none" w:sz="0" w:space="0" w:color="auto"/>
            <w:left w:val="none" w:sz="0" w:space="0" w:color="auto"/>
            <w:bottom w:val="none" w:sz="0" w:space="0" w:color="auto"/>
            <w:right w:val="none" w:sz="0" w:space="0" w:color="auto"/>
          </w:divBdr>
        </w:div>
        <w:div w:id="955256673">
          <w:marLeft w:val="403"/>
          <w:marRight w:val="0"/>
          <w:marTop w:val="240"/>
          <w:marBottom w:val="0"/>
          <w:divBdr>
            <w:top w:val="none" w:sz="0" w:space="0" w:color="auto"/>
            <w:left w:val="none" w:sz="0" w:space="0" w:color="auto"/>
            <w:bottom w:val="none" w:sz="0" w:space="0" w:color="auto"/>
            <w:right w:val="none" w:sz="0" w:space="0" w:color="auto"/>
          </w:divBdr>
        </w:div>
        <w:div w:id="1447195404">
          <w:marLeft w:val="403"/>
          <w:marRight w:val="0"/>
          <w:marTop w:val="240"/>
          <w:marBottom w:val="0"/>
          <w:divBdr>
            <w:top w:val="none" w:sz="0" w:space="0" w:color="auto"/>
            <w:left w:val="none" w:sz="0" w:space="0" w:color="auto"/>
            <w:bottom w:val="none" w:sz="0" w:space="0" w:color="auto"/>
            <w:right w:val="none" w:sz="0" w:space="0" w:color="auto"/>
          </w:divBdr>
        </w:div>
      </w:divsChild>
    </w:div>
    <w:div w:id="1193106325">
      <w:bodyDiv w:val="1"/>
      <w:marLeft w:val="0"/>
      <w:marRight w:val="0"/>
      <w:marTop w:val="0"/>
      <w:marBottom w:val="0"/>
      <w:divBdr>
        <w:top w:val="none" w:sz="0" w:space="0" w:color="auto"/>
        <w:left w:val="none" w:sz="0" w:space="0" w:color="auto"/>
        <w:bottom w:val="none" w:sz="0" w:space="0" w:color="auto"/>
        <w:right w:val="none" w:sz="0" w:space="0" w:color="auto"/>
      </w:divBdr>
      <w:divsChild>
        <w:div w:id="1766919371">
          <w:marLeft w:val="403"/>
          <w:marRight w:val="0"/>
          <w:marTop w:val="240"/>
          <w:marBottom w:val="0"/>
          <w:divBdr>
            <w:top w:val="none" w:sz="0" w:space="0" w:color="auto"/>
            <w:left w:val="none" w:sz="0" w:space="0" w:color="auto"/>
            <w:bottom w:val="none" w:sz="0" w:space="0" w:color="auto"/>
            <w:right w:val="none" w:sz="0" w:space="0" w:color="auto"/>
          </w:divBdr>
        </w:div>
      </w:divsChild>
    </w:div>
    <w:div w:id="1524710117">
      <w:bodyDiv w:val="1"/>
      <w:marLeft w:val="0"/>
      <w:marRight w:val="0"/>
      <w:marTop w:val="0"/>
      <w:marBottom w:val="0"/>
      <w:divBdr>
        <w:top w:val="none" w:sz="0" w:space="0" w:color="auto"/>
        <w:left w:val="none" w:sz="0" w:space="0" w:color="auto"/>
        <w:bottom w:val="none" w:sz="0" w:space="0" w:color="auto"/>
        <w:right w:val="none" w:sz="0" w:space="0" w:color="auto"/>
      </w:divBdr>
      <w:divsChild>
        <w:div w:id="2112820718">
          <w:marLeft w:val="403"/>
          <w:marRight w:val="0"/>
          <w:marTop w:val="240"/>
          <w:marBottom w:val="0"/>
          <w:divBdr>
            <w:top w:val="none" w:sz="0" w:space="0" w:color="auto"/>
            <w:left w:val="none" w:sz="0" w:space="0" w:color="auto"/>
            <w:bottom w:val="none" w:sz="0" w:space="0" w:color="auto"/>
            <w:right w:val="none" w:sz="0" w:space="0" w:color="auto"/>
          </w:divBdr>
        </w:div>
      </w:divsChild>
    </w:div>
    <w:div w:id="1853300259">
      <w:bodyDiv w:val="1"/>
      <w:marLeft w:val="0"/>
      <w:marRight w:val="0"/>
      <w:marTop w:val="0"/>
      <w:marBottom w:val="0"/>
      <w:divBdr>
        <w:top w:val="none" w:sz="0" w:space="0" w:color="auto"/>
        <w:left w:val="none" w:sz="0" w:space="0" w:color="auto"/>
        <w:bottom w:val="none" w:sz="0" w:space="0" w:color="auto"/>
        <w:right w:val="none" w:sz="0" w:space="0" w:color="auto"/>
      </w:divBdr>
      <w:divsChild>
        <w:div w:id="148598584">
          <w:marLeft w:val="374"/>
          <w:marRight w:val="0"/>
          <w:marTop w:val="60"/>
          <w:marBottom w:val="0"/>
          <w:divBdr>
            <w:top w:val="none" w:sz="0" w:space="0" w:color="auto"/>
            <w:left w:val="none" w:sz="0" w:space="0" w:color="auto"/>
            <w:bottom w:val="none" w:sz="0" w:space="0" w:color="auto"/>
            <w:right w:val="none" w:sz="0" w:space="0" w:color="auto"/>
          </w:divBdr>
        </w:div>
        <w:div w:id="495267955">
          <w:marLeft w:val="374"/>
          <w:marRight w:val="0"/>
          <w:marTop w:val="60"/>
          <w:marBottom w:val="0"/>
          <w:divBdr>
            <w:top w:val="none" w:sz="0" w:space="0" w:color="auto"/>
            <w:left w:val="none" w:sz="0" w:space="0" w:color="auto"/>
            <w:bottom w:val="none" w:sz="0" w:space="0" w:color="auto"/>
            <w:right w:val="none" w:sz="0" w:space="0" w:color="auto"/>
          </w:divBdr>
        </w:div>
        <w:div w:id="467864348">
          <w:marLeft w:val="374"/>
          <w:marRight w:val="0"/>
          <w:marTop w:val="60"/>
          <w:marBottom w:val="0"/>
          <w:divBdr>
            <w:top w:val="none" w:sz="0" w:space="0" w:color="auto"/>
            <w:left w:val="none" w:sz="0" w:space="0" w:color="auto"/>
            <w:bottom w:val="none" w:sz="0" w:space="0" w:color="auto"/>
            <w:right w:val="none" w:sz="0" w:space="0" w:color="auto"/>
          </w:divBdr>
        </w:div>
        <w:div w:id="1200897662">
          <w:marLeft w:val="374"/>
          <w:marRight w:val="0"/>
          <w:marTop w:val="60"/>
          <w:marBottom w:val="0"/>
          <w:divBdr>
            <w:top w:val="none" w:sz="0" w:space="0" w:color="auto"/>
            <w:left w:val="none" w:sz="0" w:space="0" w:color="auto"/>
            <w:bottom w:val="none" w:sz="0" w:space="0" w:color="auto"/>
            <w:right w:val="none" w:sz="0" w:space="0" w:color="auto"/>
          </w:divBdr>
        </w:div>
        <w:div w:id="1137604219">
          <w:marLeft w:val="374"/>
          <w:marRight w:val="0"/>
          <w:marTop w:val="60"/>
          <w:marBottom w:val="0"/>
          <w:divBdr>
            <w:top w:val="none" w:sz="0" w:space="0" w:color="auto"/>
            <w:left w:val="none" w:sz="0" w:space="0" w:color="auto"/>
            <w:bottom w:val="none" w:sz="0" w:space="0" w:color="auto"/>
            <w:right w:val="none" w:sz="0" w:space="0" w:color="auto"/>
          </w:divBdr>
        </w:div>
      </w:divsChild>
    </w:div>
    <w:div w:id="2008289203">
      <w:bodyDiv w:val="1"/>
      <w:marLeft w:val="0"/>
      <w:marRight w:val="0"/>
      <w:marTop w:val="0"/>
      <w:marBottom w:val="0"/>
      <w:divBdr>
        <w:top w:val="none" w:sz="0" w:space="0" w:color="auto"/>
        <w:left w:val="none" w:sz="0" w:space="0" w:color="auto"/>
        <w:bottom w:val="none" w:sz="0" w:space="0" w:color="auto"/>
        <w:right w:val="none" w:sz="0" w:space="0" w:color="auto"/>
      </w:divBdr>
      <w:divsChild>
        <w:div w:id="1938513825">
          <w:marLeft w:val="374"/>
          <w:marRight w:val="0"/>
          <w:marTop w:val="60"/>
          <w:marBottom w:val="0"/>
          <w:divBdr>
            <w:top w:val="none" w:sz="0" w:space="0" w:color="auto"/>
            <w:left w:val="none" w:sz="0" w:space="0" w:color="auto"/>
            <w:bottom w:val="none" w:sz="0" w:space="0" w:color="auto"/>
            <w:right w:val="none" w:sz="0" w:space="0" w:color="auto"/>
          </w:divBdr>
        </w:div>
        <w:div w:id="551844237">
          <w:marLeft w:val="374"/>
          <w:marRight w:val="0"/>
          <w:marTop w:val="60"/>
          <w:marBottom w:val="0"/>
          <w:divBdr>
            <w:top w:val="none" w:sz="0" w:space="0" w:color="auto"/>
            <w:left w:val="none" w:sz="0" w:space="0" w:color="auto"/>
            <w:bottom w:val="none" w:sz="0" w:space="0" w:color="auto"/>
            <w:right w:val="none" w:sz="0" w:space="0" w:color="auto"/>
          </w:divBdr>
        </w:div>
        <w:div w:id="274679812">
          <w:marLeft w:val="374"/>
          <w:marRight w:val="0"/>
          <w:marTop w:val="60"/>
          <w:marBottom w:val="0"/>
          <w:divBdr>
            <w:top w:val="none" w:sz="0" w:space="0" w:color="auto"/>
            <w:left w:val="none" w:sz="0" w:space="0" w:color="auto"/>
            <w:bottom w:val="none" w:sz="0" w:space="0" w:color="auto"/>
            <w:right w:val="none" w:sz="0" w:space="0" w:color="auto"/>
          </w:divBdr>
        </w:div>
        <w:div w:id="1109815425">
          <w:marLeft w:val="374"/>
          <w:marRight w:val="0"/>
          <w:marTop w:val="60"/>
          <w:marBottom w:val="0"/>
          <w:divBdr>
            <w:top w:val="none" w:sz="0" w:space="0" w:color="auto"/>
            <w:left w:val="none" w:sz="0" w:space="0" w:color="auto"/>
            <w:bottom w:val="none" w:sz="0" w:space="0" w:color="auto"/>
            <w:right w:val="none" w:sz="0" w:space="0" w:color="auto"/>
          </w:divBdr>
        </w:div>
        <w:div w:id="876626024">
          <w:marLeft w:val="374"/>
          <w:marRight w:val="0"/>
          <w:marTop w:val="60"/>
          <w:marBottom w:val="0"/>
          <w:divBdr>
            <w:top w:val="none" w:sz="0" w:space="0" w:color="auto"/>
            <w:left w:val="none" w:sz="0" w:space="0" w:color="auto"/>
            <w:bottom w:val="none" w:sz="0" w:space="0" w:color="auto"/>
            <w:right w:val="none" w:sz="0" w:space="0" w:color="auto"/>
          </w:divBdr>
        </w:div>
      </w:divsChild>
    </w:div>
    <w:div w:id="2016106141">
      <w:bodyDiv w:val="1"/>
      <w:marLeft w:val="0"/>
      <w:marRight w:val="0"/>
      <w:marTop w:val="0"/>
      <w:marBottom w:val="0"/>
      <w:divBdr>
        <w:top w:val="none" w:sz="0" w:space="0" w:color="auto"/>
        <w:left w:val="none" w:sz="0" w:space="0" w:color="auto"/>
        <w:bottom w:val="none" w:sz="0" w:space="0" w:color="auto"/>
        <w:right w:val="none" w:sz="0" w:space="0" w:color="auto"/>
      </w:divBdr>
      <w:divsChild>
        <w:div w:id="912935914">
          <w:marLeft w:val="403"/>
          <w:marRight w:val="0"/>
          <w:marTop w:val="240"/>
          <w:marBottom w:val="0"/>
          <w:divBdr>
            <w:top w:val="none" w:sz="0" w:space="0" w:color="auto"/>
            <w:left w:val="none" w:sz="0" w:space="0" w:color="auto"/>
            <w:bottom w:val="none" w:sz="0" w:space="0" w:color="auto"/>
            <w:right w:val="none" w:sz="0" w:space="0" w:color="auto"/>
          </w:divBdr>
        </w:div>
      </w:divsChild>
    </w:div>
    <w:div w:id="2089764515">
      <w:bodyDiv w:val="1"/>
      <w:marLeft w:val="0"/>
      <w:marRight w:val="0"/>
      <w:marTop w:val="0"/>
      <w:marBottom w:val="0"/>
      <w:divBdr>
        <w:top w:val="none" w:sz="0" w:space="0" w:color="auto"/>
        <w:left w:val="none" w:sz="0" w:space="0" w:color="auto"/>
        <w:bottom w:val="none" w:sz="0" w:space="0" w:color="auto"/>
        <w:right w:val="none" w:sz="0" w:space="0" w:color="auto"/>
      </w:divBdr>
      <w:divsChild>
        <w:div w:id="1847282151">
          <w:marLeft w:val="403"/>
          <w:marRight w:val="0"/>
          <w:marTop w:val="240"/>
          <w:marBottom w:val="0"/>
          <w:divBdr>
            <w:top w:val="none" w:sz="0" w:space="0" w:color="auto"/>
            <w:left w:val="none" w:sz="0" w:space="0" w:color="auto"/>
            <w:bottom w:val="none" w:sz="0" w:space="0" w:color="auto"/>
            <w:right w:val="none" w:sz="0" w:space="0" w:color="auto"/>
          </w:divBdr>
        </w:div>
        <w:div w:id="997341367">
          <w:marLeft w:val="403"/>
          <w:marRight w:val="0"/>
          <w:marTop w:val="240"/>
          <w:marBottom w:val="0"/>
          <w:divBdr>
            <w:top w:val="none" w:sz="0" w:space="0" w:color="auto"/>
            <w:left w:val="none" w:sz="0" w:space="0" w:color="auto"/>
            <w:bottom w:val="none" w:sz="0" w:space="0" w:color="auto"/>
            <w:right w:val="none" w:sz="0" w:space="0" w:color="auto"/>
          </w:divBdr>
        </w:div>
        <w:div w:id="2097046984">
          <w:marLeft w:val="403"/>
          <w:marRight w:val="0"/>
          <w:marTop w:val="240"/>
          <w:marBottom w:val="0"/>
          <w:divBdr>
            <w:top w:val="none" w:sz="0" w:space="0" w:color="auto"/>
            <w:left w:val="none" w:sz="0" w:space="0" w:color="auto"/>
            <w:bottom w:val="none" w:sz="0" w:space="0" w:color="auto"/>
            <w:right w:val="none" w:sz="0" w:space="0" w:color="auto"/>
          </w:divBdr>
        </w:div>
        <w:div w:id="2136218850">
          <w:marLeft w:val="403"/>
          <w:marRight w:val="0"/>
          <w:marTop w:val="240"/>
          <w:marBottom w:val="0"/>
          <w:divBdr>
            <w:top w:val="none" w:sz="0" w:space="0" w:color="auto"/>
            <w:left w:val="none" w:sz="0" w:space="0" w:color="auto"/>
            <w:bottom w:val="none" w:sz="0" w:space="0" w:color="auto"/>
            <w:right w:val="none" w:sz="0" w:space="0" w:color="auto"/>
          </w:divBdr>
        </w:div>
        <w:div w:id="1586377474">
          <w:marLeft w:val="403"/>
          <w:marRight w:val="0"/>
          <w:marTop w:val="240"/>
          <w:marBottom w:val="0"/>
          <w:divBdr>
            <w:top w:val="none" w:sz="0" w:space="0" w:color="auto"/>
            <w:left w:val="none" w:sz="0" w:space="0" w:color="auto"/>
            <w:bottom w:val="none" w:sz="0" w:space="0" w:color="auto"/>
            <w:right w:val="none" w:sz="0" w:space="0" w:color="auto"/>
          </w:divBdr>
        </w:div>
        <w:div w:id="102842916">
          <w:marLeft w:val="403"/>
          <w:marRight w:val="0"/>
          <w:marTop w:val="240"/>
          <w:marBottom w:val="0"/>
          <w:divBdr>
            <w:top w:val="none" w:sz="0" w:space="0" w:color="auto"/>
            <w:left w:val="none" w:sz="0" w:space="0" w:color="auto"/>
            <w:bottom w:val="none" w:sz="0" w:space="0" w:color="auto"/>
            <w:right w:val="none" w:sz="0" w:space="0" w:color="auto"/>
          </w:divBdr>
        </w:div>
        <w:div w:id="858665107">
          <w:marLeft w:val="403"/>
          <w:marRight w:val="0"/>
          <w:marTop w:val="240"/>
          <w:marBottom w:val="0"/>
          <w:divBdr>
            <w:top w:val="none" w:sz="0" w:space="0" w:color="auto"/>
            <w:left w:val="none" w:sz="0" w:space="0" w:color="auto"/>
            <w:bottom w:val="none" w:sz="0" w:space="0" w:color="auto"/>
            <w:right w:val="none" w:sz="0" w:space="0" w:color="auto"/>
          </w:divBdr>
        </w:div>
      </w:divsChild>
    </w:div>
    <w:div w:id="211316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ina.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ina.hr"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mbazina\Desktop\FR%20Q1%202014\Copy%20of%20Press_Q1%202014_pomo&#263;ni_grafovi.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Sheet1!$G$18</c:f>
              <c:strCache>
                <c:ptCount val="1"/>
                <c:pt idx="0">
                  <c:v>Kapitalna ulaganja</c:v>
                </c:pt>
              </c:strCache>
            </c:strRef>
          </c:tx>
          <c:invertIfNegative val="0"/>
          <c:dLbls>
            <c:txPr>
              <a:bodyPr/>
              <a:lstStyle/>
              <a:p>
                <a:pPr>
                  <a:defRPr sz="1050"/>
                </a:pPr>
                <a:endParaRPr lang="sr-Latn-RS"/>
              </a:p>
            </c:txPr>
            <c:showLegendKey val="0"/>
            <c:showVal val="1"/>
            <c:showCatName val="0"/>
            <c:showSerName val="0"/>
            <c:showPercent val="0"/>
            <c:showBubbleSize val="0"/>
            <c:showLeaderLines val="0"/>
          </c:dLbls>
          <c:cat>
            <c:strRef>
              <c:f>Sheet1!$H$17:$I$17</c:f>
              <c:strCache>
                <c:ptCount val="2"/>
                <c:pt idx="0">
                  <c:v>I-III 2013</c:v>
                </c:pt>
                <c:pt idx="1">
                  <c:v>I-III 2014</c:v>
                </c:pt>
              </c:strCache>
            </c:strRef>
          </c:cat>
          <c:val>
            <c:numRef>
              <c:f>Sheet1!$H$18:$I$18</c:f>
              <c:numCache>
                <c:formatCode>#,##0</c:formatCode>
                <c:ptCount val="2"/>
                <c:pt idx="0">
                  <c:v>163</c:v>
                </c:pt>
                <c:pt idx="1">
                  <c:v>280</c:v>
                </c:pt>
              </c:numCache>
            </c:numRef>
          </c:val>
        </c:ser>
        <c:dLbls>
          <c:showLegendKey val="0"/>
          <c:showVal val="0"/>
          <c:showCatName val="0"/>
          <c:showSerName val="0"/>
          <c:showPercent val="0"/>
          <c:showBubbleSize val="0"/>
        </c:dLbls>
        <c:gapWidth val="150"/>
        <c:axId val="225944320"/>
        <c:axId val="267993472"/>
      </c:barChart>
      <c:catAx>
        <c:axId val="225944320"/>
        <c:scaling>
          <c:orientation val="minMax"/>
        </c:scaling>
        <c:delete val="0"/>
        <c:axPos val="b"/>
        <c:majorTickMark val="out"/>
        <c:minorTickMark val="none"/>
        <c:tickLblPos val="nextTo"/>
        <c:crossAx val="267993472"/>
        <c:crosses val="autoZero"/>
        <c:auto val="1"/>
        <c:lblAlgn val="ctr"/>
        <c:lblOffset val="100"/>
        <c:noMultiLvlLbl val="0"/>
      </c:catAx>
      <c:valAx>
        <c:axId val="267993472"/>
        <c:scaling>
          <c:orientation val="minMax"/>
        </c:scaling>
        <c:delete val="1"/>
        <c:axPos val="l"/>
        <c:numFmt formatCode="#,##0" sourceLinked="1"/>
        <c:majorTickMark val="out"/>
        <c:minorTickMark val="none"/>
        <c:tickLblPos val="nextTo"/>
        <c:crossAx val="225944320"/>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9F034-5108-4AD7-AB9D-00B40284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Burazer Marina</dc:creator>
  <cp:lastModifiedBy>IDulovic</cp:lastModifiedBy>
  <cp:revision>3</cp:revision>
  <cp:lastPrinted>2014-02-13T09:04:00Z</cp:lastPrinted>
  <dcterms:created xsi:type="dcterms:W3CDTF">2014-04-30T08:26:00Z</dcterms:created>
  <dcterms:modified xsi:type="dcterms:W3CDTF">2014-04-30T08:37:00Z</dcterms:modified>
</cp:coreProperties>
</file>