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0B41" w14:textId="77777777" w:rsidR="00E11167" w:rsidRPr="003A415F" w:rsidRDefault="00E11167" w:rsidP="00E11167">
      <w:pPr>
        <w:rPr>
          <w:lang w:val="en-US"/>
        </w:rPr>
      </w:pPr>
    </w:p>
    <w:p w14:paraId="27A2B296" w14:textId="77777777" w:rsidR="00E11167" w:rsidRPr="003A415F" w:rsidRDefault="00E11167" w:rsidP="00E11167">
      <w:pPr>
        <w:rPr>
          <w:lang w:val="en-US"/>
        </w:rPr>
      </w:pPr>
    </w:p>
    <w:p w14:paraId="27A9FA49" w14:textId="77777777" w:rsidR="00E11167" w:rsidRPr="003A415F" w:rsidRDefault="00E11167" w:rsidP="00E11167">
      <w:pPr>
        <w:rPr>
          <w:lang w:val="en-US"/>
        </w:rPr>
      </w:pPr>
    </w:p>
    <w:p w14:paraId="3EF39B89" w14:textId="77777777" w:rsidR="00E11167" w:rsidRPr="003A415F" w:rsidRDefault="00E11167" w:rsidP="00E11167">
      <w:pPr>
        <w:rPr>
          <w:lang w:val="en-US"/>
        </w:rPr>
      </w:pPr>
    </w:p>
    <w:p w14:paraId="22A2A885" w14:textId="77777777" w:rsidR="00E11167" w:rsidRPr="003A415F" w:rsidRDefault="00E11167" w:rsidP="00E11167">
      <w:pPr>
        <w:rPr>
          <w:lang w:val="en-US"/>
        </w:rPr>
      </w:pPr>
    </w:p>
    <w:p w14:paraId="5527B04F" w14:textId="77777777" w:rsidR="00E11167" w:rsidRPr="003A415F" w:rsidRDefault="00E11167" w:rsidP="00E11167">
      <w:pPr>
        <w:rPr>
          <w:lang w:val="en-US"/>
        </w:rPr>
      </w:pPr>
    </w:p>
    <w:p w14:paraId="6EA3B72A" w14:textId="77777777" w:rsidR="00E11167" w:rsidRPr="003A415F" w:rsidRDefault="00E11167" w:rsidP="00E11167">
      <w:pPr>
        <w:rPr>
          <w:rFonts w:asciiTheme="minorHAnsi" w:hAnsiTheme="minorHAnsi"/>
          <w:lang w:val="en-US"/>
        </w:rPr>
      </w:pPr>
    </w:p>
    <w:p w14:paraId="19B6B8C0" w14:textId="77777777" w:rsidR="00E11167" w:rsidRPr="003A415F" w:rsidRDefault="00E11167" w:rsidP="00E11167">
      <w:pPr>
        <w:jc w:val="center"/>
        <w:rPr>
          <w:rFonts w:asciiTheme="minorHAnsi" w:hAnsiTheme="minorHAnsi"/>
          <w:sz w:val="56"/>
          <w:szCs w:val="56"/>
          <w:lang w:val="en-US"/>
        </w:rPr>
      </w:pPr>
      <w:r w:rsidRPr="003A415F">
        <w:rPr>
          <w:rFonts w:asciiTheme="minorHAnsi" w:hAnsiTheme="minorHAnsi"/>
          <w:sz w:val="56"/>
          <w:szCs w:val="56"/>
          <w:lang w:val="en-US"/>
        </w:rPr>
        <w:t>FINANCIAL RESULTS</w:t>
      </w:r>
    </w:p>
    <w:p w14:paraId="11DA6635" w14:textId="77777777" w:rsidR="00E11167" w:rsidRPr="003A415F" w:rsidRDefault="00B93F58" w:rsidP="00E11167">
      <w:pPr>
        <w:jc w:val="center"/>
        <w:rPr>
          <w:rFonts w:asciiTheme="minorHAnsi" w:hAnsiTheme="minorHAnsi"/>
          <w:sz w:val="56"/>
          <w:szCs w:val="56"/>
          <w:lang w:val="en-US"/>
        </w:rPr>
      </w:pPr>
      <w:r>
        <w:rPr>
          <w:rFonts w:asciiTheme="minorHAnsi" w:hAnsiTheme="minorHAnsi"/>
          <w:sz w:val="56"/>
          <w:szCs w:val="56"/>
          <w:lang w:val="en-US"/>
        </w:rPr>
        <w:t>H</w:t>
      </w:r>
      <w:r w:rsidR="003B716D">
        <w:rPr>
          <w:rFonts w:asciiTheme="minorHAnsi" w:hAnsiTheme="minorHAnsi"/>
          <w:sz w:val="56"/>
          <w:szCs w:val="56"/>
          <w:lang w:val="en-US"/>
        </w:rPr>
        <w:t xml:space="preserve">1 </w:t>
      </w:r>
      <w:r w:rsidR="00E11167" w:rsidRPr="003A415F">
        <w:rPr>
          <w:rFonts w:asciiTheme="minorHAnsi" w:hAnsiTheme="minorHAnsi"/>
          <w:sz w:val="56"/>
          <w:szCs w:val="56"/>
          <w:lang w:val="en-US"/>
        </w:rPr>
        <w:t>201</w:t>
      </w:r>
      <w:r w:rsidR="00843EF9">
        <w:rPr>
          <w:rFonts w:asciiTheme="minorHAnsi" w:hAnsiTheme="minorHAnsi"/>
          <w:sz w:val="56"/>
          <w:szCs w:val="56"/>
          <w:lang w:val="en-US"/>
        </w:rPr>
        <w:t>7</w:t>
      </w:r>
    </w:p>
    <w:p w14:paraId="028FCB89" w14:textId="77777777" w:rsidR="00E11167" w:rsidRPr="003A415F" w:rsidRDefault="00E11167" w:rsidP="00E11167">
      <w:pPr>
        <w:jc w:val="center"/>
        <w:rPr>
          <w:rFonts w:asciiTheme="minorHAnsi" w:hAnsiTheme="minorHAnsi"/>
          <w:sz w:val="56"/>
          <w:szCs w:val="56"/>
          <w:lang w:val="en-US"/>
        </w:rPr>
      </w:pPr>
    </w:p>
    <w:p w14:paraId="617FF6CC" w14:textId="77777777" w:rsidR="00E11167" w:rsidRPr="003A415F" w:rsidRDefault="00E11167" w:rsidP="00E11167">
      <w:pPr>
        <w:rPr>
          <w:rFonts w:asciiTheme="minorHAnsi" w:hAnsiTheme="minorHAnsi"/>
          <w:lang w:val="en-US"/>
        </w:rPr>
      </w:pPr>
    </w:p>
    <w:p w14:paraId="052BDA84" w14:textId="77777777" w:rsidR="00E11167" w:rsidRPr="003A415F" w:rsidRDefault="00E11167" w:rsidP="00E11167">
      <w:pPr>
        <w:rPr>
          <w:rFonts w:asciiTheme="minorHAnsi" w:hAnsiTheme="minorHAnsi"/>
          <w:lang w:val="en-US"/>
        </w:rPr>
      </w:pPr>
    </w:p>
    <w:p w14:paraId="7E6A9B5E" w14:textId="77777777" w:rsidR="00E11167" w:rsidRPr="003A415F" w:rsidRDefault="00E11167" w:rsidP="00E11167">
      <w:pPr>
        <w:rPr>
          <w:rFonts w:asciiTheme="minorHAnsi" w:hAnsiTheme="minorHAnsi"/>
          <w:lang w:val="en-US"/>
        </w:rPr>
      </w:pPr>
    </w:p>
    <w:p w14:paraId="5AD765CD" w14:textId="77777777" w:rsidR="00E11167" w:rsidRPr="003A415F" w:rsidRDefault="00E11167" w:rsidP="00E11167">
      <w:pPr>
        <w:rPr>
          <w:rFonts w:asciiTheme="minorHAnsi" w:hAnsiTheme="minorHAnsi"/>
          <w:lang w:val="en-US"/>
        </w:rPr>
      </w:pPr>
    </w:p>
    <w:p w14:paraId="14693EAB" w14:textId="77777777" w:rsidR="00E11167" w:rsidRPr="003A415F" w:rsidRDefault="00E11167" w:rsidP="00E11167">
      <w:pPr>
        <w:rPr>
          <w:rFonts w:asciiTheme="minorHAnsi" w:hAnsiTheme="minorHAnsi"/>
          <w:lang w:val="en-US"/>
        </w:rPr>
      </w:pPr>
    </w:p>
    <w:p w14:paraId="2495EDC1" w14:textId="77777777" w:rsidR="00E11167" w:rsidRPr="003A415F" w:rsidRDefault="00E11167" w:rsidP="00E11167">
      <w:pPr>
        <w:rPr>
          <w:rFonts w:asciiTheme="minorHAnsi" w:hAnsiTheme="minorHAnsi"/>
          <w:sz w:val="20"/>
          <w:szCs w:val="20"/>
          <w:lang w:val="en-US"/>
        </w:rPr>
      </w:pPr>
    </w:p>
    <w:p w14:paraId="26CED178" w14:textId="77777777" w:rsidR="00E11167" w:rsidRPr="003A415F" w:rsidRDefault="00E11167" w:rsidP="00E11167">
      <w:pPr>
        <w:rPr>
          <w:rFonts w:asciiTheme="minorHAnsi" w:hAnsiTheme="minorHAnsi"/>
          <w:sz w:val="20"/>
          <w:szCs w:val="20"/>
          <w:lang w:val="en-US"/>
        </w:rPr>
      </w:pPr>
    </w:p>
    <w:p w14:paraId="67469F97" w14:textId="77777777" w:rsidR="00E11167" w:rsidRPr="003A415F" w:rsidRDefault="00E11167" w:rsidP="00E11167">
      <w:pPr>
        <w:rPr>
          <w:rFonts w:asciiTheme="minorHAnsi" w:hAnsiTheme="minorHAnsi"/>
          <w:sz w:val="20"/>
          <w:szCs w:val="20"/>
          <w:lang w:val="en-US"/>
        </w:rPr>
      </w:pPr>
    </w:p>
    <w:p w14:paraId="1B654A23" w14:textId="77777777" w:rsidR="00E11167" w:rsidRPr="003A415F" w:rsidRDefault="00E11167" w:rsidP="00E11167">
      <w:pPr>
        <w:rPr>
          <w:rFonts w:asciiTheme="minorHAnsi" w:hAnsiTheme="minorHAnsi"/>
          <w:sz w:val="20"/>
          <w:szCs w:val="20"/>
          <w:lang w:val="en-US"/>
        </w:rPr>
      </w:pPr>
    </w:p>
    <w:p w14:paraId="17D9D1DF" w14:textId="77777777" w:rsidR="00E11167" w:rsidRPr="003A415F" w:rsidRDefault="00E11167" w:rsidP="00E11167">
      <w:pPr>
        <w:rPr>
          <w:rFonts w:asciiTheme="minorHAnsi" w:hAnsiTheme="minorHAnsi"/>
          <w:sz w:val="20"/>
          <w:szCs w:val="20"/>
          <w:lang w:val="en-US"/>
        </w:rPr>
      </w:pPr>
    </w:p>
    <w:p w14:paraId="1A55117C" w14:textId="77777777" w:rsidR="00E11167" w:rsidRPr="003A415F" w:rsidRDefault="00E11167" w:rsidP="00E11167">
      <w:pPr>
        <w:rPr>
          <w:rFonts w:asciiTheme="minorHAnsi" w:hAnsiTheme="minorHAnsi"/>
          <w:sz w:val="20"/>
          <w:szCs w:val="20"/>
          <w:lang w:val="en-US"/>
        </w:rPr>
      </w:pPr>
    </w:p>
    <w:p w14:paraId="4C8C81BC" w14:textId="77777777" w:rsidR="00E11167" w:rsidRPr="003A415F" w:rsidRDefault="00E11167" w:rsidP="00E11167">
      <w:pPr>
        <w:rPr>
          <w:rFonts w:asciiTheme="minorHAnsi" w:hAnsiTheme="minorHAnsi"/>
          <w:sz w:val="20"/>
          <w:szCs w:val="20"/>
          <w:lang w:val="en-US"/>
        </w:rPr>
      </w:pPr>
    </w:p>
    <w:p w14:paraId="4559F245" w14:textId="77777777" w:rsidR="00E11167" w:rsidRPr="003A415F" w:rsidRDefault="00E11167" w:rsidP="00E11167">
      <w:pPr>
        <w:rPr>
          <w:rFonts w:asciiTheme="minorHAnsi" w:hAnsiTheme="minorHAnsi"/>
          <w:sz w:val="20"/>
          <w:szCs w:val="20"/>
          <w:lang w:val="en-US"/>
        </w:rPr>
      </w:pPr>
    </w:p>
    <w:p w14:paraId="26B02D44" w14:textId="77777777" w:rsidR="00E11167" w:rsidRPr="003A415F" w:rsidRDefault="00E11167" w:rsidP="00E11167">
      <w:pPr>
        <w:rPr>
          <w:rFonts w:asciiTheme="minorHAnsi" w:hAnsiTheme="minorHAnsi"/>
          <w:sz w:val="20"/>
          <w:szCs w:val="20"/>
          <w:lang w:val="en-US"/>
        </w:rPr>
      </w:pPr>
    </w:p>
    <w:p w14:paraId="4FC54845"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Contact:</w:t>
      </w:r>
    </w:p>
    <w:p w14:paraId="5E724C3E"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INA</w:t>
      </w:r>
    </w:p>
    <w:p w14:paraId="61E3C3CF"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Corporate Communications</w:t>
      </w:r>
    </w:p>
    <w:p w14:paraId="79DBBB81" w14:textId="77777777" w:rsidR="00E11167" w:rsidRPr="003A415F" w:rsidRDefault="00E11167" w:rsidP="00E11167">
      <w:pPr>
        <w:rPr>
          <w:rFonts w:asciiTheme="minorHAnsi" w:hAnsiTheme="minorHAnsi"/>
          <w:color w:val="808080" w:themeColor="background1" w:themeShade="80"/>
          <w:sz w:val="20"/>
          <w:szCs w:val="20"/>
          <w:lang w:val="en-US"/>
        </w:rPr>
      </w:pPr>
      <w:proofErr w:type="spellStart"/>
      <w:r w:rsidRPr="003A415F">
        <w:rPr>
          <w:rFonts w:asciiTheme="minorHAnsi" w:hAnsiTheme="minorHAnsi"/>
          <w:color w:val="808080" w:themeColor="background1" w:themeShade="80"/>
          <w:sz w:val="20"/>
          <w:szCs w:val="20"/>
          <w:lang w:val="en-US"/>
        </w:rPr>
        <w:t>Avenija</w:t>
      </w:r>
      <w:proofErr w:type="spellEnd"/>
      <w:r w:rsidRPr="003A415F">
        <w:rPr>
          <w:rFonts w:asciiTheme="minorHAnsi" w:hAnsiTheme="minorHAnsi"/>
          <w:color w:val="808080" w:themeColor="background1" w:themeShade="80"/>
          <w:sz w:val="20"/>
          <w:szCs w:val="20"/>
          <w:lang w:val="en-US"/>
        </w:rPr>
        <w:t xml:space="preserve"> </w:t>
      </w:r>
      <w:proofErr w:type="spellStart"/>
      <w:r w:rsidRPr="003A415F">
        <w:rPr>
          <w:rFonts w:asciiTheme="minorHAnsi" w:hAnsiTheme="minorHAnsi"/>
          <w:color w:val="808080" w:themeColor="background1" w:themeShade="80"/>
          <w:sz w:val="20"/>
          <w:szCs w:val="20"/>
          <w:lang w:val="en-US"/>
        </w:rPr>
        <w:t>Veceslava</w:t>
      </w:r>
      <w:proofErr w:type="spellEnd"/>
      <w:r w:rsidRPr="003A415F">
        <w:rPr>
          <w:rFonts w:asciiTheme="minorHAnsi" w:hAnsiTheme="minorHAnsi"/>
          <w:color w:val="808080" w:themeColor="background1" w:themeShade="80"/>
          <w:sz w:val="20"/>
          <w:szCs w:val="20"/>
          <w:lang w:val="en-US"/>
        </w:rPr>
        <w:t xml:space="preserve"> </w:t>
      </w:r>
      <w:proofErr w:type="spellStart"/>
      <w:r w:rsidRPr="003A415F">
        <w:rPr>
          <w:rFonts w:asciiTheme="minorHAnsi" w:hAnsiTheme="minorHAnsi"/>
          <w:color w:val="808080" w:themeColor="background1" w:themeShade="80"/>
          <w:sz w:val="20"/>
          <w:szCs w:val="20"/>
          <w:lang w:val="en-US"/>
        </w:rPr>
        <w:t>Holjevca</w:t>
      </w:r>
      <w:proofErr w:type="spellEnd"/>
      <w:r w:rsidRPr="003A415F">
        <w:rPr>
          <w:rFonts w:asciiTheme="minorHAnsi" w:hAnsiTheme="minorHAnsi"/>
          <w:color w:val="808080" w:themeColor="background1" w:themeShade="80"/>
          <w:sz w:val="20"/>
          <w:szCs w:val="20"/>
          <w:lang w:val="en-US"/>
        </w:rPr>
        <w:t xml:space="preserve"> 10, Zagreb</w:t>
      </w:r>
    </w:p>
    <w:p w14:paraId="7DB545DC" w14:textId="77777777" w:rsidR="00E11167" w:rsidRPr="003A415F" w:rsidRDefault="00E11167" w:rsidP="00E11167">
      <w:pPr>
        <w:rPr>
          <w:rFonts w:asciiTheme="minorHAnsi" w:hAnsiTheme="minorHAnsi"/>
          <w:color w:val="808080" w:themeColor="background1" w:themeShade="80"/>
          <w:sz w:val="20"/>
          <w:szCs w:val="20"/>
          <w:lang w:val="en-US"/>
        </w:rPr>
      </w:pPr>
    </w:p>
    <w:p w14:paraId="2E460ED2"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Public Relations</w:t>
      </w:r>
    </w:p>
    <w:p w14:paraId="50B3588B"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 xml:space="preserve">E-mail:  </w:t>
      </w:r>
      <w:hyperlink r:id="rId8" w:history="1">
        <w:r w:rsidRPr="003A415F">
          <w:rPr>
            <w:rStyle w:val="Hyperlink"/>
            <w:rFonts w:asciiTheme="minorHAnsi" w:hAnsiTheme="minorHAnsi"/>
            <w:color w:val="808080" w:themeColor="background1" w:themeShade="80"/>
            <w:lang w:val="en-US"/>
          </w:rPr>
          <w:t>PR@ina.hr</w:t>
        </w:r>
      </w:hyperlink>
    </w:p>
    <w:p w14:paraId="0B58A690"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 xml:space="preserve">Press Centre at </w:t>
      </w:r>
      <w:hyperlink r:id="rId9" w:history="1">
        <w:r w:rsidRPr="003A415F">
          <w:rPr>
            <w:rStyle w:val="Hyperlink"/>
            <w:rFonts w:asciiTheme="minorHAnsi" w:hAnsiTheme="minorHAnsi"/>
            <w:color w:val="808080" w:themeColor="background1" w:themeShade="80"/>
            <w:lang w:val="en-US"/>
          </w:rPr>
          <w:t>www.ina.hr</w:t>
        </w:r>
      </w:hyperlink>
      <w:r w:rsidRPr="003A415F">
        <w:rPr>
          <w:rFonts w:asciiTheme="minorHAnsi" w:hAnsiTheme="minorHAnsi"/>
          <w:color w:val="808080" w:themeColor="background1" w:themeShade="80"/>
          <w:sz w:val="20"/>
          <w:szCs w:val="20"/>
          <w:lang w:val="en-US"/>
        </w:rPr>
        <w:t xml:space="preserve"> </w:t>
      </w:r>
    </w:p>
    <w:p w14:paraId="62FAA286" w14:textId="77777777" w:rsidR="00E11167" w:rsidRPr="003A415F" w:rsidRDefault="00E11167" w:rsidP="00E11167">
      <w:pPr>
        <w:rPr>
          <w:rFonts w:asciiTheme="minorHAnsi" w:hAnsiTheme="minorHAnsi"/>
          <w:sz w:val="20"/>
          <w:szCs w:val="20"/>
          <w:lang w:val="en-US"/>
        </w:rPr>
      </w:pPr>
    </w:p>
    <w:p w14:paraId="4439E212" w14:textId="77777777" w:rsidR="00E11167" w:rsidRPr="003A415F" w:rsidRDefault="00E11167" w:rsidP="00E11167">
      <w:pPr>
        <w:rPr>
          <w:rFonts w:asciiTheme="minorHAnsi" w:hAnsiTheme="minorHAnsi"/>
          <w:lang w:val="en-US"/>
        </w:rPr>
        <w:sectPr w:rsidR="00E11167" w:rsidRPr="003A415F" w:rsidSect="0039152A">
          <w:headerReference w:type="default" r:id="rId10"/>
          <w:footerReference w:type="default" r:id="rId11"/>
          <w:pgSz w:w="11906" w:h="16838" w:code="9"/>
          <w:pgMar w:top="3402" w:right="1134" w:bottom="1843" w:left="1418" w:header="851" w:footer="459" w:gutter="0"/>
          <w:cols w:space="708"/>
          <w:docGrid w:linePitch="360"/>
        </w:sectPr>
      </w:pPr>
    </w:p>
    <w:p w14:paraId="7BA29BE3" w14:textId="77777777" w:rsidR="00F8747C" w:rsidRDefault="00F8747C" w:rsidP="00F8747C">
      <w:pPr>
        <w:jc w:val="center"/>
        <w:rPr>
          <w:rFonts w:asciiTheme="minorHAnsi" w:hAnsiTheme="minorHAnsi"/>
          <w:b/>
          <w:sz w:val="28"/>
          <w:szCs w:val="28"/>
          <w:lang w:val="en-US"/>
        </w:rPr>
      </w:pPr>
      <w:bookmarkStart w:id="0" w:name="OLE_LINK1"/>
    </w:p>
    <w:p w14:paraId="28433B04" w14:textId="77777777" w:rsidR="00E11167" w:rsidRPr="003A415F" w:rsidRDefault="00843EF9" w:rsidP="00F8747C">
      <w:pPr>
        <w:jc w:val="center"/>
        <w:rPr>
          <w:rFonts w:asciiTheme="minorHAnsi" w:hAnsiTheme="minorHAnsi"/>
          <w:b/>
          <w:sz w:val="28"/>
          <w:szCs w:val="28"/>
          <w:lang w:val="en-US"/>
        </w:rPr>
      </w:pPr>
      <w:r>
        <w:rPr>
          <w:rFonts w:asciiTheme="minorHAnsi" w:hAnsiTheme="minorHAnsi"/>
          <w:b/>
          <w:sz w:val="28"/>
          <w:szCs w:val="28"/>
          <w:lang w:val="en-US"/>
        </w:rPr>
        <w:lastRenderedPageBreak/>
        <w:t>INA</w:t>
      </w:r>
      <w:r w:rsidR="00B93F58">
        <w:rPr>
          <w:rFonts w:asciiTheme="minorHAnsi" w:hAnsiTheme="minorHAnsi"/>
          <w:b/>
          <w:sz w:val="28"/>
          <w:szCs w:val="28"/>
          <w:lang w:val="en-US"/>
        </w:rPr>
        <w:t>’s growth accelerated</w:t>
      </w:r>
      <w:r>
        <w:rPr>
          <w:rFonts w:asciiTheme="minorHAnsi" w:hAnsiTheme="minorHAnsi"/>
          <w:b/>
          <w:sz w:val="28"/>
          <w:szCs w:val="28"/>
          <w:lang w:val="en-US"/>
        </w:rPr>
        <w:t xml:space="preserve"> in Q</w:t>
      </w:r>
      <w:r w:rsidR="00B93F58">
        <w:rPr>
          <w:rFonts w:asciiTheme="minorHAnsi" w:hAnsiTheme="minorHAnsi"/>
          <w:b/>
          <w:sz w:val="28"/>
          <w:szCs w:val="28"/>
          <w:lang w:val="en-US"/>
        </w:rPr>
        <w:t>2</w:t>
      </w:r>
      <w:r>
        <w:rPr>
          <w:rFonts w:asciiTheme="minorHAnsi" w:hAnsiTheme="minorHAnsi"/>
          <w:b/>
          <w:sz w:val="28"/>
          <w:szCs w:val="28"/>
          <w:lang w:val="en-US"/>
        </w:rPr>
        <w:t xml:space="preserve"> 2017</w:t>
      </w:r>
    </w:p>
    <w:p w14:paraId="363BE37E" w14:textId="77777777" w:rsidR="00E11167" w:rsidRPr="003A415F" w:rsidRDefault="00E11167" w:rsidP="00E11167">
      <w:pPr>
        <w:rPr>
          <w:rFonts w:asciiTheme="minorHAnsi" w:hAnsiTheme="minorHAnsi"/>
          <w:lang w:val="en-US"/>
        </w:rPr>
      </w:pPr>
    </w:p>
    <w:p w14:paraId="329326DA" w14:textId="77777777" w:rsidR="00E11167" w:rsidRPr="003A415F" w:rsidRDefault="00E11167" w:rsidP="00E11167">
      <w:pPr>
        <w:spacing w:line="360" w:lineRule="auto"/>
        <w:rPr>
          <w:rFonts w:asciiTheme="minorHAnsi" w:hAnsiTheme="minorHAnsi"/>
          <w:b/>
          <w:lang w:val="en-US"/>
        </w:rPr>
      </w:pPr>
      <w:r w:rsidRPr="003A415F">
        <w:rPr>
          <w:rFonts w:asciiTheme="minorHAnsi" w:hAnsiTheme="minorHAnsi"/>
          <w:b/>
          <w:lang w:val="en-US"/>
        </w:rPr>
        <w:t>Key achievements</w:t>
      </w:r>
    </w:p>
    <w:p w14:paraId="52463703" w14:textId="31D4EEFB" w:rsidR="00E11167" w:rsidRPr="003502F8" w:rsidRDefault="00E11167" w:rsidP="003B716D">
      <w:pPr>
        <w:pStyle w:val="ListParagraph"/>
        <w:numPr>
          <w:ilvl w:val="0"/>
          <w:numId w:val="1"/>
        </w:numPr>
        <w:spacing w:line="360" w:lineRule="auto"/>
        <w:rPr>
          <w:rFonts w:asciiTheme="minorHAnsi" w:hAnsiTheme="minorHAnsi"/>
          <w:lang w:val="en-US"/>
        </w:rPr>
      </w:pPr>
      <w:r w:rsidRPr="003502F8">
        <w:rPr>
          <w:rFonts w:asciiTheme="minorHAnsi" w:hAnsiTheme="minorHAnsi"/>
          <w:lang w:val="en-US"/>
        </w:rPr>
        <w:t xml:space="preserve">INA Group’s </w:t>
      </w:r>
      <w:r w:rsidR="003B716D" w:rsidRPr="003502F8">
        <w:rPr>
          <w:rFonts w:asciiTheme="minorHAnsi" w:hAnsiTheme="minorHAnsi"/>
          <w:lang w:val="en-US"/>
        </w:rPr>
        <w:t>EBITDA</w:t>
      </w:r>
      <w:r w:rsidR="003B716D" w:rsidRPr="003502F8">
        <w:rPr>
          <w:rStyle w:val="FootnoteReference"/>
          <w:rFonts w:asciiTheme="minorHAnsi" w:hAnsiTheme="minorHAnsi"/>
          <w:lang w:val="en-US"/>
        </w:rPr>
        <w:footnoteReference w:id="1"/>
      </w:r>
      <w:r w:rsidR="003B716D" w:rsidRPr="003502F8">
        <w:rPr>
          <w:rFonts w:asciiTheme="minorHAnsi" w:hAnsiTheme="minorHAnsi"/>
          <w:lang w:val="en-US"/>
        </w:rPr>
        <w:t xml:space="preserve"> </w:t>
      </w:r>
      <w:r w:rsidR="00FD52FC" w:rsidRPr="003502F8">
        <w:rPr>
          <w:rFonts w:asciiTheme="minorHAnsi" w:hAnsiTheme="minorHAnsi"/>
          <w:lang w:val="en-US"/>
        </w:rPr>
        <w:t xml:space="preserve">amounted to HRK </w:t>
      </w:r>
      <w:r w:rsidR="00B93F58" w:rsidRPr="003502F8">
        <w:rPr>
          <w:rFonts w:asciiTheme="minorHAnsi" w:hAnsiTheme="minorHAnsi"/>
          <w:lang w:val="en-US"/>
        </w:rPr>
        <w:t>1,3</w:t>
      </w:r>
      <w:r w:rsidR="00D87711">
        <w:rPr>
          <w:rFonts w:asciiTheme="minorHAnsi" w:hAnsiTheme="minorHAnsi"/>
          <w:lang w:val="en-US"/>
        </w:rPr>
        <w:t>98</w:t>
      </w:r>
      <w:r w:rsidR="003B716D" w:rsidRPr="003502F8">
        <w:rPr>
          <w:rFonts w:asciiTheme="minorHAnsi" w:hAnsiTheme="minorHAnsi"/>
          <w:lang w:val="en-US"/>
        </w:rPr>
        <w:t xml:space="preserve"> million, </w:t>
      </w:r>
      <w:r w:rsidR="00B93F58" w:rsidRPr="003502F8">
        <w:rPr>
          <w:rFonts w:asciiTheme="minorHAnsi" w:hAnsiTheme="minorHAnsi"/>
          <w:lang w:val="en-US"/>
        </w:rPr>
        <w:t>16</w:t>
      </w:r>
      <w:r w:rsidR="00D87711">
        <w:rPr>
          <w:rFonts w:asciiTheme="minorHAnsi" w:hAnsiTheme="minorHAnsi"/>
          <w:lang w:val="en-US"/>
        </w:rPr>
        <w:t>8</w:t>
      </w:r>
      <w:r w:rsidR="00843EF9" w:rsidRPr="003502F8">
        <w:rPr>
          <w:rFonts w:asciiTheme="minorHAnsi" w:hAnsiTheme="minorHAnsi"/>
          <w:lang w:val="en-US"/>
        </w:rPr>
        <w:t xml:space="preserve">% above the level in </w:t>
      </w:r>
      <w:r w:rsidR="00B93F58" w:rsidRPr="003502F8">
        <w:rPr>
          <w:rFonts w:asciiTheme="minorHAnsi" w:hAnsiTheme="minorHAnsi"/>
          <w:lang w:val="en-US"/>
        </w:rPr>
        <w:t>H</w:t>
      </w:r>
      <w:r w:rsidR="00843EF9" w:rsidRPr="003502F8">
        <w:rPr>
          <w:rFonts w:asciiTheme="minorHAnsi" w:hAnsiTheme="minorHAnsi"/>
          <w:lang w:val="en-US"/>
        </w:rPr>
        <w:t xml:space="preserve">1 2016, </w:t>
      </w:r>
      <w:r w:rsidR="0007706D" w:rsidRPr="003502F8">
        <w:rPr>
          <w:rFonts w:asciiTheme="minorHAnsi" w:hAnsiTheme="minorHAnsi"/>
          <w:lang w:val="en-US"/>
        </w:rPr>
        <w:t>while net profit</w:t>
      </w:r>
      <w:r w:rsidR="003B716D" w:rsidRPr="003502F8">
        <w:rPr>
          <w:rFonts w:asciiTheme="minorHAnsi" w:hAnsiTheme="minorHAnsi"/>
          <w:lang w:val="en-US"/>
        </w:rPr>
        <w:t xml:space="preserve"> </w:t>
      </w:r>
      <w:r w:rsidR="0007706D" w:rsidRPr="003502F8">
        <w:rPr>
          <w:rFonts w:asciiTheme="minorHAnsi" w:hAnsiTheme="minorHAnsi"/>
          <w:lang w:val="en-US"/>
        </w:rPr>
        <w:t xml:space="preserve">amounted to HRK </w:t>
      </w:r>
      <w:r w:rsidR="00D87711">
        <w:rPr>
          <w:rFonts w:asciiTheme="minorHAnsi" w:hAnsiTheme="minorHAnsi"/>
          <w:lang w:val="en-US"/>
        </w:rPr>
        <w:t>861</w:t>
      </w:r>
      <w:r w:rsidR="0007706D" w:rsidRPr="003502F8">
        <w:rPr>
          <w:rFonts w:asciiTheme="minorHAnsi" w:hAnsiTheme="minorHAnsi"/>
          <w:lang w:val="en-US"/>
        </w:rPr>
        <w:t xml:space="preserve"> million</w:t>
      </w:r>
      <w:r w:rsidR="002035F0" w:rsidRPr="003502F8">
        <w:rPr>
          <w:rFonts w:asciiTheme="minorHAnsi" w:hAnsiTheme="minorHAnsi"/>
          <w:lang w:val="en-US"/>
        </w:rPr>
        <w:t xml:space="preserve"> </w:t>
      </w:r>
    </w:p>
    <w:p w14:paraId="6AB9424F" w14:textId="13306A00" w:rsidR="00843EF9" w:rsidRPr="003502F8" w:rsidRDefault="00B93F58" w:rsidP="00843EF9">
      <w:pPr>
        <w:pStyle w:val="ListParagraph"/>
        <w:numPr>
          <w:ilvl w:val="0"/>
          <w:numId w:val="1"/>
        </w:numPr>
        <w:spacing w:line="360" w:lineRule="auto"/>
        <w:rPr>
          <w:rFonts w:asciiTheme="minorHAnsi" w:hAnsiTheme="minorHAnsi"/>
          <w:lang w:val="en-US"/>
        </w:rPr>
      </w:pPr>
      <w:r w:rsidRPr="003502F8">
        <w:rPr>
          <w:rFonts w:asciiTheme="minorHAnsi" w:hAnsiTheme="minorHAnsi"/>
          <w:lang w:val="en-US"/>
        </w:rPr>
        <w:t>Net debt down to HRK 2,026 million and gearing at a historically low level of 15.</w:t>
      </w:r>
      <w:r w:rsidR="00D87711">
        <w:rPr>
          <w:rFonts w:asciiTheme="minorHAnsi" w:hAnsiTheme="minorHAnsi"/>
          <w:lang w:val="en-US"/>
        </w:rPr>
        <w:t>3</w:t>
      </w:r>
      <w:r w:rsidRPr="003502F8">
        <w:rPr>
          <w:rFonts w:asciiTheme="minorHAnsi" w:hAnsiTheme="minorHAnsi"/>
          <w:lang w:val="en-US"/>
        </w:rPr>
        <w:t>%</w:t>
      </w:r>
    </w:p>
    <w:p w14:paraId="6031B0D5" w14:textId="77777777" w:rsidR="00843EF9" w:rsidRPr="003502F8" w:rsidRDefault="00843EF9" w:rsidP="00843EF9">
      <w:pPr>
        <w:pStyle w:val="ListParagraph"/>
        <w:numPr>
          <w:ilvl w:val="0"/>
          <w:numId w:val="1"/>
        </w:numPr>
        <w:spacing w:line="360" w:lineRule="auto"/>
        <w:rPr>
          <w:rFonts w:asciiTheme="minorHAnsi" w:hAnsiTheme="minorHAnsi"/>
          <w:lang w:val="en-US"/>
        </w:rPr>
      </w:pPr>
      <w:r w:rsidRPr="003502F8">
        <w:rPr>
          <w:rFonts w:asciiTheme="minorHAnsi" w:hAnsiTheme="minorHAnsi"/>
          <w:lang w:val="en-US"/>
        </w:rPr>
        <w:t xml:space="preserve">CAPEX amounted to HRK </w:t>
      </w:r>
      <w:r w:rsidR="00B93F58" w:rsidRPr="003502F8">
        <w:rPr>
          <w:rFonts w:asciiTheme="minorHAnsi" w:hAnsiTheme="minorHAnsi"/>
          <w:lang w:val="en-US"/>
        </w:rPr>
        <w:t>520</w:t>
      </w:r>
      <w:r w:rsidRPr="003502F8">
        <w:rPr>
          <w:rFonts w:asciiTheme="minorHAnsi" w:hAnsiTheme="minorHAnsi"/>
          <w:lang w:val="en-US"/>
        </w:rPr>
        <w:t xml:space="preserve"> million</w:t>
      </w:r>
    </w:p>
    <w:p w14:paraId="6D59B6F0" w14:textId="77777777" w:rsidR="00E11167" w:rsidRPr="003502F8" w:rsidRDefault="00843EF9" w:rsidP="00FD52FC">
      <w:pPr>
        <w:pStyle w:val="ListParagraph"/>
        <w:numPr>
          <w:ilvl w:val="0"/>
          <w:numId w:val="1"/>
        </w:numPr>
        <w:spacing w:line="360" w:lineRule="auto"/>
        <w:rPr>
          <w:rFonts w:asciiTheme="minorHAnsi" w:hAnsiTheme="minorHAnsi"/>
          <w:lang w:val="en-US"/>
        </w:rPr>
      </w:pPr>
      <w:r w:rsidRPr="003502F8">
        <w:rPr>
          <w:rFonts w:asciiTheme="minorHAnsi" w:hAnsiTheme="minorHAnsi"/>
          <w:lang w:val="en-US"/>
        </w:rPr>
        <w:t>D</w:t>
      </w:r>
      <w:r w:rsidR="00FF5E74" w:rsidRPr="003502F8">
        <w:rPr>
          <w:rFonts w:asciiTheme="minorHAnsi" w:hAnsiTheme="minorHAnsi"/>
          <w:lang w:val="en-US"/>
        </w:rPr>
        <w:t>omestic crude production</w:t>
      </w:r>
      <w:r w:rsidRPr="003502F8">
        <w:rPr>
          <w:rFonts w:asciiTheme="minorHAnsi" w:hAnsiTheme="minorHAnsi"/>
          <w:lang w:val="en-US"/>
        </w:rPr>
        <w:t xml:space="preserve"> remains stable, while domestic gas production onshore went up by </w:t>
      </w:r>
      <w:r w:rsidR="00B93F58" w:rsidRPr="003502F8">
        <w:rPr>
          <w:rFonts w:asciiTheme="minorHAnsi" w:hAnsiTheme="minorHAnsi"/>
          <w:lang w:val="en-US"/>
        </w:rPr>
        <w:t>6</w:t>
      </w:r>
      <w:r w:rsidRPr="003502F8">
        <w:rPr>
          <w:rFonts w:asciiTheme="minorHAnsi" w:hAnsiTheme="minorHAnsi"/>
          <w:lang w:val="en-US"/>
        </w:rPr>
        <w:t xml:space="preserve">% in relation to </w:t>
      </w:r>
      <w:r w:rsidR="00B93F58" w:rsidRPr="003502F8">
        <w:rPr>
          <w:rFonts w:asciiTheme="minorHAnsi" w:hAnsiTheme="minorHAnsi"/>
          <w:lang w:val="en-US"/>
        </w:rPr>
        <w:t>H</w:t>
      </w:r>
      <w:r w:rsidRPr="003502F8">
        <w:rPr>
          <w:rFonts w:asciiTheme="minorHAnsi" w:hAnsiTheme="minorHAnsi"/>
          <w:lang w:val="en-US"/>
        </w:rPr>
        <w:t>1 2016</w:t>
      </w:r>
    </w:p>
    <w:p w14:paraId="25CC140B" w14:textId="77777777" w:rsidR="00D73D54" w:rsidRPr="003502F8" w:rsidRDefault="00D73D54" w:rsidP="00D73D54">
      <w:pPr>
        <w:pStyle w:val="ListParagraph"/>
        <w:numPr>
          <w:ilvl w:val="0"/>
          <w:numId w:val="1"/>
        </w:numPr>
        <w:rPr>
          <w:rFonts w:asciiTheme="minorHAnsi" w:hAnsiTheme="minorHAnsi"/>
          <w:lang w:val="en-US"/>
        </w:rPr>
      </w:pPr>
      <w:r w:rsidRPr="003502F8">
        <w:rPr>
          <w:rFonts w:asciiTheme="minorHAnsi" w:hAnsiTheme="minorHAnsi"/>
          <w:lang w:val="en-US"/>
        </w:rPr>
        <w:t>Re</w:t>
      </w:r>
      <w:r w:rsidR="00FD52FC" w:rsidRPr="003502F8">
        <w:rPr>
          <w:rFonts w:asciiTheme="minorHAnsi" w:hAnsiTheme="minorHAnsi"/>
          <w:lang w:val="en-US"/>
        </w:rPr>
        <w:t xml:space="preserve">finery production increased by </w:t>
      </w:r>
      <w:r w:rsidR="00B93F58" w:rsidRPr="003502F8">
        <w:rPr>
          <w:rFonts w:asciiTheme="minorHAnsi" w:hAnsiTheme="minorHAnsi"/>
          <w:lang w:val="en-US"/>
        </w:rPr>
        <w:t>3</w:t>
      </w:r>
      <w:r w:rsidR="00843EF9" w:rsidRPr="003502F8">
        <w:rPr>
          <w:rFonts w:asciiTheme="minorHAnsi" w:hAnsiTheme="minorHAnsi"/>
          <w:lang w:val="en-US"/>
        </w:rPr>
        <w:t>4</w:t>
      </w:r>
      <w:r w:rsidRPr="003502F8">
        <w:rPr>
          <w:rFonts w:asciiTheme="minorHAnsi" w:hAnsiTheme="minorHAnsi"/>
          <w:lang w:val="en-US"/>
        </w:rPr>
        <w:t>%</w:t>
      </w:r>
      <w:r w:rsidR="00843EF9" w:rsidRPr="003502F8">
        <w:rPr>
          <w:rFonts w:asciiTheme="minorHAnsi" w:hAnsiTheme="minorHAnsi"/>
          <w:lang w:val="en-US"/>
        </w:rPr>
        <w:t>,</w:t>
      </w:r>
      <w:r w:rsidRPr="003502F8">
        <w:rPr>
          <w:rFonts w:asciiTheme="minorHAnsi" w:hAnsiTheme="minorHAnsi"/>
          <w:lang w:val="en-US"/>
        </w:rPr>
        <w:t xml:space="preserve"> and refined product sales </w:t>
      </w:r>
      <w:r w:rsidR="00843EF9" w:rsidRPr="003502F8">
        <w:rPr>
          <w:rFonts w:asciiTheme="minorHAnsi" w:hAnsiTheme="minorHAnsi"/>
          <w:lang w:val="en-US"/>
        </w:rPr>
        <w:t xml:space="preserve">grew </w:t>
      </w:r>
      <w:r w:rsidRPr="003502F8">
        <w:rPr>
          <w:rFonts w:asciiTheme="minorHAnsi" w:hAnsiTheme="minorHAnsi"/>
          <w:lang w:val="en-US"/>
        </w:rPr>
        <w:t xml:space="preserve">by </w:t>
      </w:r>
      <w:r w:rsidR="00B93F58" w:rsidRPr="003502F8">
        <w:rPr>
          <w:rFonts w:asciiTheme="minorHAnsi" w:hAnsiTheme="minorHAnsi"/>
          <w:lang w:val="en-US"/>
        </w:rPr>
        <w:t>23</w:t>
      </w:r>
      <w:r w:rsidRPr="003502F8">
        <w:rPr>
          <w:rFonts w:asciiTheme="minorHAnsi" w:hAnsiTheme="minorHAnsi"/>
          <w:lang w:val="en-US"/>
        </w:rPr>
        <w:t>%</w:t>
      </w:r>
    </w:p>
    <w:p w14:paraId="2129B168" w14:textId="77777777" w:rsidR="00E11167" w:rsidRPr="00662E8C" w:rsidRDefault="00E11167" w:rsidP="00E11167">
      <w:pPr>
        <w:spacing w:line="360" w:lineRule="auto"/>
        <w:rPr>
          <w:rFonts w:asciiTheme="minorHAnsi" w:hAnsiTheme="minorHAnsi"/>
          <w:b/>
          <w:lang w:val="en-US"/>
        </w:rPr>
      </w:pPr>
    </w:p>
    <w:p w14:paraId="57879A3A" w14:textId="5C515A9F" w:rsidR="00E11167" w:rsidRPr="008D62A4" w:rsidRDefault="00E11167" w:rsidP="00E11167">
      <w:pPr>
        <w:spacing w:line="360" w:lineRule="auto"/>
        <w:jc w:val="both"/>
        <w:rPr>
          <w:rFonts w:asciiTheme="minorHAnsi" w:hAnsiTheme="minorHAnsi"/>
          <w:b/>
          <w:highlight w:val="yellow"/>
          <w:lang w:val="en-US"/>
        </w:rPr>
      </w:pPr>
      <w:r w:rsidRPr="003A415F">
        <w:rPr>
          <w:rFonts w:asciiTheme="minorHAnsi" w:hAnsiTheme="minorHAnsi"/>
          <w:b/>
          <w:lang w:val="en-US"/>
        </w:rPr>
        <w:t>Zagreb</w:t>
      </w:r>
      <w:r w:rsidRPr="008D348D">
        <w:rPr>
          <w:rFonts w:asciiTheme="minorHAnsi" w:hAnsiTheme="minorHAnsi"/>
          <w:b/>
          <w:lang w:val="en-US"/>
        </w:rPr>
        <w:t xml:space="preserve">, </w:t>
      </w:r>
      <w:r w:rsidR="00B93F58">
        <w:rPr>
          <w:rFonts w:asciiTheme="minorHAnsi" w:hAnsiTheme="minorHAnsi"/>
          <w:b/>
          <w:lang w:val="en-US"/>
        </w:rPr>
        <w:t>July</w:t>
      </w:r>
      <w:r w:rsidR="0082771B" w:rsidRPr="008D348D">
        <w:rPr>
          <w:rFonts w:asciiTheme="minorHAnsi" w:hAnsiTheme="minorHAnsi"/>
          <w:b/>
          <w:lang w:val="en-US"/>
        </w:rPr>
        <w:t xml:space="preserve"> </w:t>
      </w:r>
      <w:r w:rsidR="001A56A4" w:rsidRPr="008D348D">
        <w:rPr>
          <w:rFonts w:asciiTheme="minorHAnsi" w:hAnsiTheme="minorHAnsi"/>
          <w:b/>
          <w:lang w:val="en-US"/>
        </w:rPr>
        <w:t>2</w:t>
      </w:r>
      <w:r w:rsidR="008D348D" w:rsidRPr="008D348D">
        <w:rPr>
          <w:rFonts w:asciiTheme="minorHAnsi" w:hAnsiTheme="minorHAnsi"/>
          <w:b/>
          <w:lang w:val="en-US"/>
        </w:rPr>
        <w:t>7</w:t>
      </w:r>
      <w:r w:rsidR="00B5179A" w:rsidRPr="008D348D">
        <w:rPr>
          <w:rFonts w:asciiTheme="minorHAnsi" w:hAnsiTheme="minorHAnsi"/>
          <w:b/>
          <w:lang w:val="en-US"/>
        </w:rPr>
        <w:t>,</w:t>
      </w:r>
      <w:r w:rsidR="00B5179A">
        <w:rPr>
          <w:rFonts w:asciiTheme="minorHAnsi" w:hAnsiTheme="minorHAnsi"/>
          <w:b/>
          <w:lang w:val="en-US"/>
        </w:rPr>
        <w:t xml:space="preserve"> 2017</w:t>
      </w:r>
      <w:r w:rsidRPr="001A56A4">
        <w:rPr>
          <w:rFonts w:asciiTheme="minorHAnsi" w:hAnsiTheme="minorHAnsi"/>
          <w:b/>
          <w:lang w:val="en-US"/>
        </w:rPr>
        <w:t xml:space="preserve"> –</w:t>
      </w:r>
      <w:r w:rsidRPr="003A415F">
        <w:rPr>
          <w:rFonts w:asciiTheme="minorHAnsi" w:hAnsiTheme="minorHAnsi"/>
          <w:b/>
          <w:lang w:val="en-US"/>
        </w:rPr>
        <w:t xml:space="preserve"> </w:t>
      </w:r>
      <w:r w:rsidR="00B93F58" w:rsidRPr="00B93F58">
        <w:rPr>
          <w:rFonts w:asciiTheme="minorHAnsi" w:hAnsiTheme="minorHAnsi"/>
          <w:b/>
          <w:lang w:val="en-US"/>
        </w:rPr>
        <w:t>The strong growth witnessed during Q1 2017 accelerated in the second quarter. EBITDA grew by 16</w:t>
      </w:r>
      <w:r w:rsidR="00D87711">
        <w:rPr>
          <w:rFonts w:asciiTheme="minorHAnsi" w:hAnsiTheme="minorHAnsi"/>
          <w:b/>
          <w:lang w:val="en-US"/>
        </w:rPr>
        <w:t>8</w:t>
      </w:r>
      <w:r w:rsidR="00B93F58" w:rsidRPr="00B93F58">
        <w:rPr>
          <w:rFonts w:asciiTheme="minorHAnsi" w:hAnsiTheme="minorHAnsi"/>
          <w:b/>
          <w:lang w:val="en-US"/>
        </w:rPr>
        <w:t>% in H1, reaching HRK 1,3</w:t>
      </w:r>
      <w:r w:rsidR="00D87711">
        <w:rPr>
          <w:rFonts w:asciiTheme="minorHAnsi" w:hAnsiTheme="minorHAnsi"/>
          <w:b/>
          <w:lang w:val="en-US"/>
        </w:rPr>
        <w:t>98</w:t>
      </w:r>
      <w:r w:rsidR="00B93F58" w:rsidRPr="00B93F58">
        <w:rPr>
          <w:rFonts w:asciiTheme="minorHAnsi" w:hAnsiTheme="minorHAnsi"/>
          <w:b/>
          <w:lang w:val="en-US"/>
        </w:rPr>
        <w:t xml:space="preserve"> million for the period, while net profit exceeded HRK </w:t>
      </w:r>
      <w:r w:rsidR="00D87711">
        <w:rPr>
          <w:rFonts w:asciiTheme="minorHAnsi" w:hAnsiTheme="minorHAnsi"/>
          <w:b/>
          <w:lang w:val="en-US"/>
        </w:rPr>
        <w:t>860</w:t>
      </w:r>
      <w:r w:rsidR="00B93F58" w:rsidRPr="00B93F58">
        <w:rPr>
          <w:rFonts w:asciiTheme="minorHAnsi" w:hAnsiTheme="minorHAnsi"/>
          <w:b/>
          <w:lang w:val="en-US"/>
        </w:rPr>
        <w:t xml:space="preserve"> million, the best H1 result since 2011.</w:t>
      </w:r>
      <w:r w:rsidR="00B93F58">
        <w:rPr>
          <w:rFonts w:asciiTheme="minorHAnsi" w:hAnsiTheme="minorHAnsi"/>
          <w:b/>
          <w:lang w:val="en-US"/>
        </w:rPr>
        <w:t xml:space="preserve"> </w:t>
      </w:r>
      <w:r w:rsidR="00B93F58" w:rsidRPr="00B93F58">
        <w:rPr>
          <w:rFonts w:asciiTheme="minorHAnsi" w:hAnsiTheme="minorHAnsi"/>
          <w:b/>
          <w:lang w:val="en-US"/>
        </w:rPr>
        <w:t>Although Exploration &amp; Production remained the main contributor to the results, Refining &amp; Marketing incl. Retail saw the biggest improvement in its performance indicators.</w:t>
      </w:r>
    </w:p>
    <w:p w14:paraId="08348CCC" w14:textId="77777777" w:rsidR="00E11167" w:rsidRPr="003A415F" w:rsidRDefault="00E11167" w:rsidP="00E11167">
      <w:pPr>
        <w:spacing w:line="360" w:lineRule="auto"/>
        <w:rPr>
          <w:rFonts w:asciiTheme="minorHAnsi" w:hAnsiTheme="minorHAnsi"/>
          <w:lang w:val="en-US"/>
        </w:rPr>
      </w:pPr>
    </w:p>
    <w:p w14:paraId="592483A8" w14:textId="77777777" w:rsidR="00C320AE" w:rsidRDefault="00B93F58" w:rsidP="00B93F58">
      <w:pPr>
        <w:spacing w:line="360" w:lineRule="auto"/>
        <w:jc w:val="both"/>
        <w:rPr>
          <w:rFonts w:asciiTheme="minorHAnsi" w:hAnsiTheme="minorHAnsi"/>
          <w:lang w:val="en-US"/>
        </w:rPr>
      </w:pPr>
      <w:r w:rsidRPr="00B93F58">
        <w:rPr>
          <w:rFonts w:asciiTheme="minorHAnsi" w:hAnsiTheme="minorHAnsi"/>
          <w:lang w:val="en-US"/>
        </w:rPr>
        <w:t xml:space="preserve">For Exploration &amp; Production, a more </w:t>
      </w:r>
      <w:r w:rsidR="00D87711" w:rsidRPr="00B93F58">
        <w:rPr>
          <w:rFonts w:asciiTheme="minorHAnsi" w:hAnsiTheme="minorHAnsi"/>
          <w:lang w:val="en-US"/>
        </w:rPr>
        <w:t>favorable</w:t>
      </w:r>
      <w:r w:rsidRPr="00B93F58">
        <w:rPr>
          <w:rFonts w:asciiTheme="minorHAnsi" w:hAnsiTheme="minorHAnsi"/>
          <w:lang w:val="en-US"/>
        </w:rPr>
        <w:t xml:space="preserve"> external environment managed to offset a </w:t>
      </w:r>
      <w:r>
        <w:rPr>
          <w:rFonts w:asciiTheme="minorHAnsi" w:hAnsiTheme="minorHAnsi"/>
          <w:lang w:val="en-US"/>
        </w:rPr>
        <w:t>slight</w:t>
      </w:r>
      <w:r w:rsidRPr="00B93F58">
        <w:rPr>
          <w:rFonts w:asciiTheme="minorHAnsi" w:hAnsiTheme="minorHAnsi"/>
          <w:lang w:val="en-US"/>
        </w:rPr>
        <w:t xml:space="preserve"> decrease in production, resulting in 2</w:t>
      </w:r>
      <w:r w:rsidR="00D87711">
        <w:rPr>
          <w:rFonts w:asciiTheme="minorHAnsi" w:hAnsiTheme="minorHAnsi"/>
          <w:lang w:val="en-US"/>
        </w:rPr>
        <w:t>6</w:t>
      </w:r>
      <w:r w:rsidRPr="00B93F58">
        <w:rPr>
          <w:rFonts w:asciiTheme="minorHAnsi" w:hAnsiTheme="minorHAnsi"/>
          <w:lang w:val="en-US"/>
        </w:rPr>
        <w:t xml:space="preserve">% higher EBITDA compared to H1 2016. Refining &amp; Marketing incl. Retail benefited from a period of </w:t>
      </w:r>
      <w:r w:rsidR="00D87711" w:rsidRPr="00B93F58">
        <w:rPr>
          <w:rFonts w:asciiTheme="minorHAnsi" w:hAnsiTheme="minorHAnsi"/>
          <w:lang w:val="en-US"/>
        </w:rPr>
        <w:t>favorable</w:t>
      </w:r>
      <w:r w:rsidRPr="00B93F58">
        <w:rPr>
          <w:rFonts w:asciiTheme="minorHAnsi" w:hAnsiTheme="minorHAnsi"/>
          <w:lang w:val="en-US"/>
        </w:rPr>
        <w:t xml:space="preserve"> crack spreads which</w:t>
      </w:r>
      <w:r>
        <w:rPr>
          <w:rFonts w:asciiTheme="minorHAnsi" w:hAnsiTheme="minorHAnsi"/>
          <w:lang w:val="en-US"/>
        </w:rPr>
        <w:t>,</w:t>
      </w:r>
      <w:r w:rsidRPr="00B93F58">
        <w:rPr>
          <w:rFonts w:asciiTheme="minorHAnsi" w:hAnsiTheme="minorHAnsi"/>
          <w:lang w:val="en-US"/>
        </w:rPr>
        <w:t xml:space="preserve"> alongside higher processing levels and strong Retail performance</w:t>
      </w:r>
      <w:r>
        <w:rPr>
          <w:rFonts w:asciiTheme="minorHAnsi" w:hAnsiTheme="minorHAnsi"/>
          <w:lang w:val="en-US"/>
        </w:rPr>
        <w:t>,</w:t>
      </w:r>
      <w:r w:rsidRPr="00B93F58">
        <w:rPr>
          <w:rFonts w:asciiTheme="minorHAnsi" w:hAnsiTheme="minorHAnsi"/>
          <w:lang w:val="en-US"/>
        </w:rPr>
        <w:t xml:space="preserve"> pushed EBITDA into positive territory, reaching HRK 183 million for the first half year. Retail sales in both the fuel and non-fuel segments showed a record increase. </w:t>
      </w:r>
    </w:p>
    <w:p w14:paraId="1C071F24" w14:textId="68DB9B78" w:rsidR="00564017" w:rsidRDefault="00B93F58" w:rsidP="00B93F58">
      <w:pPr>
        <w:spacing w:line="360" w:lineRule="auto"/>
        <w:jc w:val="both"/>
        <w:rPr>
          <w:rFonts w:asciiTheme="minorHAnsi" w:hAnsiTheme="minorHAnsi"/>
          <w:lang w:val="en-US"/>
        </w:rPr>
      </w:pPr>
      <w:r w:rsidRPr="00B93F58">
        <w:rPr>
          <w:rFonts w:asciiTheme="minorHAnsi" w:hAnsiTheme="minorHAnsi"/>
          <w:lang w:val="en-US"/>
        </w:rPr>
        <w:lastRenderedPageBreak/>
        <w:t xml:space="preserve">CAPEX amounted to HRK 520 million, impacted by different schedule of investments </w:t>
      </w:r>
      <w:r w:rsidR="00157B79">
        <w:rPr>
          <w:rFonts w:asciiTheme="minorHAnsi" w:hAnsiTheme="minorHAnsi"/>
          <w:lang w:val="en-US"/>
        </w:rPr>
        <w:t>during the</w:t>
      </w:r>
      <w:r w:rsidRPr="00B93F58">
        <w:rPr>
          <w:rFonts w:asciiTheme="minorHAnsi" w:hAnsiTheme="minorHAnsi"/>
          <w:lang w:val="en-US"/>
        </w:rPr>
        <w:t xml:space="preserve"> year, where a more intensive investment campaign is expected in the second half of 2017. Net debt decreased to HRK 2,026 million with gearing going to historically low level of 15.</w:t>
      </w:r>
      <w:r w:rsidR="00D87711">
        <w:rPr>
          <w:rFonts w:asciiTheme="minorHAnsi" w:hAnsiTheme="minorHAnsi"/>
          <w:lang w:val="en-US"/>
        </w:rPr>
        <w:t>3</w:t>
      </w:r>
      <w:r w:rsidRPr="00B93F58">
        <w:rPr>
          <w:rFonts w:asciiTheme="minorHAnsi" w:hAnsiTheme="minorHAnsi"/>
          <w:lang w:val="en-US"/>
        </w:rPr>
        <w:t>%.</w:t>
      </w:r>
      <w:r w:rsidR="008F4F64">
        <w:rPr>
          <w:rFonts w:asciiTheme="minorHAnsi" w:hAnsiTheme="minorHAnsi"/>
          <w:lang w:val="en-US"/>
        </w:rPr>
        <w:t xml:space="preserve"> </w:t>
      </w:r>
    </w:p>
    <w:p w14:paraId="58426225" w14:textId="77777777" w:rsidR="00B22218" w:rsidRPr="003A415F" w:rsidRDefault="00B22218" w:rsidP="00E11167">
      <w:pPr>
        <w:spacing w:line="360" w:lineRule="auto"/>
        <w:jc w:val="both"/>
        <w:rPr>
          <w:rFonts w:asciiTheme="minorHAnsi" w:hAnsiTheme="minorHAnsi"/>
          <w:lang w:val="en-US"/>
        </w:rPr>
      </w:pPr>
    </w:p>
    <w:p w14:paraId="68165DA6" w14:textId="0F6A4462" w:rsidR="00160C7A" w:rsidRPr="00160C7A" w:rsidRDefault="00024352" w:rsidP="00160C7A">
      <w:pPr>
        <w:spacing w:line="360" w:lineRule="auto"/>
        <w:jc w:val="both"/>
        <w:rPr>
          <w:rFonts w:asciiTheme="minorHAnsi" w:hAnsiTheme="minorHAnsi"/>
          <w:lang w:val="en-US"/>
        </w:rPr>
      </w:pPr>
      <w:r w:rsidRPr="001920E9">
        <w:rPr>
          <w:rFonts w:asciiTheme="minorHAnsi" w:hAnsiTheme="minorHAnsi"/>
          <w:lang w:val="en-US"/>
        </w:rPr>
        <w:t xml:space="preserve">President of the Management Board of INA Mr. Zoltán Áldott said: </w:t>
      </w:r>
      <w:r w:rsidR="000D5616" w:rsidRPr="001920E9">
        <w:rPr>
          <w:rFonts w:asciiTheme="minorHAnsi" w:hAnsiTheme="minorHAnsi"/>
          <w:lang w:val="en-US"/>
        </w:rPr>
        <w:t>“</w:t>
      </w:r>
      <w:r w:rsidR="00160C7A" w:rsidRPr="00160C7A">
        <w:rPr>
          <w:rFonts w:asciiTheme="minorHAnsi" w:hAnsiTheme="minorHAnsi"/>
          <w:lang w:val="en-US"/>
        </w:rPr>
        <w:t xml:space="preserve">H1 2017 showed a respectable growth for INA results across all business operations. All main indicators are improved with EBITDA increasing from HRK 521 </w:t>
      </w:r>
      <w:proofErr w:type="spellStart"/>
      <w:r w:rsidR="00160C7A" w:rsidRPr="00160C7A">
        <w:rPr>
          <w:rFonts w:asciiTheme="minorHAnsi" w:hAnsiTheme="minorHAnsi"/>
          <w:lang w:val="en-US"/>
        </w:rPr>
        <w:t>mn</w:t>
      </w:r>
      <w:proofErr w:type="spellEnd"/>
      <w:r w:rsidR="00160C7A" w:rsidRPr="00160C7A">
        <w:rPr>
          <w:rFonts w:asciiTheme="minorHAnsi" w:hAnsiTheme="minorHAnsi"/>
          <w:lang w:val="en-US"/>
        </w:rPr>
        <w:t xml:space="preserve"> in H1 2016 to HRK 1.398 </w:t>
      </w:r>
      <w:proofErr w:type="spellStart"/>
      <w:r w:rsidR="00160C7A" w:rsidRPr="00160C7A">
        <w:rPr>
          <w:rFonts w:asciiTheme="minorHAnsi" w:hAnsiTheme="minorHAnsi"/>
          <w:lang w:val="en-US"/>
        </w:rPr>
        <w:t>mn</w:t>
      </w:r>
      <w:proofErr w:type="spellEnd"/>
      <w:r w:rsidR="00160C7A" w:rsidRPr="00160C7A">
        <w:rPr>
          <w:rFonts w:asciiTheme="minorHAnsi" w:hAnsiTheme="minorHAnsi"/>
          <w:lang w:val="en-US"/>
        </w:rPr>
        <w:t xml:space="preserve"> in H1 2017 while net profit, excluding one off items, jumped to HRK 608 </w:t>
      </w:r>
      <w:proofErr w:type="spellStart"/>
      <w:r w:rsidR="00160C7A" w:rsidRPr="00160C7A">
        <w:rPr>
          <w:rFonts w:asciiTheme="minorHAnsi" w:hAnsiTheme="minorHAnsi"/>
          <w:lang w:val="en-US"/>
        </w:rPr>
        <w:t>mn</w:t>
      </w:r>
      <w:proofErr w:type="spellEnd"/>
      <w:r w:rsidR="00160C7A" w:rsidRPr="00160C7A">
        <w:rPr>
          <w:rFonts w:asciiTheme="minorHAnsi" w:hAnsiTheme="minorHAnsi"/>
          <w:lang w:val="en-US"/>
        </w:rPr>
        <w:t xml:space="preserve"> from HRK </w:t>
      </w:r>
      <w:r w:rsidR="00221587">
        <w:rPr>
          <w:rFonts w:asciiTheme="minorHAnsi" w:hAnsiTheme="minorHAnsi"/>
          <w:lang w:val="en-US"/>
        </w:rPr>
        <w:t>70</w:t>
      </w:r>
      <w:bookmarkStart w:id="1" w:name="_GoBack"/>
      <w:bookmarkEnd w:id="1"/>
      <w:r w:rsidR="00160C7A" w:rsidRPr="00160C7A">
        <w:rPr>
          <w:rFonts w:asciiTheme="minorHAnsi" w:hAnsiTheme="minorHAnsi"/>
          <w:lang w:val="en-US"/>
        </w:rPr>
        <w:t xml:space="preserve"> </w:t>
      </w:r>
      <w:proofErr w:type="spellStart"/>
      <w:r w:rsidR="00160C7A" w:rsidRPr="00160C7A">
        <w:rPr>
          <w:rFonts w:asciiTheme="minorHAnsi" w:hAnsiTheme="minorHAnsi"/>
          <w:lang w:val="en-US"/>
        </w:rPr>
        <w:t>mn</w:t>
      </w:r>
      <w:proofErr w:type="spellEnd"/>
      <w:r w:rsidR="00160C7A" w:rsidRPr="00160C7A">
        <w:rPr>
          <w:rFonts w:asciiTheme="minorHAnsi" w:hAnsiTheme="minorHAnsi"/>
          <w:lang w:val="en-US"/>
        </w:rPr>
        <w:t xml:space="preserve"> in H1 2016. </w:t>
      </w:r>
    </w:p>
    <w:p w14:paraId="3D138E75" w14:textId="77777777" w:rsidR="00160C7A" w:rsidRPr="00160C7A" w:rsidRDefault="00160C7A" w:rsidP="00160C7A">
      <w:pPr>
        <w:spacing w:line="360" w:lineRule="auto"/>
        <w:jc w:val="both"/>
        <w:rPr>
          <w:rFonts w:asciiTheme="minorHAnsi" w:hAnsiTheme="minorHAnsi"/>
          <w:lang w:val="en-US"/>
        </w:rPr>
      </w:pPr>
      <w:r w:rsidRPr="00160C7A">
        <w:rPr>
          <w:rFonts w:asciiTheme="minorHAnsi" w:hAnsiTheme="minorHAnsi"/>
          <w:lang w:val="en-US"/>
        </w:rPr>
        <w:t xml:space="preserve">2016 efficiency program continued to show visible results in 2017 while </w:t>
      </w:r>
      <w:proofErr w:type="spellStart"/>
      <w:r w:rsidRPr="00160C7A">
        <w:rPr>
          <w:rFonts w:asciiTheme="minorHAnsi" w:hAnsiTheme="minorHAnsi"/>
          <w:lang w:val="en-US"/>
        </w:rPr>
        <w:t>favourable</w:t>
      </w:r>
      <w:proofErr w:type="spellEnd"/>
      <w:r w:rsidRPr="00160C7A">
        <w:rPr>
          <w:rFonts w:asciiTheme="minorHAnsi" w:hAnsiTheme="minorHAnsi"/>
          <w:lang w:val="en-US"/>
        </w:rPr>
        <w:t xml:space="preserve"> external environment brought additional relief. Combined, it led to the lowest indebtedness in the last decade and the ability of INA to finance all main strategic projects in forthcoming period. </w:t>
      </w:r>
    </w:p>
    <w:p w14:paraId="324D0096" w14:textId="77777777" w:rsidR="00160C7A" w:rsidRPr="00160C7A" w:rsidRDefault="00160C7A" w:rsidP="00160C7A">
      <w:pPr>
        <w:spacing w:line="360" w:lineRule="auto"/>
        <w:jc w:val="both"/>
        <w:rPr>
          <w:rFonts w:asciiTheme="minorHAnsi" w:hAnsiTheme="minorHAnsi"/>
          <w:lang w:val="en-US"/>
        </w:rPr>
      </w:pPr>
      <w:r w:rsidRPr="00160C7A">
        <w:rPr>
          <w:rFonts w:asciiTheme="minorHAnsi" w:hAnsiTheme="minorHAnsi"/>
          <w:lang w:val="en-US"/>
        </w:rPr>
        <w:t xml:space="preserve">Upstream results benefited from the improved external environment with modest growth of Brent and gas prices, while natural decline was slowed down by successful growth projects: EOR project and higher production from new wells </w:t>
      </w:r>
      <w:proofErr w:type="spellStart"/>
      <w:r w:rsidRPr="00160C7A">
        <w:rPr>
          <w:rFonts w:asciiTheme="minorHAnsi" w:hAnsiTheme="minorHAnsi"/>
          <w:lang w:val="en-US"/>
        </w:rPr>
        <w:t>Selec</w:t>
      </w:r>
      <w:proofErr w:type="spellEnd"/>
      <w:r w:rsidRPr="00160C7A">
        <w:rPr>
          <w:rFonts w:asciiTheme="minorHAnsi" w:hAnsiTheme="minorHAnsi"/>
          <w:lang w:val="en-US"/>
        </w:rPr>
        <w:t xml:space="preserve"> and </w:t>
      </w:r>
      <w:proofErr w:type="spellStart"/>
      <w:r w:rsidRPr="00160C7A">
        <w:rPr>
          <w:rFonts w:asciiTheme="minorHAnsi" w:hAnsiTheme="minorHAnsi"/>
          <w:lang w:val="en-US"/>
        </w:rPr>
        <w:t>Đeletovci</w:t>
      </w:r>
      <w:proofErr w:type="spellEnd"/>
      <w:r w:rsidRPr="00160C7A">
        <w:rPr>
          <w:rFonts w:asciiTheme="minorHAnsi" w:hAnsiTheme="minorHAnsi"/>
          <w:lang w:val="en-US"/>
        </w:rPr>
        <w:t xml:space="preserve"> </w:t>
      </w:r>
      <w:proofErr w:type="spellStart"/>
      <w:r w:rsidRPr="00160C7A">
        <w:rPr>
          <w:rFonts w:asciiTheme="minorHAnsi" w:hAnsiTheme="minorHAnsi"/>
          <w:lang w:val="en-US"/>
        </w:rPr>
        <w:t>Zapad</w:t>
      </w:r>
      <w:proofErr w:type="spellEnd"/>
      <w:r w:rsidRPr="00160C7A">
        <w:rPr>
          <w:rFonts w:asciiTheme="minorHAnsi" w:hAnsiTheme="minorHAnsi"/>
          <w:lang w:val="en-US"/>
        </w:rPr>
        <w:t xml:space="preserve">. Combined with the efficiency program it led to the improved financial result. </w:t>
      </w:r>
    </w:p>
    <w:p w14:paraId="4F1C4B6A" w14:textId="077A2EEA" w:rsidR="00160C7A" w:rsidRPr="00160C7A" w:rsidRDefault="00160C7A" w:rsidP="00160C7A">
      <w:pPr>
        <w:spacing w:line="360" w:lineRule="auto"/>
        <w:jc w:val="both"/>
        <w:rPr>
          <w:rFonts w:asciiTheme="minorHAnsi" w:hAnsiTheme="minorHAnsi"/>
          <w:lang w:val="en-US"/>
        </w:rPr>
      </w:pPr>
      <w:r w:rsidRPr="00160C7A">
        <w:rPr>
          <w:rFonts w:asciiTheme="minorHAnsi" w:hAnsiTheme="minorHAnsi"/>
          <w:lang w:val="en-US"/>
        </w:rPr>
        <w:t xml:space="preserve">Still, </w:t>
      </w:r>
      <w:proofErr w:type="gramStart"/>
      <w:r w:rsidRPr="00160C7A">
        <w:rPr>
          <w:rFonts w:asciiTheme="minorHAnsi" w:hAnsiTheme="minorHAnsi"/>
          <w:lang w:val="en-US"/>
        </w:rPr>
        <w:t>Upstream</w:t>
      </w:r>
      <w:proofErr w:type="gramEnd"/>
      <w:r w:rsidRPr="00160C7A">
        <w:rPr>
          <w:rFonts w:asciiTheme="minorHAnsi" w:hAnsiTheme="minorHAnsi"/>
          <w:lang w:val="en-US"/>
        </w:rPr>
        <w:t xml:space="preserve"> growth was surpassed by Downstream improvements. Significantly higher R&amp;M processing levels further supported by more favorable margins drove the Downstream result to a positive area in EBITDA terms</w:t>
      </w:r>
      <w:r w:rsidR="000D3599">
        <w:rPr>
          <w:rFonts w:asciiTheme="minorHAnsi" w:hAnsiTheme="minorHAnsi"/>
          <w:lang w:val="en-US"/>
        </w:rPr>
        <w:t>,</w:t>
      </w:r>
      <w:r w:rsidRPr="00160C7A">
        <w:rPr>
          <w:rFonts w:asciiTheme="minorHAnsi" w:hAnsiTheme="minorHAnsi"/>
          <w:lang w:val="en-US"/>
        </w:rPr>
        <w:t xml:space="preserve"> but the cash flow still stays negative. </w:t>
      </w:r>
    </w:p>
    <w:p w14:paraId="0B8601F2" w14:textId="77777777" w:rsidR="00160C7A" w:rsidRPr="00160C7A" w:rsidRDefault="00160C7A" w:rsidP="00160C7A">
      <w:pPr>
        <w:spacing w:line="360" w:lineRule="auto"/>
        <w:jc w:val="both"/>
        <w:rPr>
          <w:rFonts w:asciiTheme="minorHAnsi" w:hAnsiTheme="minorHAnsi"/>
          <w:lang w:val="en-US"/>
        </w:rPr>
      </w:pPr>
      <w:r w:rsidRPr="00160C7A">
        <w:rPr>
          <w:rFonts w:asciiTheme="minorHAnsi" w:hAnsiTheme="minorHAnsi"/>
          <w:lang w:val="en-US"/>
        </w:rPr>
        <w:t>Retail maintains good results with regional network growth together with non-fuel expansion assuring constantly strong results.</w:t>
      </w:r>
    </w:p>
    <w:p w14:paraId="2F054BA0" w14:textId="77777777" w:rsidR="00160C7A" w:rsidRPr="00160C7A" w:rsidRDefault="00160C7A" w:rsidP="00160C7A">
      <w:pPr>
        <w:spacing w:line="360" w:lineRule="auto"/>
        <w:jc w:val="both"/>
        <w:rPr>
          <w:rFonts w:asciiTheme="minorHAnsi" w:hAnsiTheme="minorHAnsi"/>
          <w:lang w:val="en-US"/>
        </w:rPr>
      </w:pPr>
      <w:r w:rsidRPr="00160C7A">
        <w:rPr>
          <w:rFonts w:asciiTheme="minorHAnsi" w:hAnsiTheme="minorHAnsi"/>
          <w:lang w:val="en-US"/>
        </w:rPr>
        <w:t xml:space="preserve">It is worth to mention stabilized performance of our oil services activities, which were strongest hit by halved Brent prices in the past several years. </w:t>
      </w:r>
      <w:proofErr w:type="spellStart"/>
      <w:r w:rsidRPr="00160C7A">
        <w:rPr>
          <w:rFonts w:asciiTheme="minorHAnsi" w:hAnsiTheme="minorHAnsi"/>
          <w:lang w:val="en-US"/>
        </w:rPr>
        <w:t>Crosco</w:t>
      </w:r>
      <w:proofErr w:type="spellEnd"/>
      <w:r w:rsidRPr="00160C7A">
        <w:rPr>
          <w:rFonts w:asciiTheme="minorHAnsi" w:hAnsiTheme="minorHAnsi"/>
          <w:lang w:val="en-US"/>
        </w:rPr>
        <w:t xml:space="preserve"> reported positive EBITDA in H1 2017.</w:t>
      </w:r>
    </w:p>
    <w:p w14:paraId="05BC1CE2" w14:textId="79330121" w:rsidR="00564017" w:rsidRDefault="00160C7A" w:rsidP="00160C7A">
      <w:pPr>
        <w:spacing w:line="360" w:lineRule="auto"/>
        <w:jc w:val="both"/>
        <w:rPr>
          <w:rFonts w:asciiTheme="minorHAnsi" w:hAnsiTheme="minorHAnsi"/>
          <w:lang w:val="en-US"/>
        </w:rPr>
      </w:pPr>
      <w:r w:rsidRPr="00160C7A">
        <w:rPr>
          <w:rFonts w:asciiTheme="minorHAnsi" w:hAnsiTheme="minorHAnsi"/>
          <w:lang w:val="en-US"/>
        </w:rPr>
        <w:t>This relief period should also be used for further strengthening of the market position and operations, as long term outlook is difficult to make and the volatility of the market can once again prove challenging.</w:t>
      </w:r>
      <w:r w:rsidR="00024352" w:rsidRPr="001920E9">
        <w:rPr>
          <w:rFonts w:asciiTheme="minorHAnsi" w:hAnsiTheme="minorHAnsi"/>
          <w:lang w:val="en-US"/>
        </w:rPr>
        <w:t>”</w:t>
      </w:r>
    </w:p>
    <w:p w14:paraId="3C9966B5" w14:textId="3FA0022B" w:rsidR="00E11167" w:rsidRDefault="008D7A67" w:rsidP="00160C7A">
      <w:pPr>
        <w:spacing w:line="360" w:lineRule="auto"/>
        <w:jc w:val="center"/>
        <w:rPr>
          <w:rFonts w:asciiTheme="minorHAnsi" w:hAnsiTheme="minorHAnsi"/>
          <w:b/>
          <w:lang w:val="en-US"/>
        </w:rPr>
      </w:pPr>
      <w:r>
        <w:rPr>
          <w:rFonts w:asciiTheme="minorHAnsi" w:hAnsiTheme="minorHAnsi"/>
          <w:b/>
          <w:lang w:val="en-US"/>
        </w:rPr>
        <w:lastRenderedPageBreak/>
        <w:t>Operating</w:t>
      </w:r>
      <w:r w:rsidRPr="003A415F">
        <w:rPr>
          <w:rFonts w:asciiTheme="minorHAnsi" w:hAnsiTheme="minorHAnsi"/>
          <w:b/>
          <w:lang w:val="en-US"/>
        </w:rPr>
        <w:t xml:space="preserve"> </w:t>
      </w:r>
      <w:r w:rsidR="00E11167" w:rsidRPr="003A415F">
        <w:rPr>
          <w:rFonts w:asciiTheme="minorHAnsi" w:hAnsiTheme="minorHAnsi"/>
          <w:b/>
          <w:lang w:val="en-US"/>
        </w:rPr>
        <w:t>results overview</w:t>
      </w:r>
    </w:p>
    <w:p w14:paraId="0796E263" w14:textId="77777777" w:rsidR="00160C7A" w:rsidRPr="00160C7A" w:rsidRDefault="00160C7A" w:rsidP="00160C7A">
      <w:pPr>
        <w:spacing w:line="360" w:lineRule="auto"/>
        <w:jc w:val="center"/>
        <w:rPr>
          <w:rFonts w:asciiTheme="minorHAnsi" w:hAnsiTheme="minorHAnsi"/>
          <w:b/>
          <w:lang w:val="en-US"/>
        </w:rPr>
      </w:pPr>
    </w:p>
    <w:p w14:paraId="6405F35C" w14:textId="17C79FEA"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Group’s EBITDA was HRK </w:t>
      </w:r>
      <w:r w:rsidR="00157B79">
        <w:rPr>
          <w:rFonts w:asciiTheme="minorHAnsi" w:hAnsiTheme="minorHAnsi"/>
          <w:lang w:val="en-US"/>
        </w:rPr>
        <w:t>1,3</w:t>
      </w:r>
      <w:r w:rsidR="00D87711">
        <w:rPr>
          <w:rFonts w:asciiTheme="minorHAnsi" w:hAnsiTheme="minorHAnsi"/>
          <w:lang w:val="en-US"/>
        </w:rPr>
        <w:t>98</w:t>
      </w:r>
      <w:r w:rsidRPr="003A415F">
        <w:rPr>
          <w:rFonts w:asciiTheme="minorHAnsi" w:hAnsiTheme="minorHAnsi"/>
          <w:lang w:val="en-US"/>
        </w:rPr>
        <w:t xml:space="preserve"> </w:t>
      </w:r>
      <w:r w:rsidR="00964084">
        <w:rPr>
          <w:rFonts w:asciiTheme="minorHAnsi" w:hAnsiTheme="minorHAnsi"/>
          <w:lang w:val="en-US"/>
        </w:rPr>
        <w:t>m</w:t>
      </w:r>
      <w:r w:rsidRPr="003A415F">
        <w:rPr>
          <w:rFonts w:asciiTheme="minorHAnsi" w:hAnsiTheme="minorHAnsi"/>
          <w:lang w:val="en-US"/>
        </w:rPr>
        <w:t>illion</w:t>
      </w:r>
    </w:p>
    <w:p w14:paraId="535606CF" w14:textId="36EF0F62"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Operating profit amounted to HRK </w:t>
      </w:r>
      <w:r w:rsidR="004031D0">
        <w:rPr>
          <w:rFonts w:asciiTheme="minorHAnsi" w:hAnsiTheme="minorHAnsi"/>
          <w:lang w:val="en-US"/>
        </w:rPr>
        <w:t>910</w:t>
      </w:r>
      <w:r w:rsidR="009B4B71">
        <w:rPr>
          <w:rFonts w:asciiTheme="minorHAnsi" w:hAnsiTheme="minorHAnsi"/>
          <w:lang w:val="en-US"/>
        </w:rPr>
        <w:t xml:space="preserve"> </w:t>
      </w:r>
      <w:r w:rsidRPr="003A415F">
        <w:rPr>
          <w:rFonts w:asciiTheme="minorHAnsi" w:hAnsiTheme="minorHAnsi"/>
          <w:lang w:val="en-US"/>
        </w:rPr>
        <w:t>million</w:t>
      </w:r>
    </w:p>
    <w:p w14:paraId="26500CBE" w14:textId="1EF15D41"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Net profit amounted to HRK </w:t>
      </w:r>
      <w:r w:rsidR="00BA1B39">
        <w:rPr>
          <w:rFonts w:asciiTheme="minorHAnsi" w:hAnsiTheme="minorHAnsi"/>
          <w:lang w:val="en-US"/>
        </w:rPr>
        <w:t>861</w:t>
      </w:r>
      <w:r w:rsidR="00B64A28" w:rsidRPr="003A415F">
        <w:rPr>
          <w:rFonts w:asciiTheme="minorHAnsi" w:hAnsiTheme="minorHAnsi"/>
          <w:lang w:val="en-US"/>
        </w:rPr>
        <w:t xml:space="preserve"> </w:t>
      </w:r>
      <w:r w:rsidRPr="003A415F">
        <w:rPr>
          <w:rFonts w:asciiTheme="minorHAnsi" w:hAnsiTheme="minorHAnsi"/>
          <w:lang w:val="en-US"/>
        </w:rPr>
        <w:t>million</w:t>
      </w:r>
    </w:p>
    <w:p w14:paraId="68058AD2" w14:textId="77777777" w:rsidR="00E11167"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Capital expenditures reached </w:t>
      </w:r>
      <w:r w:rsidRPr="00775E00">
        <w:rPr>
          <w:rFonts w:asciiTheme="minorHAnsi" w:hAnsiTheme="minorHAnsi"/>
          <w:lang w:val="en-US"/>
        </w:rPr>
        <w:t xml:space="preserve">HRK </w:t>
      </w:r>
      <w:r w:rsidR="00157B79">
        <w:rPr>
          <w:rFonts w:asciiTheme="minorHAnsi" w:hAnsiTheme="minorHAnsi"/>
          <w:lang w:val="en-US"/>
        </w:rPr>
        <w:t>520</w:t>
      </w:r>
      <w:r w:rsidRPr="003A415F">
        <w:rPr>
          <w:rFonts w:asciiTheme="minorHAnsi" w:hAnsiTheme="minorHAnsi"/>
          <w:lang w:val="en-US"/>
        </w:rPr>
        <w:t xml:space="preserve"> million</w:t>
      </w:r>
    </w:p>
    <w:p w14:paraId="0C2DFBD8" w14:textId="7CA76910" w:rsidR="004031D0" w:rsidRDefault="004031D0" w:rsidP="00884F6F">
      <w:pPr>
        <w:pStyle w:val="ListParagraph"/>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2BCCDD4F" wp14:editId="4E3905FC">
            <wp:extent cx="3005455" cy="21278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455" cy="2127885"/>
                    </a:xfrm>
                    <a:prstGeom prst="rect">
                      <a:avLst/>
                    </a:prstGeom>
                    <a:noFill/>
                  </pic:spPr>
                </pic:pic>
              </a:graphicData>
            </a:graphic>
          </wp:inline>
        </w:drawing>
      </w:r>
    </w:p>
    <w:p w14:paraId="432D0A2A" w14:textId="31EBBCFC" w:rsidR="00C87E06" w:rsidRDefault="00C87E06" w:rsidP="00884F6F">
      <w:pPr>
        <w:pStyle w:val="ListParagraph"/>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3BBDDB9A" wp14:editId="7D9E646E">
            <wp:extent cx="3005455" cy="2127885"/>
            <wp:effectExtent l="0" t="0" r="444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5455" cy="2127885"/>
                    </a:xfrm>
                    <a:prstGeom prst="rect">
                      <a:avLst/>
                    </a:prstGeom>
                    <a:noFill/>
                  </pic:spPr>
                </pic:pic>
              </a:graphicData>
            </a:graphic>
          </wp:inline>
        </w:drawing>
      </w:r>
    </w:p>
    <w:p w14:paraId="6B19A902" w14:textId="27C159D5" w:rsidR="00C87E06" w:rsidRDefault="00E11167" w:rsidP="00B25B6A">
      <w:pPr>
        <w:spacing w:line="360" w:lineRule="auto"/>
        <w:jc w:val="both"/>
        <w:rPr>
          <w:rFonts w:asciiTheme="minorHAnsi" w:hAnsiTheme="minorHAnsi"/>
          <w:lang w:val="en-US"/>
        </w:rPr>
      </w:pPr>
      <w:r w:rsidRPr="003A415F">
        <w:rPr>
          <w:rFonts w:asciiTheme="minorHAnsi" w:hAnsiTheme="minorHAnsi"/>
          <w:b/>
          <w:lang w:val="en-US"/>
        </w:rPr>
        <w:t>Exploration and Production</w:t>
      </w:r>
      <w:r w:rsidR="00746587" w:rsidRPr="003A415F">
        <w:rPr>
          <w:rFonts w:asciiTheme="minorHAnsi" w:hAnsiTheme="minorHAnsi"/>
          <w:b/>
          <w:lang w:val="en-US"/>
        </w:rPr>
        <w:t xml:space="preserve"> –</w:t>
      </w:r>
      <w:r w:rsidRPr="003A415F">
        <w:rPr>
          <w:rFonts w:asciiTheme="minorHAnsi" w:hAnsiTheme="minorHAnsi"/>
          <w:lang w:val="en-US"/>
        </w:rPr>
        <w:t xml:space="preserve"> </w:t>
      </w:r>
      <w:r w:rsidR="006F736D" w:rsidRPr="006F736D">
        <w:rPr>
          <w:rFonts w:asciiTheme="minorHAnsi" w:hAnsiTheme="minorHAnsi"/>
          <w:lang w:val="en-US"/>
        </w:rPr>
        <w:t xml:space="preserve">In </w:t>
      </w:r>
      <w:r w:rsidR="0044294B">
        <w:rPr>
          <w:rFonts w:asciiTheme="minorHAnsi" w:hAnsiTheme="minorHAnsi"/>
          <w:lang w:val="en-US"/>
        </w:rPr>
        <w:t>H</w:t>
      </w:r>
      <w:r w:rsidR="001C4991">
        <w:rPr>
          <w:rFonts w:asciiTheme="minorHAnsi" w:hAnsiTheme="minorHAnsi"/>
          <w:lang w:val="en-US"/>
        </w:rPr>
        <w:t xml:space="preserve">1 </w:t>
      </w:r>
      <w:r w:rsidR="006F736D" w:rsidRPr="006F736D">
        <w:rPr>
          <w:rFonts w:asciiTheme="minorHAnsi" w:hAnsiTheme="minorHAnsi"/>
          <w:lang w:val="en-US"/>
        </w:rPr>
        <w:t>201</w:t>
      </w:r>
      <w:r w:rsidR="001C4991">
        <w:rPr>
          <w:rFonts w:asciiTheme="minorHAnsi" w:hAnsiTheme="minorHAnsi"/>
          <w:lang w:val="en-US"/>
        </w:rPr>
        <w:t>7</w:t>
      </w:r>
      <w:r w:rsidR="006F736D" w:rsidRPr="006F736D">
        <w:rPr>
          <w:rFonts w:asciiTheme="minorHAnsi" w:hAnsiTheme="minorHAnsi"/>
          <w:lang w:val="en-US"/>
        </w:rPr>
        <w:t xml:space="preserve">, EBITDA reached HRK </w:t>
      </w:r>
      <w:r w:rsidR="0044294B">
        <w:rPr>
          <w:rFonts w:asciiTheme="minorHAnsi" w:hAnsiTheme="minorHAnsi"/>
          <w:lang w:val="en-US"/>
        </w:rPr>
        <w:t>1,</w:t>
      </w:r>
      <w:r w:rsidR="00BA1B39">
        <w:rPr>
          <w:rFonts w:asciiTheme="minorHAnsi" w:hAnsiTheme="minorHAnsi"/>
          <w:lang w:val="en-US"/>
        </w:rPr>
        <w:t>302</w:t>
      </w:r>
      <w:r w:rsidR="006D4B5E">
        <w:rPr>
          <w:rFonts w:asciiTheme="minorHAnsi" w:hAnsiTheme="minorHAnsi"/>
          <w:lang w:val="en-US"/>
        </w:rPr>
        <w:t xml:space="preserve"> million</w:t>
      </w:r>
      <w:r w:rsidR="0044294B">
        <w:rPr>
          <w:rFonts w:asciiTheme="minorHAnsi" w:hAnsiTheme="minorHAnsi"/>
          <w:lang w:val="en-US"/>
        </w:rPr>
        <w:t>, 2</w:t>
      </w:r>
      <w:r w:rsidR="00BA1B39">
        <w:rPr>
          <w:rFonts w:asciiTheme="minorHAnsi" w:hAnsiTheme="minorHAnsi"/>
          <w:lang w:val="en-US"/>
        </w:rPr>
        <w:t>6</w:t>
      </w:r>
      <w:r w:rsidR="001C4991">
        <w:rPr>
          <w:rFonts w:asciiTheme="minorHAnsi" w:hAnsiTheme="minorHAnsi"/>
          <w:lang w:val="en-US"/>
        </w:rPr>
        <w:t xml:space="preserve">% more than in </w:t>
      </w:r>
      <w:r w:rsidR="0044294B">
        <w:rPr>
          <w:rFonts w:asciiTheme="minorHAnsi" w:hAnsiTheme="minorHAnsi"/>
          <w:lang w:val="en-US"/>
        </w:rPr>
        <w:t>H</w:t>
      </w:r>
      <w:r w:rsidR="001C4991">
        <w:rPr>
          <w:rFonts w:asciiTheme="minorHAnsi" w:hAnsiTheme="minorHAnsi"/>
          <w:lang w:val="en-US"/>
        </w:rPr>
        <w:t>1 2016</w:t>
      </w:r>
      <w:r w:rsidR="006F736D" w:rsidRPr="006F736D">
        <w:rPr>
          <w:rFonts w:asciiTheme="minorHAnsi" w:hAnsiTheme="minorHAnsi"/>
          <w:lang w:val="en-US"/>
        </w:rPr>
        <w:t xml:space="preserve">. </w:t>
      </w:r>
      <w:r w:rsidR="001C4991">
        <w:rPr>
          <w:rFonts w:asciiTheme="minorHAnsi" w:hAnsiTheme="minorHAnsi"/>
          <w:lang w:val="en-US"/>
        </w:rPr>
        <w:t xml:space="preserve">The </w:t>
      </w:r>
      <w:r w:rsidR="0044294B">
        <w:rPr>
          <w:rFonts w:asciiTheme="minorHAnsi" w:hAnsiTheme="minorHAnsi"/>
          <w:lang w:val="en-US"/>
        </w:rPr>
        <w:t>30</w:t>
      </w:r>
      <w:r w:rsidR="001C4991">
        <w:rPr>
          <w:rFonts w:asciiTheme="minorHAnsi" w:hAnsiTheme="minorHAnsi"/>
          <w:lang w:val="en-US"/>
        </w:rPr>
        <w:t xml:space="preserve">% higher Brent price had a positive effect on oil and condensate sales revenues in the amount of HRK </w:t>
      </w:r>
      <w:r w:rsidR="0044294B">
        <w:rPr>
          <w:rFonts w:asciiTheme="minorHAnsi" w:hAnsiTheme="minorHAnsi"/>
          <w:lang w:val="en-US"/>
        </w:rPr>
        <w:t>266</w:t>
      </w:r>
      <w:r w:rsidR="001C4991">
        <w:rPr>
          <w:rFonts w:asciiTheme="minorHAnsi" w:hAnsiTheme="minorHAnsi"/>
          <w:lang w:val="en-US"/>
        </w:rPr>
        <w:t xml:space="preserve"> million, while lower </w:t>
      </w:r>
      <w:r w:rsidR="00BA1B39">
        <w:rPr>
          <w:rFonts w:asciiTheme="minorHAnsi" w:hAnsiTheme="minorHAnsi"/>
          <w:lang w:val="en-US"/>
        </w:rPr>
        <w:t>realized</w:t>
      </w:r>
      <w:r w:rsidR="001C4991">
        <w:rPr>
          <w:rFonts w:asciiTheme="minorHAnsi" w:hAnsiTheme="minorHAnsi"/>
          <w:lang w:val="en-US"/>
        </w:rPr>
        <w:t xml:space="preserve"> gas prices caused a HRK (</w:t>
      </w:r>
      <w:r w:rsidR="0044294B">
        <w:rPr>
          <w:rFonts w:asciiTheme="minorHAnsi" w:hAnsiTheme="minorHAnsi"/>
          <w:lang w:val="en-US"/>
        </w:rPr>
        <w:t>73</w:t>
      </w:r>
      <w:r w:rsidR="001C4991">
        <w:rPr>
          <w:rFonts w:asciiTheme="minorHAnsi" w:hAnsiTheme="minorHAnsi"/>
          <w:lang w:val="en-US"/>
        </w:rPr>
        <w:t xml:space="preserve">) drop in revenues. Domestic crude oil production </w:t>
      </w:r>
      <w:r w:rsidR="0044294B">
        <w:rPr>
          <w:rFonts w:asciiTheme="minorHAnsi" w:hAnsiTheme="minorHAnsi"/>
          <w:lang w:val="en-US"/>
        </w:rPr>
        <w:t>is at 2016 levels</w:t>
      </w:r>
      <w:r w:rsidR="001C4991">
        <w:rPr>
          <w:rFonts w:asciiTheme="minorHAnsi" w:hAnsiTheme="minorHAnsi"/>
          <w:lang w:val="en-US"/>
        </w:rPr>
        <w:t xml:space="preserve"> mainly </w:t>
      </w:r>
      <w:r w:rsidR="0044294B">
        <w:rPr>
          <w:rFonts w:asciiTheme="minorHAnsi" w:hAnsiTheme="minorHAnsi"/>
          <w:lang w:val="en-US"/>
        </w:rPr>
        <w:t>thanks</w:t>
      </w:r>
      <w:r w:rsidR="001C4991">
        <w:rPr>
          <w:rFonts w:asciiTheme="minorHAnsi" w:hAnsiTheme="minorHAnsi"/>
          <w:lang w:val="en-US"/>
        </w:rPr>
        <w:t xml:space="preserve"> to</w:t>
      </w:r>
      <w:r w:rsidR="0044294B" w:rsidRPr="0044294B">
        <w:rPr>
          <w:rFonts w:asciiTheme="minorHAnsi" w:hAnsiTheme="minorHAnsi"/>
          <w:lang w:val="en-US"/>
        </w:rPr>
        <w:t xml:space="preserve"> </w:t>
      </w:r>
      <w:r w:rsidR="0044294B">
        <w:rPr>
          <w:rFonts w:asciiTheme="minorHAnsi" w:hAnsiTheme="minorHAnsi"/>
          <w:lang w:val="en-US"/>
        </w:rPr>
        <w:t xml:space="preserve">the positive </w:t>
      </w:r>
      <w:r w:rsidR="0044294B">
        <w:rPr>
          <w:rFonts w:asciiTheme="minorHAnsi" w:hAnsiTheme="minorHAnsi"/>
          <w:lang w:val="en-US"/>
        </w:rPr>
        <w:lastRenderedPageBreak/>
        <w:t xml:space="preserve">effect of full field </w:t>
      </w:r>
      <w:r w:rsidR="00BA1B39">
        <w:rPr>
          <w:rFonts w:asciiTheme="minorHAnsi" w:hAnsiTheme="minorHAnsi"/>
          <w:lang w:val="en-US"/>
        </w:rPr>
        <w:t>optimization</w:t>
      </w:r>
      <w:r w:rsidR="0044294B">
        <w:rPr>
          <w:rFonts w:asciiTheme="minorHAnsi" w:hAnsiTheme="minorHAnsi"/>
          <w:lang w:val="en-US"/>
        </w:rPr>
        <w:t xml:space="preserve"> and the EOR projects, as well as higher production from new wells</w:t>
      </w:r>
      <w:r w:rsidR="001C4991">
        <w:rPr>
          <w:rFonts w:asciiTheme="minorHAnsi" w:hAnsiTheme="minorHAnsi"/>
          <w:lang w:val="en-US"/>
        </w:rPr>
        <w:t xml:space="preserve">, but the </w:t>
      </w:r>
      <w:r w:rsidR="0044294B">
        <w:rPr>
          <w:rFonts w:asciiTheme="minorHAnsi" w:hAnsiTheme="minorHAnsi"/>
          <w:lang w:val="en-US"/>
        </w:rPr>
        <w:t>result</w:t>
      </w:r>
      <w:r w:rsidR="001C4991">
        <w:rPr>
          <w:rFonts w:asciiTheme="minorHAnsi" w:hAnsiTheme="minorHAnsi"/>
          <w:lang w:val="en-US"/>
        </w:rPr>
        <w:t xml:space="preserve"> was partially offset </w:t>
      </w:r>
      <w:r w:rsidR="0044294B">
        <w:rPr>
          <w:rFonts w:asciiTheme="minorHAnsi" w:hAnsiTheme="minorHAnsi"/>
          <w:lang w:val="en-US"/>
        </w:rPr>
        <w:t>by</w:t>
      </w:r>
      <w:r w:rsidR="001C4991">
        <w:rPr>
          <w:rFonts w:asciiTheme="minorHAnsi" w:hAnsiTheme="minorHAnsi"/>
          <w:lang w:val="en-US"/>
        </w:rPr>
        <w:t xml:space="preserve"> </w:t>
      </w:r>
      <w:r w:rsidR="0044294B">
        <w:rPr>
          <w:rFonts w:asciiTheme="minorHAnsi" w:hAnsiTheme="minorHAnsi"/>
          <w:lang w:val="en-US"/>
        </w:rPr>
        <w:t xml:space="preserve">natural decline and problems with the </w:t>
      </w:r>
      <w:proofErr w:type="spellStart"/>
      <w:r w:rsidR="0044294B">
        <w:rPr>
          <w:rFonts w:asciiTheme="minorHAnsi" w:hAnsiTheme="minorHAnsi"/>
          <w:lang w:val="en-US"/>
        </w:rPr>
        <w:t>Hrastilnica</w:t>
      </w:r>
      <w:proofErr w:type="spellEnd"/>
      <w:r w:rsidR="0044294B">
        <w:rPr>
          <w:rFonts w:asciiTheme="minorHAnsi" w:hAnsiTheme="minorHAnsi"/>
          <w:lang w:val="en-US"/>
        </w:rPr>
        <w:t xml:space="preserve"> field pipeline</w:t>
      </w:r>
      <w:r w:rsidR="001C4991">
        <w:rPr>
          <w:rFonts w:asciiTheme="minorHAnsi" w:hAnsiTheme="minorHAnsi"/>
          <w:lang w:val="en-US"/>
        </w:rPr>
        <w:t xml:space="preserve">. Natural gas production drop was offset by </w:t>
      </w:r>
      <w:r w:rsidR="0044294B">
        <w:rPr>
          <w:rFonts w:asciiTheme="minorHAnsi" w:hAnsiTheme="minorHAnsi"/>
          <w:lang w:val="en-US"/>
        </w:rPr>
        <w:t>6</w:t>
      </w:r>
      <w:r w:rsidR="001C4991">
        <w:rPr>
          <w:rFonts w:asciiTheme="minorHAnsi" w:hAnsiTheme="minorHAnsi"/>
          <w:lang w:val="en-US"/>
        </w:rPr>
        <w:t xml:space="preserve">% higher onshore natural gas production mainly as a result of production from </w:t>
      </w:r>
      <w:proofErr w:type="spellStart"/>
      <w:r w:rsidR="001C4991">
        <w:rPr>
          <w:rFonts w:asciiTheme="minorHAnsi" w:hAnsiTheme="minorHAnsi"/>
          <w:lang w:val="en-US"/>
        </w:rPr>
        <w:t>Međimurje</w:t>
      </w:r>
      <w:proofErr w:type="spellEnd"/>
      <w:r w:rsidR="001C4991">
        <w:rPr>
          <w:rFonts w:asciiTheme="minorHAnsi" w:hAnsiTheme="minorHAnsi"/>
          <w:lang w:val="en-US"/>
        </w:rPr>
        <w:t xml:space="preserve"> fields.</w:t>
      </w:r>
      <w:r w:rsidR="003C04B6">
        <w:rPr>
          <w:rFonts w:asciiTheme="minorHAnsi" w:hAnsiTheme="minorHAnsi"/>
          <w:lang w:val="en-US"/>
        </w:rPr>
        <w:t xml:space="preserve"> </w:t>
      </w:r>
      <w:r w:rsidR="003C04B6" w:rsidRPr="003C04B6">
        <w:rPr>
          <w:rFonts w:asciiTheme="minorHAnsi" w:hAnsiTheme="minorHAnsi"/>
          <w:lang w:val="en-US"/>
        </w:rPr>
        <w:t xml:space="preserve">CAPEX amounted to HRK </w:t>
      </w:r>
      <w:r w:rsidR="0044294B">
        <w:rPr>
          <w:rFonts w:asciiTheme="minorHAnsi" w:hAnsiTheme="minorHAnsi"/>
          <w:lang w:val="en-US"/>
        </w:rPr>
        <w:t>2</w:t>
      </w:r>
      <w:r w:rsidR="00BA1B39">
        <w:rPr>
          <w:rFonts w:asciiTheme="minorHAnsi" w:hAnsiTheme="minorHAnsi"/>
          <w:lang w:val="en-US"/>
        </w:rPr>
        <w:t>59</w:t>
      </w:r>
      <w:r w:rsidR="003C04B6" w:rsidRPr="003C04B6">
        <w:rPr>
          <w:rFonts w:asciiTheme="minorHAnsi" w:hAnsiTheme="minorHAnsi"/>
          <w:lang w:val="en-US"/>
        </w:rPr>
        <w:t xml:space="preserve"> million</w:t>
      </w:r>
      <w:r w:rsidR="003C04B6">
        <w:rPr>
          <w:rFonts w:asciiTheme="minorHAnsi" w:hAnsiTheme="minorHAnsi"/>
          <w:lang w:val="en-US"/>
        </w:rPr>
        <w:t xml:space="preserve">, out of which HRK </w:t>
      </w:r>
      <w:r w:rsidR="0044294B">
        <w:rPr>
          <w:rFonts w:asciiTheme="minorHAnsi" w:hAnsiTheme="minorHAnsi"/>
          <w:lang w:val="en-US"/>
        </w:rPr>
        <w:t>252</w:t>
      </w:r>
      <w:r w:rsidR="003C04B6">
        <w:rPr>
          <w:rFonts w:asciiTheme="minorHAnsi" w:hAnsiTheme="minorHAnsi"/>
          <w:lang w:val="en-US"/>
        </w:rPr>
        <w:t xml:space="preserve"> million in Croatia.</w:t>
      </w:r>
    </w:p>
    <w:p w14:paraId="0089E434" w14:textId="51D8F848" w:rsidR="00BA1B39" w:rsidRDefault="00BA1B39" w:rsidP="00C87E06">
      <w:pPr>
        <w:spacing w:line="360" w:lineRule="auto"/>
        <w:jc w:val="center"/>
        <w:rPr>
          <w:rFonts w:asciiTheme="minorHAnsi" w:hAnsiTheme="minorHAnsi"/>
          <w:b/>
          <w:lang w:val="en-US"/>
        </w:rPr>
      </w:pPr>
      <w:r>
        <w:rPr>
          <w:rFonts w:asciiTheme="minorHAnsi" w:hAnsiTheme="minorHAnsi"/>
          <w:b/>
          <w:noProof/>
          <w:lang w:eastAsia="hr-HR"/>
        </w:rPr>
        <w:drawing>
          <wp:inline distT="0" distB="0" distL="0" distR="0" wp14:anchorId="4F639E45" wp14:editId="4DBFCAEE">
            <wp:extent cx="3005455" cy="212788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5455" cy="2127885"/>
                    </a:xfrm>
                    <a:prstGeom prst="rect">
                      <a:avLst/>
                    </a:prstGeom>
                    <a:noFill/>
                  </pic:spPr>
                </pic:pic>
              </a:graphicData>
            </a:graphic>
          </wp:inline>
        </w:drawing>
      </w:r>
    </w:p>
    <w:p w14:paraId="62176D1E" w14:textId="69307F74" w:rsidR="00594C4A" w:rsidRDefault="00594C4A" w:rsidP="00C87E06">
      <w:pPr>
        <w:spacing w:line="360" w:lineRule="auto"/>
        <w:jc w:val="center"/>
        <w:rPr>
          <w:rFonts w:asciiTheme="minorHAnsi" w:hAnsiTheme="minorHAnsi"/>
          <w:b/>
          <w:lang w:val="en-US"/>
        </w:rPr>
      </w:pPr>
      <w:r>
        <w:rPr>
          <w:rFonts w:asciiTheme="minorHAnsi" w:hAnsiTheme="minorHAnsi"/>
          <w:b/>
          <w:noProof/>
          <w:lang w:eastAsia="hr-HR"/>
        </w:rPr>
        <w:drawing>
          <wp:inline distT="0" distB="0" distL="0" distR="0" wp14:anchorId="5051732A" wp14:editId="476AD9C0">
            <wp:extent cx="3005455" cy="2322830"/>
            <wp:effectExtent l="0" t="0" r="444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455" cy="2322830"/>
                    </a:xfrm>
                    <a:prstGeom prst="rect">
                      <a:avLst/>
                    </a:prstGeom>
                    <a:noFill/>
                  </pic:spPr>
                </pic:pic>
              </a:graphicData>
            </a:graphic>
          </wp:inline>
        </w:drawing>
      </w:r>
    </w:p>
    <w:p w14:paraId="0711C830" w14:textId="04EE847A" w:rsidR="003C04B6" w:rsidRDefault="00E11167" w:rsidP="00294AD2">
      <w:pPr>
        <w:spacing w:line="360" w:lineRule="auto"/>
        <w:jc w:val="both"/>
        <w:rPr>
          <w:rFonts w:asciiTheme="minorHAnsi" w:hAnsiTheme="minorHAnsi"/>
          <w:lang w:val="en-US"/>
        </w:rPr>
      </w:pPr>
      <w:r w:rsidRPr="003A415F">
        <w:rPr>
          <w:rFonts w:asciiTheme="minorHAnsi" w:hAnsiTheme="minorHAnsi"/>
          <w:b/>
          <w:lang w:val="en-US"/>
        </w:rPr>
        <w:t>Refining and Marketing, including Retail</w:t>
      </w:r>
      <w:r w:rsidR="00746587" w:rsidRPr="003A415F">
        <w:rPr>
          <w:rFonts w:asciiTheme="minorHAnsi" w:hAnsiTheme="minorHAnsi"/>
          <w:b/>
          <w:lang w:val="en-US"/>
        </w:rPr>
        <w:t xml:space="preserve"> –</w:t>
      </w:r>
      <w:r w:rsidRPr="003A415F">
        <w:rPr>
          <w:rFonts w:asciiTheme="minorHAnsi" w:hAnsiTheme="minorHAnsi"/>
          <w:b/>
          <w:lang w:val="en-US"/>
        </w:rPr>
        <w:t xml:space="preserve"> </w:t>
      </w:r>
      <w:r w:rsidR="0044294B">
        <w:rPr>
          <w:rFonts w:asciiTheme="minorHAnsi" w:hAnsiTheme="minorHAnsi"/>
          <w:lang w:val="en-US"/>
        </w:rPr>
        <w:t>H</w:t>
      </w:r>
      <w:r w:rsidR="003C04B6">
        <w:rPr>
          <w:rFonts w:asciiTheme="minorHAnsi" w:hAnsiTheme="minorHAnsi"/>
          <w:lang w:val="en-US"/>
        </w:rPr>
        <w:t>1 2</w:t>
      </w:r>
      <w:r w:rsidR="004E3A45" w:rsidRPr="004E3A45">
        <w:rPr>
          <w:rFonts w:asciiTheme="minorHAnsi" w:hAnsiTheme="minorHAnsi"/>
          <w:lang w:val="en-US"/>
        </w:rPr>
        <w:t>01</w:t>
      </w:r>
      <w:r w:rsidR="003C04B6">
        <w:rPr>
          <w:rFonts w:asciiTheme="minorHAnsi" w:hAnsiTheme="minorHAnsi"/>
          <w:lang w:val="en-US"/>
        </w:rPr>
        <w:t>7</w:t>
      </w:r>
      <w:r w:rsidR="004E3A45" w:rsidRPr="004E3A45">
        <w:rPr>
          <w:rFonts w:asciiTheme="minorHAnsi" w:hAnsiTheme="minorHAnsi"/>
          <w:lang w:val="en-US"/>
        </w:rPr>
        <w:t xml:space="preserve"> EBITDA amounted to HRK </w:t>
      </w:r>
      <w:r w:rsidR="0044294B">
        <w:rPr>
          <w:rFonts w:asciiTheme="minorHAnsi" w:hAnsiTheme="minorHAnsi"/>
          <w:lang w:val="en-US"/>
        </w:rPr>
        <w:t>183</w:t>
      </w:r>
      <w:r w:rsidR="008C498C" w:rsidRPr="004E3A45">
        <w:rPr>
          <w:rFonts w:asciiTheme="minorHAnsi" w:hAnsiTheme="minorHAnsi"/>
          <w:lang w:val="en-US"/>
        </w:rPr>
        <w:t xml:space="preserve"> </w:t>
      </w:r>
      <w:r w:rsidR="004E3A45" w:rsidRPr="004E3A45">
        <w:rPr>
          <w:rFonts w:asciiTheme="minorHAnsi" w:hAnsiTheme="minorHAnsi"/>
          <w:lang w:val="en-US"/>
        </w:rPr>
        <w:t>million</w:t>
      </w:r>
      <w:r w:rsidR="003C04B6">
        <w:rPr>
          <w:rFonts w:asciiTheme="minorHAnsi" w:hAnsiTheme="minorHAnsi"/>
          <w:lang w:val="en-US"/>
        </w:rPr>
        <w:t xml:space="preserve">, while operating </w:t>
      </w:r>
      <w:r w:rsidR="00A14FA5">
        <w:rPr>
          <w:rFonts w:asciiTheme="minorHAnsi" w:hAnsiTheme="minorHAnsi"/>
          <w:lang w:val="en-US"/>
        </w:rPr>
        <w:t xml:space="preserve">loss amounted to </w:t>
      </w:r>
      <w:r w:rsidR="003C04B6">
        <w:rPr>
          <w:rFonts w:asciiTheme="minorHAnsi" w:hAnsiTheme="minorHAnsi"/>
          <w:lang w:val="en-US"/>
        </w:rPr>
        <w:t xml:space="preserve">HRK </w:t>
      </w:r>
      <w:r w:rsidR="00A14FA5">
        <w:rPr>
          <w:rFonts w:asciiTheme="minorHAnsi" w:hAnsiTheme="minorHAnsi"/>
          <w:lang w:val="en-US"/>
        </w:rPr>
        <w:t>(57)</w:t>
      </w:r>
      <w:r w:rsidR="003C04B6">
        <w:rPr>
          <w:rFonts w:asciiTheme="minorHAnsi" w:hAnsiTheme="minorHAnsi"/>
          <w:lang w:val="en-US"/>
        </w:rPr>
        <w:t xml:space="preserve"> million compared to the </w:t>
      </w:r>
      <w:r w:rsidR="00A14FA5">
        <w:rPr>
          <w:rFonts w:asciiTheme="minorHAnsi" w:hAnsiTheme="minorHAnsi"/>
          <w:lang w:val="en-US"/>
        </w:rPr>
        <w:t>H</w:t>
      </w:r>
      <w:r w:rsidR="003C04B6">
        <w:rPr>
          <w:rFonts w:asciiTheme="minorHAnsi" w:hAnsiTheme="minorHAnsi"/>
          <w:lang w:val="en-US"/>
        </w:rPr>
        <w:t>1 2016 loss of HRK (</w:t>
      </w:r>
      <w:r w:rsidR="00A14FA5">
        <w:rPr>
          <w:rFonts w:asciiTheme="minorHAnsi" w:hAnsiTheme="minorHAnsi"/>
          <w:lang w:val="en-US"/>
        </w:rPr>
        <w:t>298</w:t>
      </w:r>
      <w:r w:rsidR="003C04B6">
        <w:rPr>
          <w:rFonts w:asciiTheme="minorHAnsi" w:hAnsiTheme="minorHAnsi"/>
          <w:lang w:val="en-US"/>
        </w:rPr>
        <w:t>) million</w:t>
      </w:r>
      <w:r w:rsidR="004E3A45" w:rsidRPr="004E3A45">
        <w:rPr>
          <w:rFonts w:asciiTheme="minorHAnsi" w:hAnsiTheme="minorHAnsi"/>
          <w:lang w:val="en-US"/>
        </w:rPr>
        <w:t xml:space="preserve">. </w:t>
      </w:r>
      <w:r w:rsidR="003C04B6" w:rsidRPr="003C04B6">
        <w:rPr>
          <w:rFonts w:asciiTheme="minorHAnsi" w:hAnsiTheme="minorHAnsi"/>
          <w:lang w:val="en-US"/>
        </w:rPr>
        <w:t xml:space="preserve">Revenues amounted to HRK </w:t>
      </w:r>
      <w:r w:rsidR="00A14FA5">
        <w:rPr>
          <w:rFonts w:asciiTheme="minorHAnsi" w:hAnsiTheme="minorHAnsi"/>
          <w:lang w:val="en-US"/>
        </w:rPr>
        <w:t>7,196</w:t>
      </w:r>
      <w:r w:rsidR="003C04B6" w:rsidRPr="003C04B6">
        <w:rPr>
          <w:rFonts w:asciiTheme="minorHAnsi" w:hAnsiTheme="minorHAnsi"/>
          <w:lang w:val="en-US"/>
        </w:rPr>
        <w:t xml:space="preserve"> million</w:t>
      </w:r>
      <w:r w:rsidR="003C04B6">
        <w:rPr>
          <w:rFonts w:asciiTheme="minorHAnsi" w:hAnsiTheme="minorHAnsi"/>
          <w:lang w:val="en-US"/>
        </w:rPr>
        <w:t xml:space="preserve">, </w:t>
      </w:r>
      <w:r w:rsidR="00A14FA5">
        <w:rPr>
          <w:rFonts w:asciiTheme="minorHAnsi" w:hAnsiTheme="minorHAnsi"/>
          <w:lang w:val="en-US"/>
        </w:rPr>
        <w:t>44</w:t>
      </w:r>
      <w:r w:rsidR="003C04B6">
        <w:rPr>
          <w:rFonts w:asciiTheme="minorHAnsi" w:hAnsiTheme="minorHAnsi"/>
          <w:lang w:val="en-US"/>
        </w:rPr>
        <w:t xml:space="preserve">% more than in </w:t>
      </w:r>
      <w:r w:rsidR="00A14FA5">
        <w:rPr>
          <w:rFonts w:asciiTheme="minorHAnsi" w:hAnsiTheme="minorHAnsi"/>
          <w:lang w:val="en-US"/>
        </w:rPr>
        <w:t>H</w:t>
      </w:r>
      <w:r w:rsidR="003C04B6">
        <w:rPr>
          <w:rFonts w:asciiTheme="minorHAnsi" w:hAnsiTheme="minorHAnsi"/>
          <w:lang w:val="en-US"/>
        </w:rPr>
        <w:t xml:space="preserve">1 2016. </w:t>
      </w:r>
      <w:r w:rsidR="004E3A45" w:rsidRPr="004E3A45">
        <w:rPr>
          <w:rFonts w:asciiTheme="minorHAnsi" w:hAnsiTheme="minorHAnsi"/>
          <w:lang w:val="en-US"/>
        </w:rPr>
        <w:t>The result was i</w:t>
      </w:r>
      <w:r w:rsidR="004D45B1">
        <w:rPr>
          <w:rFonts w:asciiTheme="minorHAnsi" w:hAnsiTheme="minorHAnsi"/>
          <w:lang w:val="en-US"/>
        </w:rPr>
        <w:t>mpacted by a number of factors:</w:t>
      </w:r>
      <w:r w:rsidR="004E3A45" w:rsidRPr="004E3A45">
        <w:rPr>
          <w:rFonts w:asciiTheme="minorHAnsi" w:hAnsiTheme="minorHAnsi"/>
          <w:lang w:val="en-US"/>
        </w:rPr>
        <w:t xml:space="preserve"> </w:t>
      </w:r>
      <w:r w:rsidR="00BA1B39">
        <w:rPr>
          <w:rFonts w:asciiTheme="minorHAnsi" w:hAnsiTheme="minorHAnsi"/>
          <w:lang w:val="en-US"/>
        </w:rPr>
        <w:t>favorable</w:t>
      </w:r>
      <w:r w:rsidR="003C04B6">
        <w:rPr>
          <w:rFonts w:asciiTheme="minorHAnsi" w:hAnsiTheme="minorHAnsi"/>
          <w:lang w:val="en-US"/>
        </w:rPr>
        <w:t xml:space="preserve"> external environment</w:t>
      </w:r>
      <w:r w:rsidR="00B03B83">
        <w:rPr>
          <w:rFonts w:asciiTheme="minorHAnsi" w:hAnsiTheme="minorHAnsi"/>
          <w:lang w:val="en-US"/>
        </w:rPr>
        <w:t xml:space="preserve"> </w:t>
      </w:r>
      <w:r w:rsidR="00624953">
        <w:rPr>
          <w:rFonts w:asciiTheme="minorHAnsi" w:hAnsiTheme="minorHAnsi"/>
          <w:lang w:val="en-US"/>
        </w:rPr>
        <w:t xml:space="preserve">driven by </w:t>
      </w:r>
      <w:r w:rsidR="00A14FA5">
        <w:rPr>
          <w:rFonts w:asciiTheme="minorHAnsi" w:hAnsiTheme="minorHAnsi"/>
          <w:lang w:val="en-US"/>
        </w:rPr>
        <w:t>stable</w:t>
      </w:r>
      <w:r w:rsidR="003C04B6">
        <w:rPr>
          <w:rFonts w:asciiTheme="minorHAnsi" w:hAnsiTheme="minorHAnsi"/>
          <w:lang w:val="en-US"/>
        </w:rPr>
        <w:t xml:space="preserve"> DTD Brent </w:t>
      </w:r>
      <w:r w:rsidR="003C04B6">
        <w:rPr>
          <w:rFonts w:asciiTheme="minorHAnsi" w:hAnsiTheme="minorHAnsi"/>
          <w:lang w:val="en-US"/>
        </w:rPr>
        <w:lastRenderedPageBreak/>
        <w:t>price, higher diesel crack spread</w:t>
      </w:r>
      <w:r w:rsidR="00624953">
        <w:rPr>
          <w:rFonts w:asciiTheme="minorHAnsi" w:hAnsiTheme="minorHAnsi"/>
          <w:lang w:val="en-US"/>
        </w:rPr>
        <w:t xml:space="preserve"> and more </w:t>
      </w:r>
      <w:r w:rsidR="00BA1B39">
        <w:rPr>
          <w:rFonts w:asciiTheme="minorHAnsi" w:hAnsiTheme="minorHAnsi"/>
          <w:lang w:val="en-US"/>
        </w:rPr>
        <w:t>favorable</w:t>
      </w:r>
      <w:r w:rsidR="00624953">
        <w:rPr>
          <w:rFonts w:asciiTheme="minorHAnsi" w:hAnsiTheme="minorHAnsi"/>
          <w:lang w:val="en-US"/>
        </w:rPr>
        <w:t xml:space="preserve"> fuel oil spread which impacted refining margins positively. Also</w:t>
      </w:r>
      <w:r w:rsidR="003C04B6">
        <w:rPr>
          <w:rFonts w:asciiTheme="minorHAnsi" w:hAnsiTheme="minorHAnsi"/>
          <w:lang w:val="en-US"/>
        </w:rPr>
        <w:t>,</w:t>
      </w:r>
      <w:r w:rsidR="00624953">
        <w:rPr>
          <w:rFonts w:asciiTheme="minorHAnsi" w:hAnsiTheme="minorHAnsi"/>
          <w:lang w:val="en-US"/>
        </w:rPr>
        <w:t xml:space="preserve"> </w:t>
      </w:r>
      <w:r w:rsidR="00E679C0">
        <w:rPr>
          <w:rFonts w:asciiTheme="minorHAnsi" w:hAnsiTheme="minorHAnsi"/>
          <w:lang w:val="en-US"/>
        </w:rPr>
        <w:t>total s</w:t>
      </w:r>
      <w:r w:rsidR="003C04B6">
        <w:rPr>
          <w:rFonts w:asciiTheme="minorHAnsi" w:hAnsiTheme="minorHAnsi"/>
          <w:lang w:val="en-US"/>
        </w:rPr>
        <w:t xml:space="preserve">ales </w:t>
      </w:r>
      <w:r w:rsidR="00E679C0">
        <w:rPr>
          <w:rFonts w:asciiTheme="minorHAnsi" w:hAnsiTheme="minorHAnsi"/>
          <w:lang w:val="en-US"/>
        </w:rPr>
        <w:t xml:space="preserve">volumes increased on the back of higher sales </w:t>
      </w:r>
      <w:r w:rsidR="003C04B6">
        <w:rPr>
          <w:rFonts w:asciiTheme="minorHAnsi" w:hAnsiTheme="minorHAnsi"/>
          <w:lang w:val="en-US"/>
        </w:rPr>
        <w:t xml:space="preserve">on </w:t>
      </w:r>
      <w:r w:rsidR="00A14FA5">
        <w:rPr>
          <w:rFonts w:asciiTheme="minorHAnsi" w:hAnsiTheme="minorHAnsi"/>
          <w:lang w:val="en-US"/>
        </w:rPr>
        <w:t xml:space="preserve">both </w:t>
      </w:r>
      <w:r w:rsidR="003C04B6">
        <w:rPr>
          <w:rFonts w:asciiTheme="minorHAnsi" w:hAnsiTheme="minorHAnsi"/>
          <w:lang w:val="en-US"/>
        </w:rPr>
        <w:t xml:space="preserve">captive </w:t>
      </w:r>
      <w:r w:rsidR="00A14FA5">
        <w:rPr>
          <w:rFonts w:asciiTheme="minorHAnsi" w:hAnsiTheme="minorHAnsi"/>
          <w:lang w:val="en-US"/>
        </w:rPr>
        <w:t xml:space="preserve">and other export </w:t>
      </w:r>
      <w:r w:rsidR="003C04B6">
        <w:rPr>
          <w:rFonts w:asciiTheme="minorHAnsi" w:hAnsiTheme="minorHAnsi"/>
          <w:lang w:val="en-US"/>
        </w:rPr>
        <w:t xml:space="preserve">markets. </w:t>
      </w:r>
      <w:r w:rsidR="0009627E">
        <w:rPr>
          <w:rFonts w:asciiTheme="minorHAnsi" w:hAnsiTheme="minorHAnsi"/>
          <w:lang w:val="en-US"/>
        </w:rPr>
        <w:t>Higher refining margins and sales demand resulted in higher p</w:t>
      </w:r>
      <w:r w:rsidR="003C04B6">
        <w:rPr>
          <w:rFonts w:asciiTheme="minorHAnsi" w:hAnsiTheme="minorHAnsi"/>
          <w:lang w:val="en-US"/>
        </w:rPr>
        <w:t xml:space="preserve">rocessing levels </w:t>
      </w:r>
      <w:r w:rsidR="0009627E">
        <w:rPr>
          <w:rFonts w:asciiTheme="minorHAnsi" w:hAnsiTheme="minorHAnsi"/>
          <w:lang w:val="en-US"/>
        </w:rPr>
        <w:t>in</w:t>
      </w:r>
      <w:r w:rsidR="003C04B6">
        <w:rPr>
          <w:rFonts w:asciiTheme="minorHAnsi" w:hAnsiTheme="minorHAnsi"/>
          <w:lang w:val="en-US"/>
        </w:rPr>
        <w:t xml:space="preserve"> </w:t>
      </w:r>
      <w:r w:rsidR="0029042B">
        <w:rPr>
          <w:rFonts w:asciiTheme="minorHAnsi" w:hAnsiTheme="minorHAnsi"/>
          <w:lang w:val="en-US"/>
        </w:rPr>
        <w:t>refineries</w:t>
      </w:r>
      <w:r w:rsidR="003C04B6">
        <w:rPr>
          <w:rFonts w:asciiTheme="minorHAnsi" w:hAnsiTheme="minorHAnsi"/>
          <w:lang w:val="en-US"/>
        </w:rPr>
        <w:t xml:space="preserve">. Retail sales volumes grew mainly thanks to </w:t>
      </w:r>
      <w:r w:rsidR="0029042B" w:rsidRPr="0029042B">
        <w:rPr>
          <w:rFonts w:asciiTheme="minorHAnsi" w:hAnsiTheme="minorHAnsi"/>
          <w:lang w:val="en-US"/>
        </w:rPr>
        <w:t xml:space="preserve">network expansion with </w:t>
      </w:r>
      <w:proofErr w:type="spellStart"/>
      <w:r w:rsidR="0029042B" w:rsidRPr="0029042B">
        <w:rPr>
          <w:rFonts w:asciiTheme="minorHAnsi" w:hAnsiTheme="minorHAnsi"/>
          <w:lang w:val="en-US"/>
        </w:rPr>
        <w:t>Energopetrol</w:t>
      </w:r>
      <w:proofErr w:type="spellEnd"/>
      <w:r w:rsidR="0029042B" w:rsidRPr="0029042B">
        <w:rPr>
          <w:rFonts w:asciiTheme="minorHAnsi" w:hAnsiTheme="minorHAnsi"/>
          <w:lang w:val="en-US"/>
        </w:rPr>
        <w:t xml:space="preserve"> consolidation and further assisted with active sales of Class P</w:t>
      </w:r>
      <w:r w:rsidR="0029042B">
        <w:rPr>
          <w:rFonts w:asciiTheme="minorHAnsi" w:hAnsiTheme="minorHAnsi"/>
          <w:lang w:val="en-US"/>
        </w:rPr>
        <w:t>lus</w:t>
      </w:r>
      <w:r w:rsidR="0029042B" w:rsidRPr="0029042B">
        <w:rPr>
          <w:rFonts w:asciiTheme="minorHAnsi" w:hAnsiTheme="minorHAnsi"/>
          <w:lang w:val="en-US"/>
        </w:rPr>
        <w:t xml:space="preserve"> fuel (started in Q2 2017)</w:t>
      </w:r>
      <w:r w:rsidR="003C04B6" w:rsidRPr="0029042B">
        <w:rPr>
          <w:rFonts w:asciiTheme="minorHAnsi" w:hAnsiTheme="minorHAnsi"/>
          <w:lang w:val="en-US"/>
        </w:rPr>
        <w:t>.</w:t>
      </w:r>
      <w:r w:rsidR="005E2957" w:rsidRPr="0029042B">
        <w:rPr>
          <w:rFonts w:asciiTheme="minorHAnsi" w:hAnsiTheme="minorHAnsi"/>
          <w:lang w:val="en-US"/>
        </w:rPr>
        <w:t xml:space="preserve"> </w:t>
      </w:r>
      <w:r w:rsidR="0029042B" w:rsidRPr="0029042B">
        <w:rPr>
          <w:rFonts w:asciiTheme="minorHAnsi" w:hAnsiTheme="minorHAnsi"/>
          <w:lang w:val="en-US"/>
        </w:rPr>
        <w:t xml:space="preserve">Non-fuel margin increased on the back of continuous investment and development activities in goods segment, contributing 21% to total Retail margin. </w:t>
      </w:r>
      <w:r w:rsidR="003C04B6" w:rsidRPr="0029042B">
        <w:rPr>
          <w:rFonts w:asciiTheme="minorHAnsi" w:hAnsiTheme="minorHAnsi"/>
          <w:lang w:val="en-US"/>
        </w:rPr>
        <w:t xml:space="preserve">Total </w:t>
      </w:r>
      <w:r w:rsidR="003C04B6" w:rsidRPr="003C04B6">
        <w:rPr>
          <w:rFonts w:asciiTheme="minorHAnsi" w:hAnsiTheme="minorHAnsi"/>
          <w:lang w:val="en-US"/>
        </w:rPr>
        <w:t xml:space="preserve">CAPEX amounted to HRK </w:t>
      </w:r>
      <w:r w:rsidR="0029042B">
        <w:rPr>
          <w:rFonts w:asciiTheme="minorHAnsi" w:hAnsiTheme="minorHAnsi"/>
          <w:lang w:val="en-US"/>
        </w:rPr>
        <w:t>244</w:t>
      </w:r>
      <w:r w:rsidR="003C04B6" w:rsidRPr="003C04B6">
        <w:rPr>
          <w:rFonts w:asciiTheme="minorHAnsi" w:hAnsiTheme="minorHAnsi"/>
          <w:lang w:val="en-US"/>
        </w:rPr>
        <w:t xml:space="preserve"> million; HRK </w:t>
      </w:r>
      <w:r w:rsidR="0029042B">
        <w:rPr>
          <w:rFonts w:asciiTheme="minorHAnsi" w:hAnsiTheme="minorHAnsi"/>
          <w:lang w:val="en-US"/>
        </w:rPr>
        <w:t>205</w:t>
      </w:r>
      <w:r w:rsidR="003C04B6" w:rsidRPr="003C04B6">
        <w:rPr>
          <w:rFonts w:asciiTheme="minorHAnsi" w:hAnsiTheme="minorHAnsi"/>
          <w:lang w:val="en-US"/>
        </w:rPr>
        <w:t xml:space="preserve"> million in R&amp;M and HRK </w:t>
      </w:r>
      <w:r w:rsidR="0029042B">
        <w:rPr>
          <w:rFonts w:asciiTheme="minorHAnsi" w:hAnsiTheme="minorHAnsi"/>
          <w:lang w:val="en-US"/>
        </w:rPr>
        <w:t>39</w:t>
      </w:r>
      <w:r w:rsidR="003C04B6" w:rsidRPr="003C04B6">
        <w:rPr>
          <w:rFonts w:asciiTheme="minorHAnsi" w:hAnsiTheme="minorHAnsi"/>
          <w:lang w:val="en-US"/>
        </w:rPr>
        <w:t xml:space="preserve"> million in Retail</w:t>
      </w:r>
      <w:r w:rsidR="003C04B6">
        <w:rPr>
          <w:rFonts w:asciiTheme="minorHAnsi" w:hAnsiTheme="minorHAnsi"/>
          <w:lang w:val="en-US"/>
        </w:rPr>
        <w:t xml:space="preserve">. </w:t>
      </w:r>
      <w:r w:rsidR="003C04B6" w:rsidRPr="003C04B6">
        <w:rPr>
          <w:rFonts w:asciiTheme="minorHAnsi" w:hAnsiTheme="minorHAnsi"/>
          <w:lang w:val="en-US"/>
        </w:rPr>
        <w:t xml:space="preserve">On </w:t>
      </w:r>
      <w:r w:rsidR="0029042B">
        <w:rPr>
          <w:rFonts w:asciiTheme="minorHAnsi" w:hAnsiTheme="minorHAnsi"/>
          <w:lang w:val="en-US"/>
        </w:rPr>
        <w:t>June</w:t>
      </w:r>
      <w:r w:rsidR="003C04B6" w:rsidRPr="003C04B6">
        <w:rPr>
          <w:rFonts w:asciiTheme="minorHAnsi" w:hAnsiTheme="minorHAnsi"/>
          <w:lang w:val="en-US"/>
        </w:rPr>
        <w:t xml:space="preserve"> 3</w:t>
      </w:r>
      <w:r w:rsidR="0029042B">
        <w:rPr>
          <w:rFonts w:asciiTheme="minorHAnsi" w:hAnsiTheme="minorHAnsi"/>
          <w:lang w:val="en-US"/>
        </w:rPr>
        <w:t>0</w:t>
      </w:r>
      <w:r w:rsidR="003C04B6" w:rsidRPr="003C04B6">
        <w:rPr>
          <w:rFonts w:asciiTheme="minorHAnsi" w:hAnsiTheme="minorHAnsi"/>
          <w:lang w:val="en-US"/>
        </w:rPr>
        <w:t>, 201</w:t>
      </w:r>
      <w:r w:rsidR="003C04B6">
        <w:rPr>
          <w:rFonts w:asciiTheme="minorHAnsi" w:hAnsiTheme="minorHAnsi"/>
          <w:lang w:val="en-US"/>
        </w:rPr>
        <w:t>7</w:t>
      </w:r>
      <w:r w:rsidR="003C04B6" w:rsidRPr="003C04B6">
        <w:rPr>
          <w:rFonts w:asciiTheme="minorHAnsi" w:hAnsiTheme="minorHAnsi"/>
          <w:lang w:val="en-US"/>
        </w:rPr>
        <w:t>, INA Group operated a network of 49</w:t>
      </w:r>
      <w:r w:rsidR="0029042B">
        <w:rPr>
          <w:rFonts w:asciiTheme="minorHAnsi" w:hAnsiTheme="minorHAnsi"/>
          <w:lang w:val="en-US"/>
        </w:rPr>
        <w:t>4</w:t>
      </w:r>
      <w:r w:rsidR="003C04B6" w:rsidRPr="003C04B6">
        <w:rPr>
          <w:rFonts w:asciiTheme="minorHAnsi" w:hAnsiTheme="minorHAnsi"/>
          <w:lang w:val="en-US"/>
        </w:rPr>
        <w:t xml:space="preserve"> retail sites</w:t>
      </w:r>
      <w:r w:rsidR="003C04B6">
        <w:rPr>
          <w:rFonts w:asciiTheme="minorHAnsi" w:hAnsiTheme="minorHAnsi"/>
          <w:lang w:val="en-US"/>
        </w:rPr>
        <w:t>.</w:t>
      </w:r>
    </w:p>
    <w:p w14:paraId="47463B7B" w14:textId="6E311943" w:rsidR="00594C4A" w:rsidRDefault="00594C4A" w:rsidP="00594C4A">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62FA7BA9" wp14:editId="05C4E926">
            <wp:extent cx="3005455" cy="2341245"/>
            <wp:effectExtent l="0" t="0" r="444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55" cy="2341245"/>
                    </a:xfrm>
                    <a:prstGeom prst="rect">
                      <a:avLst/>
                    </a:prstGeom>
                    <a:noFill/>
                  </pic:spPr>
                </pic:pic>
              </a:graphicData>
            </a:graphic>
          </wp:inline>
        </w:drawing>
      </w:r>
    </w:p>
    <w:p w14:paraId="6CA323F6" w14:textId="5A1B45B9" w:rsidR="00594C4A" w:rsidRDefault="00594C4A" w:rsidP="00594C4A">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3A1FC6A9" wp14:editId="582D3A1D">
            <wp:extent cx="3005455" cy="2322830"/>
            <wp:effectExtent l="0" t="0" r="444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5455" cy="2322830"/>
                    </a:xfrm>
                    <a:prstGeom prst="rect">
                      <a:avLst/>
                    </a:prstGeom>
                    <a:noFill/>
                  </pic:spPr>
                </pic:pic>
              </a:graphicData>
            </a:graphic>
          </wp:inline>
        </w:drawing>
      </w:r>
    </w:p>
    <w:p w14:paraId="664CB24A" w14:textId="3826C783" w:rsidR="005E2957" w:rsidRDefault="004E3A45" w:rsidP="00884F6F">
      <w:pPr>
        <w:spacing w:line="360" w:lineRule="auto"/>
        <w:jc w:val="both"/>
        <w:rPr>
          <w:rFonts w:asciiTheme="minorHAnsi" w:hAnsiTheme="minorHAnsi"/>
          <w:lang w:val="en-US"/>
        </w:rPr>
      </w:pPr>
      <w:r w:rsidRPr="004E3A45">
        <w:rPr>
          <w:rFonts w:asciiTheme="minorHAnsi" w:hAnsiTheme="minorHAnsi"/>
          <w:lang w:val="en-US"/>
        </w:rPr>
        <w:lastRenderedPageBreak/>
        <w:t xml:space="preserve">Net gearing </w:t>
      </w:r>
      <w:r w:rsidR="003D1032">
        <w:rPr>
          <w:rFonts w:asciiTheme="minorHAnsi" w:hAnsiTheme="minorHAnsi"/>
          <w:lang w:val="en-US"/>
        </w:rPr>
        <w:t>amounted</w:t>
      </w:r>
      <w:r w:rsidRPr="004E3A45">
        <w:rPr>
          <w:rFonts w:asciiTheme="minorHAnsi" w:hAnsiTheme="minorHAnsi"/>
          <w:lang w:val="en-US"/>
        </w:rPr>
        <w:t xml:space="preserve"> to </w:t>
      </w:r>
      <w:r w:rsidR="0029042B">
        <w:rPr>
          <w:rFonts w:asciiTheme="minorHAnsi" w:hAnsiTheme="minorHAnsi"/>
          <w:lang w:val="en-US"/>
        </w:rPr>
        <w:t>15.</w:t>
      </w:r>
      <w:r w:rsidR="00286524">
        <w:rPr>
          <w:rFonts w:asciiTheme="minorHAnsi" w:hAnsiTheme="minorHAnsi"/>
          <w:lang w:val="en-US"/>
        </w:rPr>
        <w:t>3</w:t>
      </w:r>
      <w:r w:rsidRPr="004E3A45">
        <w:rPr>
          <w:rFonts w:asciiTheme="minorHAnsi" w:hAnsiTheme="minorHAnsi"/>
          <w:lang w:val="en-US"/>
        </w:rPr>
        <w:t xml:space="preserve">%, whilst net debt reached HRK </w:t>
      </w:r>
      <w:r w:rsidR="003D1032">
        <w:rPr>
          <w:rFonts w:asciiTheme="minorHAnsi" w:hAnsiTheme="minorHAnsi"/>
          <w:lang w:val="en-US"/>
        </w:rPr>
        <w:t>2,</w:t>
      </w:r>
      <w:r w:rsidR="0029042B">
        <w:rPr>
          <w:rFonts w:asciiTheme="minorHAnsi" w:hAnsiTheme="minorHAnsi"/>
          <w:lang w:val="en-US"/>
        </w:rPr>
        <w:t>026</w:t>
      </w:r>
      <w:r w:rsidRPr="004E3A45">
        <w:rPr>
          <w:rFonts w:asciiTheme="minorHAnsi" w:hAnsiTheme="minorHAnsi"/>
          <w:lang w:val="en-US"/>
        </w:rPr>
        <w:t xml:space="preserve"> million.</w:t>
      </w:r>
      <w:bookmarkEnd w:id="0"/>
    </w:p>
    <w:p w14:paraId="6DA6FBC9" w14:textId="21CF9EF1" w:rsidR="00594C4A" w:rsidRPr="00884F6F" w:rsidRDefault="00594C4A" w:rsidP="00594C4A">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06D6BBE7" wp14:editId="1256AA4A">
            <wp:extent cx="3005455" cy="2316480"/>
            <wp:effectExtent l="0" t="0" r="444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p w14:paraId="42C0B532" w14:textId="671D0C91" w:rsidR="00286524" w:rsidRPr="00884F6F" w:rsidRDefault="00286524" w:rsidP="00E11167">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745E4CAD" wp14:editId="4AACED6B">
            <wp:extent cx="3005455" cy="23164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sectPr w:rsidR="00286524" w:rsidRPr="00884F6F" w:rsidSect="004712BC">
      <w:headerReference w:type="default" r:id="rId20"/>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48E6F" w14:textId="77777777" w:rsidR="00CE549E" w:rsidRDefault="00CE549E" w:rsidP="00E11167">
      <w:r>
        <w:separator/>
      </w:r>
    </w:p>
  </w:endnote>
  <w:endnote w:type="continuationSeparator" w:id="0">
    <w:p w14:paraId="5DAC7756" w14:textId="77777777" w:rsidR="00CE549E" w:rsidRDefault="00CE549E" w:rsidP="00E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31052F" w:rsidRPr="00CD53EE" w14:paraId="5A04EDED" w14:textId="77777777" w:rsidTr="005A16DD">
      <w:trPr>
        <w:cantSplit/>
        <w:trHeight w:val="517"/>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31052F" w:rsidRPr="00CD53EE" w14:paraId="22698974" w14:textId="77777777" w:rsidTr="005A16DD">
            <w:trPr>
              <w:cantSplit/>
              <w:trHeight w:val="181"/>
            </w:trPr>
            <w:tc>
              <w:tcPr>
                <w:tcW w:w="1998" w:type="dxa"/>
                <w:vMerge w:val="restart"/>
                <w:tcBorders>
                  <w:top w:val="single" w:sz="4" w:space="0" w:color="auto"/>
                  <w:left w:val="nil"/>
                  <w:right w:val="nil"/>
                </w:tcBorders>
              </w:tcPr>
              <w:p w14:paraId="54044130" w14:textId="77777777" w:rsidR="0031052F" w:rsidRPr="00E22D6A" w:rsidRDefault="0031052F" w:rsidP="0031052F">
                <w:pPr>
                  <w:pStyle w:val="Footer"/>
                  <w:spacing w:before="20" w:after="20"/>
                  <w:rPr>
                    <w:rFonts w:cs="Arial"/>
                    <w:b/>
                    <w:bCs/>
                    <w:sz w:val="14"/>
                    <w:szCs w:val="14"/>
                  </w:rPr>
                </w:pPr>
                <w:r w:rsidRPr="00E22D6A">
                  <w:rPr>
                    <w:rFonts w:cs="Arial"/>
                    <w:b/>
                    <w:bCs/>
                    <w:sz w:val="14"/>
                    <w:szCs w:val="14"/>
                  </w:rPr>
                  <w:t>INA, d.d.</w:t>
                </w:r>
              </w:p>
              <w:p w14:paraId="4245BA42" w14:textId="77777777" w:rsidR="0031052F" w:rsidRPr="00126238" w:rsidRDefault="0031052F" w:rsidP="0031052F">
                <w:pPr>
                  <w:pStyle w:val="Footer"/>
                  <w:rPr>
                    <w:rFonts w:cs="Arial"/>
                    <w:sz w:val="11"/>
                    <w:szCs w:val="11"/>
                  </w:rPr>
                </w:pPr>
                <w:r w:rsidRPr="00126238">
                  <w:rPr>
                    <w:rFonts w:cs="Arial"/>
                    <w:sz w:val="11"/>
                    <w:szCs w:val="11"/>
                  </w:rPr>
                  <w:t xml:space="preserve">Avenija Većeslava Holjevca 10 </w:t>
                </w:r>
              </w:p>
              <w:p w14:paraId="08075E6E" w14:textId="77777777" w:rsidR="0031052F" w:rsidRPr="00126238" w:rsidRDefault="0031052F" w:rsidP="0031052F">
                <w:pPr>
                  <w:pStyle w:val="Footer"/>
                  <w:rPr>
                    <w:rFonts w:cs="Arial"/>
                    <w:sz w:val="11"/>
                    <w:szCs w:val="11"/>
                  </w:rPr>
                </w:pPr>
                <w:r w:rsidRPr="00126238">
                  <w:rPr>
                    <w:rFonts w:cs="Arial"/>
                    <w:sz w:val="11"/>
                    <w:szCs w:val="11"/>
                  </w:rPr>
                  <w:t>10 002 Zagreb    p.p. 555</w:t>
                </w:r>
              </w:p>
              <w:p w14:paraId="1DBE5D62" w14:textId="77777777" w:rsidR="0031052F" w:rsidRPr="00126238" w:rsidRDefault="0031052F" w:rsidP="0031052F">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2B112DA7" w14:textId="77777777" w:rsidR="0031052F" w:rsidRPr="00126238" w:rsidRDefault="0031052F" w:rsidP="0031052F">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4D112A39" w14:textId="77777777" w:rsidR="0031052F" w:rsidRPr="00CD53EE" w:rsidRDefault="0031052F" w:rsidP="0031052F">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268D9C48" w14:textId="77777777" w:rsidR="0031052F" w:rsidRPr="00E938AF" w:rsidRDefault="0031052F" w:rsidP="0031052F">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21B14C40" w14:textId="77777777" w:rsidR="0031052F" w:rsidRPr="00E938AF" w:rsidRDefault="0031052F" w:rsidP="0031052F">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29C701C7" w14:textId="77777777" w:rsidR="0031052F" w:rsidRPr="00E938AF" w:rsidRDefault="0031052F" w:rsidP="0031052F">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529BF08E" w14:textId="77777777" w:rsidR="0031052F" w:rsidRPr="00126238" w:rsidRDefault="0031052F" w:rsidP="0031052F">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43685971" w14:textId="77777777" w:rsidR="0031052F" w:rsidRPr="00126238" w:rsidRDefault="0031052F" w:rsidP="0031052F">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153C266F"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MBS: 080000604</w:t>
                </w:r>
              </w:p>
              <w:p w14:paraId="3F9B36C2" w14:textId="77777777" w:rsidR="0031052F" w:rsidRPr="00126238" w:rsidRDefault="0031052F" w:rsidP="0031052F">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4090806D"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029BA82C"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288F59E8" w14:textId="77777777" w:rsidR="0031052F" w:rsidRPr="00126238" w:rsidRDefault="0031052F" w:rsidP="0031052F">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1E78DC6C"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1DACDC20"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0B8576A5" w14:textId="77777777" w:rsidR="0031052F"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1A254234" w14:textId="77777777" w:rsidR="0031052F" w:rsidRPr="00721675" w:rsidRDefault="0031052F" w:rsidP="0031052F">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31052F" w:rsidRPr="00CD53EE" w14:paraId="5515BC2C" w14:textId="77777777" w:rsidTr="005A16DD">
            <w:trPr>
              <w:cantSplit/>
              <w:trHeight w:val="1304"/>
            </w:trPr>
            <w:tc>
              <w:tcPr>
                <w:tcW w:w="1998" w:type="dxa"/>
                <w:vMerge/>
                <w:tcBorders>
                  <w:left w:val="nil"/>
                  <w:bottom w:val="nil"/>
                  <w:right w:val="nil"/>
                </w:tcBorders>
              </w:tcPr>
              <w:p w14:paraId="45CAE255" w14:textId="77777777" w:rsidR="0031052F" w:rsidRPr="00CD53EE" w:rsidRDefault="0031052F" w:rsidP="0031052F">
                <w:pPr>
                  <w:pStyle w:val="Footer"/>
                  <w:rPr>
                    <w:rFonts w:cs="Arial"/>
                    <w:b/>
                    <w:bCs/>
                    <w:sz w:val="11"/>
                    <w:szCs w:val="11"/>
                  </w:rPr>
                </w:pPr>
              </w:p>
            </w:tc>
            <w:tc>
              <w:tcPr>
                <w:tcW w:w="1554" w:type="dxa"/>
                <w:tcBorders>
                  <w:top w:val="nil"/>
                  <w:left w:val="nil"/>
                  <w:bottom w:val="nil"/>
                  <w:right w:val="nil"/>
                </w:tcBorders>
              </w:tcPr>
              <w:p w14:paraId="1359C3C1"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75B773AA" w14:textId="77777777" w:rsidR="0031052F" w:rsidRPr="00E938AF" w:rsidRDefault="0031052F" w:rsidP="0031052F">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19DD3593"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565D02C5"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49402C83"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3DF87B7A" w14:textId="77777777" w:rsidR="0031052F" w:rsidRPr="00AC0994" w:rsidRDefault="0031052F" w:rsidP="0031052F">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00A5C1A7" w14:textId="77777777" w:rsidR="0031052F" w:rsidRDefault="0031052F" w:rsidP="0031052F">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7202DE56" w14:textId="77777777" w:rsidR="0031052F" w:rsidRPr="00E938AF"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73186BB2" w14:textId="77777777" w:rsidR="0031052F" w:rsidRDefault="0031052F" w:rsidP="0031052F">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0AE88AF9" w14:textId="77777777" w:rsidR="0031052F" w:rsidRPr="00E938AF" w:rsidRDefault="0031052F" w:rsidP="0031052F">
                <w:pPr>
                  <w:pStyle w:val="Footer"/>
                  <w:spacing w:line="216" w:lineRule="auto"/>
                  <w:ind w:left="-108"/>
                  <w:rPr>
                    <w:rFonts w:ascii="Arial Narrow" w:hAnsi="Arial Narrow"/>
                    <w:sz w:val="10"/>
                    <w:szCs w:val="10"/>
                    <w:lang w:bidi="ta-IN"/>
                  </w:rPr>
                </w:pPr>
              </w:p>
              <w:p w14:paraId="162816F3" w14:textId="77777777" w:rsidR="0031052F" w:rsidRDefault="0031052F" w:rsidP="0031052F">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1B052D5D" w14:textId="77777777" w:rsidR="0031052F" w:rsidRPr="00E938AF" w:rsidRDefault="0031052F" w:rsidP="0031052F">
                <w:pPr>
                  <w:pStyle w:val="Footer"/>
                  <w:spacing w:line="216" w:lineRule="auto"/>
                  <w:ind w:left="-108"/>
                  <w:rPr>
                    <w:rFonts w:ascii="Arial Narrow" w:hAnsi="Arial Narrow"/>
                    <w:sz w:val="10"/>
                    <w:szCs w:val="10"/>
                    <w:lang w:bidi="ta-IN"/>
                  </w:rPr>
                </w:pPr>
              </w:p>
              <w:p w14:paraId="30AA0E65" w14:textId="77777777" w:rsidR="0031052F"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06F708B8" w14:textId="77777777" w:rsidR="0031052F" w:rsidRPr="00E938AF" w:rsidRDefault="0031052F" w:rsidP="0031052F">
                <w:pPr>
                  <w:pStyle w:val="Footer"/>
                  <w:spacing w:line="216" w:lineRule="auto"/>
                  <w:ind w:left="-108"/>
                  <w:rPr>
                    <w:rFonts w:ascii="Arial Narrow" w:hAnsi="Arial Narrow"/>
                    <w:sz w:val="10"/>
                    <w:szCs w:val="10"/>
                    <w:lang w:bidi="ta-IN"/>
                  </w:rPr>
                </w:pPr>
              </w:p>
              <w:p w14:paraId="4E162E05" w14:textId="77777777" w:rsidR="0031052F" w:rsidRPr="00126238"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43F051FA" w14:textId="77777777" w:rsidR="0031052F" w:rsidRPr="00E938AF" w:rsidRDefault="0031052F" w:rsidP="0031052F">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7585CDB1"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2930F264"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55CFC02B"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1E0C034C"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4DE72DA3" w14:textId="77777777" w:rsidR="0031052F" w:rsidRPr="00AC0994" w:rsidRDefault="0031052F" w:rsidP="0031052F">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38CE9471"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68217ECD" w14:textId="77777777" w:rsidR="0031052F" w:rsidRDefault="0031052F" w:rsidP="0031052F">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680A70D0" w14:textId="77777777" w:rsidR="0031052F" w:rsidRDefault="0031052F" w:rsidP="0031052F">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7396BC71" w14:textId="77777777" w:rsidR="0031052F" w:rsidRDefault="0031052F" w:rsidP="0031052F">
                <w:pPr>
                  <w:pStyle w:val="Footer"/>
                  <w:spacing w:line="216" w:lineRule="auto"/>
                  <w:ind w:left="-108" w:right="-66"/>
                  <w:rPr>
                    <w:rFonts w:ascii="Arial Narrow" w:hAnsi="Arial Narrow"/>
                    <w:sz w:val="10"/>
                    <w:szCs w:val="10"/>
                    <w:lang w:bidi="ta-IN"/>
                  </w:rPr>
                </w:pPr>
              </w:p>
              <w:p w14:paraId="78C835EE"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33C9E778" w14:textId="77777777" w:rsidR="0031052F" w:rsidRDefault="0031052F" w:rsidP="0031052F">
                <w:pPr>
                  <w:pStyle w:val="Footer"/>
                  <w:spacing w:line="216" w:lineRule="auto"/>
                  <w:ind w:left="-108" w:right="-66"/>
                  <w:rPr>
                    <w:rFonts w:ascii="Arial Narrow" w:hAnsi="Arial Narrow"/>
                    <w:sz w:val="10"/>
                    <w:szCs w:val="10"/>
                    <w:lang w:bidi="ta-IN"/>
                  </w:rPr>
                </w:pPr>
              </w:p>
              <w:p w14:paraId="63C1B1BF"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18CCCD59" w14:textId="77777777" w:rsidR="0031052F" w:rsidRDefault="0031052F" w:rsidP="0031052F">
                <w:pPr>
                  <w:pStyle w:val="Footer"/>
                  <w:spacing w:line="216" w:lineRule="auto"/>
                  <w:ind w:left="-108" w:right="-66"/>
                  <w:rPr>
                    <w:rFonts w:ascii="Arial Narrow" w:hAnsi="Arial Narrow"/>
                    <w:sz w:val="10"/>
                    <w:szCs w:val="10"/>
                    <w:lang w:bidi="ta-IN"/>
                  </w:rPr>
                </w:pPr>
              </w:p>
              <w:p w14:paraId="03EE8476" w14:textId="77777777" w:rsidR="0031052F" w:rsidRPr="00E938AF" w:rsidRDefault="0031052F" w:rsidP="0031052F">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705C4E06"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202A2DFF"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0D33662F"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07E3C4B0"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47FD3C79"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5905D20F" w14:textId="77777777" w:rsidR="0031052F" w:rsidRPr="00AC0994" w:rsidRDefault="0031052F" w:rsidP="0031052F">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4F587D10"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10C2B312"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185C6E5E" w14:textId="77777777" w:rsidR="0031052F" w:rsidRPr="00126238" w:rsidRDefault="0031052F" w:rsidP="0031052F">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2D02C1CC"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5DD18B0B"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4AD02054"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2D750F9B"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7EE48605"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1FF6706B" w14:textId="77777777" w:rsidR="0031052F" w:rsidRPr="00126238" w:rsidRDefault="0031052F" w:rsidP="0031052F">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4C43836D" w14:textId="77777777" w:rsidR="0031052F" w:rsidRPr="00CD53EE" w:rsidRDefault="0031052F" w:rsidP="0031052F">
                <w:pPr>
                  <w:pStyle w:val="Footer"/>
                  <w:rPr>
                    <w:rFonts w:cs="Arial"/>
                    <w:sz w:val="11"/>
                    <w:szCs w:val="11"/>
                  </w:rPr>
                </w:pPr>
              </w:p>
            </w:tc>
          </w:tr>
          <w:tr w:rsidR="0031052F" w:rsidRPr="00CD53EE" w14:paraId="1489FDEB" w14:textId="77777777" w:rsidTr="005A16DD">
            <w:trPr>
              <w:cantSplit/>
              <w:trHeight w:val="300"/>
            </w:trPr>
            <w:tc>
              <w:tcPr>
                <w:tcW w:w="7305" w:type="dxa"/>
                <w:gridSpan w:val="4"/>
                <w:tcBorders>
                  <w:top w:val="nil"/>
                  <w:left w:val="nil"/>
                  <w:bottom w:val="nil"/>
                  <w:right w:val="nil"/>
                </w:tcBorders>
                <w:vAlign w:val="bottom"/>
              </w:tcPr>
              <w:p w14:paraId="3DE0BA14" w14:textId="77777777" w:rsidR="0031052F" w:rsidRPr="00A17F18" w:rsidRDefault="0031052F" w:rsidP="0031052F">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714F5FCA" w14:textId="77777777" w:rsidR="0031052F" w:rsidRPr="00A17F18" w:rsidRDefault="0031052F" w:rsidP="0031052F">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14:paraId="0D1AB003" w14:textId="77777777" w:rsidR="0031052F" w:rsidRPr="009E4E6F" w:rsidRDefault="0031052F" w:rsidP="0031052F">
                <w:pPr>
                  <w:pStyle w:val="Footer"/>
                  <w:spacing w:line="216" w:lineRule="auto"/>
                  <w:ind w:right="-108"/>
                  <w:rPr>
                    <w:rFonts w:cs="Arial"/>
                    <w:sz w:val="4"/>
                    <w:szCs w:val="4"/>
                  </w:rPr>
                </w:pPr>
              </w:p>
              <w:p w14:paraId="53DF1EA8" w14:textId="77777777" w:rsidR="0031052F" w:rsidRPr="00CD53EE" w:rsidRDefault="0031052F" w:rsidP="00B5179A">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B5179A">
                  <w:rPr>
                    <w:rFonts w:cs="Arial"/>
                    <w:sz w:val="11"/>
                    <w:szCs w:val="11"/>
                  </w:rPr>
                  <w:t xml:space="preserve">Damir </w:t>
                </w:r>
                <w:proofErr w:type="spellStart"/>
                <w:r w:rsidR="00B5179A">
                  <w:rPr>
                    <w:rFonts w:cs="Arial"/>
                    <w:sz w:val="11"/>
                    <w:szCs w:val="11"/>
                  </w:rPr>
                  <w:t>Vanđelić</w:t>
                </w:r>
                <w:proofErr w:type="spellEnd"/>
              </w:p>
            </w:tc>
            <w:tc>
              <w:tcPr>
                <w:tcW w:w="2159" w:type="dxa"/>
                <w:vMerge/>
                <w:tcBorders>
                  <w:left w:val="nil"/>
                  <w:bottom w:val="nil"/>
                  <w:right w:val="nil"/>
                </w:tcBorders>
              </w:tcPr>
              <w:p w14:paraId="31A7FC62" w14:textId="77777777" w:rsidR="0031052F" w:rsidRPr="00CD53EE" w:rsidRDefault="0031052F" w:rsidP="0031052F">
                <w:pPr>
                  <w:pStyle w:val="Footer"/>
                  <w:rPr>
                    <w:rFonts w:cs="Arial"/>
                    <w:sz w:val="11"/>
                    <w:szCs w:val="11"/>
                  </w:rPr>
                </w:pPr>
              </w:p>
            </w:tc>
          </w:tr>
        </w:tbl>
        <w:p w14:paraId="0CDECA56" w14:textId="77777777" w:rsidR="0031052F" w:rsidRPr="00CD53EE" w:rsidRDefault="0031052F" w:rsidP="0031052F">
          <w:pPr>
            <w:pStyle w:val="Footer"/>
            <w:rPr>
              <w:sz w:val="11"/>
              <w:szCs w:val="11"/>
            </w:rPr>
          </w:pPr>
        </w:p>
      </w:tc>
    </w:tr>
    <w:tr w:rsidR="0031052F" w:rsidRPr="00CD53EE" w14:paraId="51081D16" w14:textId="77777777" w:rsidTr="005A16DD">
      <w:trPr>
        <w:cantSplit/>
        <w:trHeight w:val="710"/>
      </w:trPr>
      <w:tc>
        <w:tcPr>
          <w:tcW w:w="9680" w:type="dxa"/>
          <w:vMerge/>
          <w:tcBorders>
            <w:left w:val="nil"/>
            <w:bottom w:val="nil"/>
            <w:right w:val="nil"/>
          </w:tcBorders>
        </w:tcPr>
        <w:p w14:paraId="0A288F24" w14:textId="77777777" w:rsidR="0031052F" w:rsidRPr="00CD53EE" w:rsidRDefault="0031052F" w:rsidP="0031052F">
          <w:pPr>
            <w:pStyle w:val="Footer"/>
            <w:rPr>
              <w:rFonts w:cs="Arial"/>
              <w:b/>
              <w:bCs/>
              <w:sz w:val="11"/>
              <w:szCs w:val="11"/>
            </w:rPr>
          </w:pPr>
        </w:p>
      </w:tc>
    </w:tr>
  </w:tbl>
  <w:p w14:paraId="3F50B9FF" w14:textId="77777777" w:rsidR="00E11167" w:rsidRPr="00C31612" w:rsidRDefault="00E11167" w:rsidP="00C31612">
    <w:pPr>
      <w:pStyle w:val="Footer"/>
      <w:jc w:val="right"/>
      <w:rPr>
        <w:rFonts w:ascii="Arial" w:hAnsi="Arial" w:cs="Arial"/>
        <w:sz w:val="20"/>
      </w:rPr>
    </w:pPr>
    <w:r w:rsidRPr="005B4643">
      <w:rPr>
        <w:rFonts w:ascii="Arial" w:hAnsi="Arial" w:cs="Arial"/>
        <w:sz w:val="20"/>
      </w:rPr>
      <w:fldChar w:fldCharType="begin"/>
    </w:r>
    <w:r w:rsidRPr="005B4643">
      <w:rPr>
        <w:rFonts w:ascii="Arial" w:hAnsi="Arial" w:cs="Arial"/>
        <w:sz w:val="20"/>
      </w:rPr>
      <w:instrText xml:space="preserve"> PAGE   \* MERGEFORMAT </w:instrText>
    </w:r>
    <w:r w:rsidRPr="005B4643">
      <w:rPr>
        <w:rFonts w:ascii="Arial" w:hAnsi="Arial" w:cs="Arial"/>
        <w:sz w:val="20"/>
      </w:rPr>
      <w:fldChar w:fldCharType="separate"/>
    </w:r>
    <w:r w:rsidR="00221587">
      <w:rPr>
        <w:rFonts w:ascii="Arial" w:hAnsi="Arial" w:cs="Arial"/>
        <w:noProof/>
        <w:sz w:val="20"/>
      </w:rPr>
      <w:t>7</w:t>
    </w:r>
    <w:r w:rsidRPr="005B4643">
      <w:rPr>
        <w:rFonts w:ascii="Arial" w:hAnsi="Arial" w:cs="Arial"/>
        <w:noProof/>
        <w:sz w:val="20"/>
      </w:rPr>
      <w:fldChar w:fldCharType="end"/>
    </w:r>
  </w:p>
  <w:p w14:paraId="16FC3FC9" w14:textId="77777777" w:rsidR="00E11167" w:rsidRDefault="00E11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A5187" w14:textId="77777777" w:rsidR="00CE549E" w:rsidRDefault="00CE549E" w:rsidP="00E11167">
      <w:r>
        <w:separator/>
      </w:r>
    </w:p>
  </w:footnote>
  <w:footnote w:type="continuationSeparator" w:id="0">
    <w:p w14:paraId="25317638" w14:textId="77777777" w:rsidR="00CE549E" w:rsidRDefault="00CE549E" w:rsidP="00E11167">
      <w:r>
        <w:continuationSeparator/>
      </w:r>
    </w:p>
  </w:footnote>
  <w:footnote w:id="1">
    <w:p w14:paraId="4D09FD1D" w14:textId="77777777" w:rsidR="003B716D" w:rsidRDefault="003B716D">
      <w:pPr>
        <w:pStyle w:val="FootnoteText"/>
      </w:pPr>
      <w:r>
        <w:rPr>
          <w:rStyle w:val="FootnoteReference"/>
        </w:rPr>
        <w:footnoteRef/>
      </w:r>
      <w:r>
        <w:t xml:space="preserve"> </w:t>
      </w:r>
      <w:r w:rsidRPr="00E32811">
        <w:rPr>
          <w:rFonts w:asciiTheme="minorHAnsi" w:hAnsiTheme="minorHAnsi"/>
          <w:sz w:val="16"/>
          <w:szCs w:val="16"/>
          <w:lang w:val="en-GB"/>
        </w:rPr>
        <w:t>EBITDA = EBIT + Depreciation + Impairment +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BA1" w14:textId="77777777" w:rsidR="00E11167" w:rsidRDefault="00E11167">
    <w:pPr>
      <w:pStyle w:val="Header"/>
    </w:pPr>
    <w:r>
      <w:rPr>
        <w:noProof/>
        <w:lang w:eastAsia="hr-HR"/>
      </w:rPr>
      <w:drawing>
        <wp:inline distT="0" distB="0" distL="0" distR="0" wp14:anchorId="1C7E0210" wp14:editId="2921E56C">
          <wp:extent cx="1213485" cy="451485"/>
          <wp:effectExtent l="0" t="0" r="5715" b="571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inline>
      </w:drawing>
    </w:r>
  </w:p>
  <w:p w14:paraId="40813F3F" w14:textId="77777777" w:rsidR="00E11167" w:rsidRDefault="00E111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BBFA" w14:textId="77777777" w:rsidR="002620FE" w:rsidRDefault="00860C04">
    <w:pPr>
      <w:pStyle w:val="Header"/>
    </w:pPr>
    <w:r>
      <w:rPr>
        <w:noProof/>
        <w:lang w:eastAsia="hr-HR"/>
      </w:rPr>
      <w:drawing>
        <wp:anchor distT="0" distB="0" distL="114300" distR="114300" simplePos="0" relativeHeight="251659264" behindDoc="0" locked="0" layoutInCell="1" allowOverlap="1" wp14:anchorId="146B3043" wp14:editId="6F272D83">
          <wp:simplePos x="0" y="0"/>
          <wp:positionH relativeFrom="column">
            <wp:posOffset>153035</wp:posOffset>
          </wp:positionH>
          <wp:positionV relativeFrom="paragraph">
            <wp:posOffset>243205</wp:posOffset>
          </wp:positionV>
          <wp:extent cx="1213485" cy="451485"/>
          <wp:effectExtent l="0" t="0" r="5715"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2A57"/>
    <w:multiLevelType w:val="hybridMultilevel"/>
    <w:tmpl w:val="EFECC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BF36D7"/>
    <w:multiLevelType w:val="hybridMultilevel"/>
    <w:tmpl w:val="27FC5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EF7D71"/>
    <w:multiLevelType w:val="hybridMultilevel"/>
    <w:tmpl w:val="4E92B6C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55CB8"/>
    <w:multiLevelType w:val="hybridMultilevel"/>
    <w:tmpl w:val="8D5A1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E656952"/>
    <w:multiLevelType w:val="hybridMultilevel"/>
    <w:tmpl w:val="65E47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A"/>
    <w:rsid w:val="00001691"/>
    <w:rsid w:val="000051E2"/>
    <w:rsid w:val="000145A6"/>
    <w:rsid w:val="00015C4D"/>
    <w:rsid w:val="0002103D"/>
    <w:rsid w:val="00022EA9"/>
    <w:rsid w:val="00024352"/>
    <w:rsid w:val="00044D71"/>
    <w:rsid w:val="000620E4"/>
    <w:rsid w:val="00076862"/>
    <w:rsid w:val="0007706D"/>
    <w:rsid w:val="0008261A"/>
    <w:rsid w:val="0009627E"/>
    <w:rsid w:val="000977E3"/>
    <w:rsid w:val="000A0BFF"/>
    <w:rsid w:val="000A1C74"/>
    <w:rsid w:val="000B085A"/>
    <w:rsid w:val="000B327E"/>
    <w:rsid w:val="000D3599"/>
    <w:rsid w:val="000D5616"/>
    <w:rsid w:val="000D5FAE"/>
    <w:rsid w:val="000E49A0"/>
    <w:rsid w:val="00100EF1"/>
    <w:rsid w:val="0012110D"/>
    <w:rsid w:val="00122C9F"/>
    <w:rsid w:val="00130D5B"/>
    <w:rsid w:val="00137D7A"/>
    <w:rsid w:val="0014051C"/>
    <w:rsid w:val="001465F7"/>
    <w:rsid w:val="00153421"/>
    <w:rsid w:val="00157B79"/>
    <w:rsid w:val="00160C7A"/>
    <w:rsid w:val="001637B1"/>
    <w:rsid w:val="00184D21"/>
    <w:rsid w:val="00191574"/>
    <w:rsid w:val="001920E9"/>
    <w:rsid w:val="001A34F1"/>
    <w:rsid w:val="001A56A4"/>
    <w:rsid w:val="001B504C"/>
    <w:rsid w:val="001C4991"/>
    <w:rsid w:val="001D07B9"/>
    <w:rsid w:val="001D6D41"/>
    <w:rsid w:val="001E2E51"/>
    <w:rsid w:val="001E7160"/>
    <w:rsid w:val="0020107F"/>
    <w:rsid w:val="002027D9"/>
    <w:rsid w:val="002035F0"/>
    <w:rsid w:val="0022082F"/>
    <w:rsid w:val="00221587"/>
    <w:rsid w:val="00236461"/>
    <w:rsid w:val="002379B9"/>
    <w:rsid w:val="00243769"/>
    <w:rsid w:val="00267526"/>
    <w:rsid w:val="002828FC"/>
    <w:rsid w:val="00286524"/>
    <w:rsid w:val="0029042B"/>
    <w:rsid w:val="00294AD2"/>
    <w:rsid w:val="002A3AA7"/>
    <w:rsid w:val="002A46A5"/>
    <w:rsid w:val="002B0266"/>
    <w:rsid w:val="002B0D57"/>
    <w:rsid w:val="002B25C3"/>
    <w:rsid w:val="002B5522"/>
    <w:rsid w:val="002C08BB"/>
    <w:rsid w:val="002C4680"/>
    <w:rsid w:val="002D03F1"/>
    <w:rsid w:val="002E64F1"/>
    <w:rsid w:val="002F4F8F"/>
    <w:rsid w:val="003064F6"/>
    <w:rsid w:val="00306C62"/>
    <w:rsid w:val="0031052F"/>
    <w:rsid w:val="00312674"/>
    <w:rsid w:val="00323E45"/>
    <w:rsid w:val="0034119D"/>
    <w:rsid w:val="0034194B"/>
    <w:rsid w:val="00343CB6"/>
    <w:rsid w:val="00345092"/>
    <w:rsid w:val="003502F8"/>
    <w:rsid w:val="00377E51"/>
    <w:rsid w:val="003A058C"/>
    <w:rsid w:val="003A415F"/>
    <w:rsid w:val="003A4B6F"/>
    <w:rsid w:val="003B05BB"/>
    <w:rsid w:val="003B716D"/>
    <w:rsid w:val="003C04B6"/>
    <w:rsid w:val="003C144F"/>
    <w:rsid w:val="003C3E10"/>
    <w:rsid w:val="003C5325"/>
    <w:rsid w:val="003D1032"/>
    <w:rsid w:val="004031D0"/>
    <w:rsid w:val="00403560"/>
    <w:rsid w:val="00420474"/>
    <w:rsid w:val="00424221"/>
    <w:rsid w:val="00437FE2"/>
    <w:rsid w:val="00440FBB"/>
    <w:rsid w:val="0044294B"/>
    <w:rsid w:val="00445122"/>
    <w:rsid w:val="00454D5E"/>
    <w:rsid w:val="00470234"/>
    <w:rsid w:val="004837CD"/>
    <w:rsid w:val="004A2423"/>
    <w:rsid w:val="004B22DE"/>
    <w:rsid w:val="004B5F6B"/>
    <w:rsid w:val="004B6427"/>
    <w:rsid w:val="004C05F6"/>
    <w:rsid w:val="004C19C0"/>
    <w:rsid w:val="004C2CCB"/>
    <w:rsid w:val="004D45B1"/>
    <w:rsid w:val="004D7DA5"/>
    <w:rsid w:val="004E29DD"/>
    <w:rsid w:val="004E3A45"/>
    <w:rsid w:val="004F779A"/>
    <w:rsid w:val="00500264"/>
    <w:rsid w:val="00514E34"/>
    <w:rsid w:val="005168B8"/>
    <w:rsid w:val="00525D79"/>
    <w:rsid w:val="00533201"/>
    <w:rsid w:val="0054365E"/>
    <w:rsid w:val="005551FB"/>
    <w:rsid w:val="00563375"/>
    <w:rsid w:val="00564017"/>
    <w:rsid w:val="0057395D"/>
    <w:rsid w:val="00585635"/>
    <w:rsid w:val="00594C4A"/>
    <w:rsid w:val="005B2EB0"/>
    <w:rsid w:val="005C38B7"/>
    <w:rsid w:val="005E2957"/>
    <w:rsid w:val="005E3132"/>
    <w:rsid w:val="00613575"/>
    <w:rsid w:val="00614F46"/>
    <w:rsid w:val="00624953"/>
    <w:rsid w:val="0062739C"/>
    <w:rsid w:val="006316AB"/>
    <w:rsid w:val="006356CC"/>
    <w:rsid w:val="00635A02"/>
    <w:rsid w:val="00641E5E"/>
    <w:rsid w:val="00652641"/>
    <w:rsid w:val="00656555"/>
    <w:rsid w:val="00662E8C"/>
    <w:rsid w:val="00674DAB"/>
    <w:rsid w:val="00675D4B"/>
    <w:rsid w:val="00682C6F"/>
    <w:rsid w:val="0069146C"/>
    <w:rsid w:val="006B3FDB"/>
    <w:rsid w:val="006C3F16"/>
    <w:rsid w:val="006C5480"/>
    <w:rsid w:val="006C6A9B"/>
    <w:rsid w:val="006C6B69"/>
    <w:rsid w:val="006D2E0C"/>
    <w:rsid w:val="006D3B40"/>
    <w:rsid w:val="006D4B5E"/>
    <w:rsid w:val="006E3B76"/>
    <w:rsid w:val="006F110E"/>
    <w:rsid w:val="006F736D"/>
    <w:rsid w:val="00717FE0"/>
    <w:rsid w:val="00733996"/>
    <w:rsid w:val="00740D64"/>
    <w:rsid w:val="007421B9"/>
    <w:rsid w:val="00746587"/>
    <w:rsid w:val="007611DB"/>
    <w:rsid w:val="00775E00"/>
    <w:rsid w:val="00776446"/>
    <w:rsid w:val="00787C8C"/>
    <w:rsid w:val="0079289D"/>
    <w:rsid w:val="007B1D62"/>
    <w:rsid w:val="007B78E8"/>
    <w:rsid w:val="007C48E7"/>
    <w:rsid w:val="007C4A11"/>
    <w:rsid w:val="007C616B"/>
    <w:rsid w:val="007D0B49"/>
    <w:rsid w:val="007D2B00"/>
    <w:rsid w:val="007E249E"/>
    <w:rsid w:val="007F5C60"/>
    <w:rsid w:val="00801824"/>
    <w:rsid w:val="00804CDB"/>
    <w:rsid w:val="008055F8"/>
    <w:rsid w:val="00806940"/>
    <w:rsid w:val="00811B68"/>
    <w:rsid w:val="008245B5"/>
    <w:rsid w:val="0082771B"/>
    <w:rsid w:val="008314E9"/>
    <w:rsid w:val="008407F2"/>
    <w:rsid w:val="008433DD"/>
    <w:rsid w:val="00843EF9"/>
    <w:rsid w:val="00844B80"/>
    <w:rsid w:val="008525D8"/>
    <w:rsid w:val="00854049"/>
    <w:rsid w:val="008608AF"/>
    <w:rsid w:val="00860C04"/>
    <w:rsid w:val="008729F9"/>
    <w:rsid w:val="00884F6F"/>
    <w:rsid w:val="008869EC"/>
    <w:rsid w:val="0089733E"/>
    <w:rsid w:val="008C3678"/>
    <w:rsid w:val="008C3B67"/>
    <w:rsid w:val="008C498C"/>
    <w:rsid w:val="008D348D"/>
    <w:rsid w:val="008D374F"/>
    <w:rsid w:val="008D62A4"/>
    <w:rsid w:val="008D7A67"/>
    <w:rsid w:val="008D7C10"/>
    <w:rsid w:val="008E4A3C"/>
    <w:rsid w:val="008E6FAA"/>
    <w:rsid w:val="008F4F64"/>
    <w:rsid w:val="00905F02"/>
    <w:rsid w:val="009202EC"/>
    <w:rsid w:val="00936614"/>
    <w:rsid w:val="00936D1C"/>
    <w:rsid w:val="009423F3"/>
    <w:rsid w:val="0095123F"/>
    <w:rsid w:val="00951609"/>
    <w:rsid w:val="00951CC0"/>
    <w:rsid w:val="0095304D"/>
    <w:rsid w:val="009605EA"/>
    <w:rsid w:val="0096259C"/>
    <w:rsid w:val="0096370E"/>
    <w:rsid w:val="00963837"/>
    <w:rsid w:val="00964084"/>
    <w:rsid w:val="00964CEE"/>
    <w:rsid w:val="00965E50"/>
    <w:rsid w:val="009674DF"/>
    <w:rsid w:val="009A526A"/>
    <w:rsid w:val="009A65B0"/>
    <w:rsid w:val="009B1563"/>
    <w:rsid w:val="009B4B71"/>
    <w:rsid w:val="009C2E39"/>
    <w:rsid w:val="009C3AE9"/>
    <w:rsid w:val="009D4A49"/>
    <w:rsid w:val="009D78B9"/>
    <w:rsid w:val="009E0B0E"/>
    <w:rsid w:val="009E1B40"/>
    <w:rsid w:val="009E4296"/>
    <w:rsid w:val="009E66E6"/>
    <w:rsid w:val="009F0513"/>
    <w:rsid w:val="00A008F2"/>
    <w:rsid w:val="00A03FCD"/>
    <w:rsid w:val="00A044C5"/>
    <w:rsid w:val="00A13A97"/>
    <w:rsid w:val="00A14FA5"/>
    <w:rsid w:val="00A24E4E"/>
    <w:rsid w:val="00A25916"/>
    <w:rsid w:val="00A26553"/>
    <w:rsid w:val="00A27057"/>
    <w:rsid w:val="00A333D4"/>
    <w:rsid w:val="00A42244"/>
    <w:rsid w:val="00A45C61"/>
    <w:rsid w:val="00A4619E"/>
    <w:rsid w:val="00A52CE0"/>
    <w:rsid w:val="00A86B3D"/>
    <w:rsid w:val="00A9095D"/>
    <w:rsid w:val="00AA110D"/>
    <w:rsid w:val="00AA198B"/>
    <w:rsid w:val="00AA6B9A"/>
    <w:rsid w:val="00AC36A2"/>
    <w:rsid w:val="00AC5201"/>
    <w:rsid w:val="00AC7225"/>
    <w:rsid w:val="00AD0553"/>
    <w:rsid w:val="00AD6FB0"/>
    <w:rsid w:val="00AE1DF2"/>
    <w:rsid w:val="00AF047B"/>
    <w:rsid w:val="00AF07FE"/>
    <w:rsid w:val="00B00DC8"/>
    <w:rsid w:val="00B03B83"/>
    <w:rsid w:val="00B0729E"/>
    <w:rsid w:val="00B10FBC"/>
    <w:rsid w:val="00B12351"/>
    <w:rsid w:val="00B1300C"/>
    <w:rsid w:val="00B22218"/>
    <w:rsid w:val="00B25B6A"/>
    <w:rsid w:val="00B3698F"/>
    <w:rsid w:val="00B45BCA"/>
    <w:rsid w:val="00B515FD"/>
    <w:rsid w:val="00B5179A"/>
    <w:rsid w:val="00B526AA"/>
    <w:rsid w:val="00B6018C"/>
    <w:rsid w:val="00B6110C"/>
    <w:rsid w:val="00B64A28"/>
    <w:rsid w:val="00B64C55"/>
    <w:rsid w:val="00B66EFE"/>
    <w:rsid w:val="00B72AA9"/>
    <w:rsid w:val="00B800D6"/>
    <w:rsid w:val="00B826CA"/>
    <w:rsid w:val="00B86C00"/>
    <w:rsid w:val="00B87D18"/>
    <w:rsid w:val="00B938CE"/>
    <w:rsid w:val="00B93CAD"/>
    <w:rsid w:val="00B93F58"/>
    <w:rsid w:val="00B963BE"/>
    <w:rsid w:val="00BA1B39"/>
    <w:rsid w:val="00BB7E47"/>
    <w:rsid w:val="00BC17C1"/>
    <w:rsid w:val="00BC2243"/>
    <w:rsid w:val="00BC3116"/>
    <w:rsid w:val="00BC4D3C"/>
    <w:rsid w:val="00BC6DA2"/>
    <w:rsid w:val="00BD6B46"/>
    <w:rsid w:val="00BE1014"/>
    <w:rsid w:val="00BE5903"/>
    <w:rsid w:val="00C04DD4"/>
    <w:rsid w:val="00C120CE"/>
    <w:rsid w:val="00C15AA9"/>
    <w:rsid w:val="00C176E0"/>
    <w:rsid w:val="00C254B6"/>
    <w:rsid w:val="00C2591E"/>
    <w:rsid w:val="00C31612"/>
    <w:rsid w:val="00C320AE"/>
    <w:rsid w:val="00C44385"/>
    <w:rsid w:val="00C83B13"/>
    <w:rsid w:val="00C87E06"/>
    <w:rsid w:val="00C91307"/>
    <w:rsid w:val="00C96F23"/>
    <w:rsid w:val="00CA05F9"/>
    <w:rsid w:val="00CA2A27"/>
    <w:rsid w:val="00CA6C05"/>
    <w:rsid w:val="00CC1889"/>
    <w:rsid w:val="00CC3DA2"/>
    <w:rsid w:val="00CD3CDE"/>
    <w:rsid w:val="00CE549E"/>
    <w:rsid w:val="00CF785A"/>
    <w:rsid w:val="00D0219A"/>
    <w:rsid w:val="00D07A08"/>
    <w:rsid w:val="00D1387C"/>
    <w:rsid w:val="00D146C3"/>
    <w:rsid w:val="00D154C7"/>
    <w:rsid w:val="00D17547"/>
    <w:rsid w:val="00D23B4F"/>
    <w:rsid w:val="00D300A0"/>
    <w:rsid w:val="00D32742"/>
    <w:rsid w:val="00D32D71"/>
    <w:rsid w:val="00D46074"/>
    <w:rsid w:val="00D526FE"/>
    <w:rsid w:val="00D53879"/>
    <w:rsid w:val="00D73D54"/>
    <w:rsid w:val="00D76269"/>
    <w:rsid w:val="00D839F5"/>
    <w:rsid w:val="00D839FC"/>
    <w:rsid w:val="00D87711"/>
    <w:rsid w:val="00D90601"/>
    <w:rsid w:val="00DA3120"/>
    <w:rsid w:val="00DA3E9F"/>
    <w:rsid w:val="00DA612F"/>
    <w:rsid w:val="00DA6398"/>
    <w:rsid w:val="00DB7889"/>
    <w:rsid w:val="00DD24C5"/>
    <w:rsid w:val="00DE154A"/>
    <w:rsid w:val="00E11167"/>
    <w:rsid w:val="00E16591"/>
    <w:rsid w:val="00E2763D"/>
    <w:rsid w:val="00E3411F"/>
    <w:rsid w:val="00E34F0E"/>
    <w:rsid w:val="00E36CEC"/>
    <w:rsid w:val="00E411F8"/>
    <w:rsid w:val="00E43DE4"/>
    <w:rsid w:val="00E65F1B"/>
    <w:rsid w:val="00E679C0"/>
    <w:rsid w:val="00E77309"/>
    <w:rsid w:val="00E81039"/>
    <w:rsid w:val="00E96AA4"/>
    <w:rsid w:val="00EA103B"/>
    <w:rsid w:val="00EC4A5A"/>
    <w:rsid w:val="00ED5844"/>
    <w:rsid w:val="00EE046A"/>
    <w:rsid w:val="00EE2482"/>
    <w:rsid w:val="00EE66EC"/>
    <w:rsid w:val="00EE7B7B"/>
    <w:rsid w:val="00EF1C2A"/>
    <w:rsid w:val="00F01BFD"/>
    <w:rsid w:val="00F01D8C"/>
    <w:rsid w:val="00F021ED"/>
    <w:rsid w:val="00F17A6A"/>
    <w:rsid w:val="00F21047"/>
    <w:rsid w:val="00F404CF"/>
    <w:rsid w:val="00F41B0B"/>
    <w:rsid w:val="00F46F7D"/>
    <w:rsid w:val="00F5111C"/>
    <w:rsid w:val="00F625A5"/>
    <w:rsid w:val="00F62ED5"/>
    <w:rsid w:val="00F63C49"/>
    <w:rsid w:val="00F64128"/>
    <w:rsid w:val="00F70DD1"/>
    <w:rsid w:val="00F71197"/>
    <w:rsid w:val="00F80FBA"/>
    <w:rsid w:val="00F82176"/>
    <w:rsid w:val="00F8747C"/>
    <w:rsid w:val="00F90450"/>
    <w:rsid w:val="00FB1B29"/>
    <w:rsid w:val="00FB5E97"/>
    <w:rsid w:val="00FB6FDF"/>
    <w:rsid w:val="00FC0F17"/>
    <w:rsid w:val="00FC1049"/>
    <w:rsid w:val="00FC2F59"/>
    <w:rsid w:val="00FC3C14"/>
    <w:rsid w:val="00FD0873"/>
    <w:rsid w:val="00FD52FC"/>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1D24136"/>
  <w15:docId w15:val="{DCF2F1A3-F28A-4830-A49B-432BD135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167"/>
    <w:pPr>
      <w:tabs>
        <w:tab w:val="center" w:pos="4536"/>
        <w:tab w:val="right" w:pos="9072"/>
      </w:tabs>
    </w:pPr>
  </w:style>
  <w:style w:type="character" w:customStyle="1" w:styleId="HeaderChar">
    <w:name w:val="Header Char"/>
    <w:basedOn w:val="DefaultParagraphFont"/>
    <w:link w:val="Header"/>
    <w:rsid w:val="00E11167"/>
    <w:rPr>
      <w:rFonts w:ascii="Times New Roman" w:eastAsia="Times New Roman" w:hAnsi="Times New Roman" w:cs="Times New Roman"/>
      <w:sz w:val="24"/>
      <w:szCs w:val="24"/>
    </w:rPr>
  </w:style>
  <w:style w:type="paragraph" w:styleId="Footer">
    <w:name w:val="footer"/>
    <w:basedOn w:val="Normal"/>
    <w:link w:val="FooterChar"/>
    <w:uiPriority w:val="99"/>
    <w:rsid w:val="00E11167"/>
    <w:pPr>
      <w:tabs>
        <w:tab w:val="center" w:pos="4536"/>
        <w:tab w:val="right" w:pos="9072"/>
      </w:tabs>
    </w:pPr>
  </w:style>
  <w:style w:type="character" w:customStyle="1" w:styleId="FooterChar">
    <w:name w:val="Footer Char"/>
    <w:basedOn w:val="DefaultParagraphFont"/>
    <w:link w:val="Footer"/>
    <w:uiPriority w:val="99"/>
    <w:rsid w:val="00E11167"/>
    <w:rPr>
      <w:rFonts w:ascii="Times New Roman" w:eastAsia="Times New Roman" w:hAnsi="Times New Roman" w:cs="Times New Roman"/>
      <w:sz w:val="24"/>
      <w:szCs w:val="24"/>
    </w:rPr>
  </w:style>
  <w:style w:type="character" w:styleId="Hyperlink">
    <w:name w:val="Hyperlink"/>
    <w:rsid w:val="00E11167"/>
    <w:rPr>
      <w:color w:val="0000FF"/>
      <w:u w:val="single"/>
    </w:rPr>
  </w:style>
  <w:style w:type="paragraph" w:styleId="FootnoteText">
    <w:name w:val="footnote text"/>
    <w:aliases w:val=" Char2"/>
    <w:basedOn w:val="Normal"/>
    <w:link w:val="FootnoteTextChar"/>
    <w:uiPriority w:val="99"/>
    <w:semiHidden/>
    <w:rsid w:val="00E11167"/>
    <w:rPr>
      <w:sz w:val="20"/>
      <w:szCs w:val="20"/>
    </w:rPr>
  </w:style>
  <w:style w:type="character" w:customStyle="1" w:styleId="FootnoteTextChar">
    <w:name w:val="Footnote Text Char"/>
    <w:aliases w:val=" Char2 Char"/>
    <w:basedOn w:val="DefaultParagraphFont"/>
    <w:link w:val="FootnoteText"/>
    <w:uiPriority w:val="99"/>
    <w:semiHidden/>
    <w:rsid w:val="00E11167"/>
    <w:rPr>
      <w:rFonts w:ascii="Times New Roman" w:eastAsia="Times New Roman" w:hAnsi="Times New Roman" w:cs="Times New Roman"/>
      <w:sz w:val="20"/>
      <w:szCs w:val="20"/>
    </w:rPr>
  </w:style>
  <w:style w:type="character" w:styleId="FootnoteReference">
    <w:name w:val="footnote reference"/>
    <w:uiPriority w:val="99"/>
    <w:semiHidden/>
    <w:rsid w:val="00E11167"/>
    <w:rPr>
      <w:vertAlign w:val="superscript"/>
    </w:rPr>
  </w:style>
  <w:style w:type="paragraph" w:styleId="ListParagraph">
    <w:name w:val="List Paragraph"/>
    <w:basedOn w:val="Normal"/>
    <w:link w:val="ListParagraphChar"/>
    <w:uiPriority w:val="34"/>
    <w:qFormat/>
    <w:rsid w:val="00E11167"/>
    <w:pPr>
      <w:ind w:left="720"/>
      <w:contextualSpacing/>
    </w:pPr>
  </w:style>
  <w:style w:type="paragraph" w:styleId="BalloonText">
    <w:name w:val="Balloon Text"/>
    <w:basedOn w:val="Normal"/>
    <w:link w:val="BalloonTextChar"/>
    <w:uiPriority w:val="99"/>
    <w:semiHidden/>
    <w:unhideWhenUsed/>
    <w:rsid w:val="00D0219A"/>
    <w:rPr>
      <w:rFonts w:ascii="Tahoma" w:hAnsi="Tahoma" w:cs="Tahoma"/>
      <w:sz w:val="16"/>
      <w:szCs w:val="16"/>
    </w:rPr>
  </w:style>
  <w:style w:type="character" w:customStyle="1" w:styleId="BalloonTextChar">
    <w:name w:val="Balloon Text Char"/>
    <w:basedOn w:val="DefaultParagraphFont"/>
    <w:link w:val="BalloonText"/>
    <w:uiPriority w:val="99"/>
    <w:semiHidden/>
    <w:rsid w:val="00D0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4296"/>
    <w:rPr>
      <w:sz w:val="16"/>
      <w:szCs w:val="16"/>
    </w:rPr>
  </w:style>
  <w:style w:type="paragraph" w:styleId="CommentText">
    <w:name w:val="annotation text"/>
    <w:basedOn w:val="Normal"/>
    <w:link w:val="CommentTextChar"/>
    <w:uiPriority w:val="99"/>
    <w:semiHidden/>
    <w:unhideWhenUsed/>
    <w:rsid w:val="009E4296"/>
    <w:rPr>
      <w:sz w:val="20"/>
      <w:szCs w:val="20"/>
    </w:rPr>
  </w:style>
  <w:style w:type="character" w:customStyle="1" w:styleId="CommentTextChar">
    <w:name w:val="Comment Text Char"/>
    <w:basedOn w:val="DefaultParagraphFont"/>
    <w:link w:val="CommentText"/>
    <w:uiPriority w:val="99"/>
    <w:semiHidden/>
    <w:rsid w:val="009E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96"/>
    <w:rPr>
      <w:b/>
      <w:bCs/>
    </w:rPr>
  </w:style>
  <w:style w:type="character" w:customStyle="1" w:styleId="CommentSubjectChar">
    <w:name w:val="Comment Subject Char"/>
    <w:basedOn w:val="CommentTextChar"/>
    <w:link w:val="CommentSubject"/>
    <w:uiPriority w:val="99"/>
    <w:semiHidden/>
    <w:rsid w:val="009E42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2742"/>
    <w:rPr>
      <w:color w:val="800080" w:themeColor="followedHyperlink"/>
      <w:u w:val="single"/>
    </w:rPr>
  </w:style>
  <w:style w:type="character" w:customStyle="1" w:styleId="ListParagraphChar">
    <w:name w:val="List Paragraph Char"/>
    <w:basedOn w:val="DefaultParagraphFont"/>
    <w:link w:val="ListParagraph"/>
    <w:uiPriority w:val="34"/>
    <w:locked/>
    <w:rsid w:val="0029042B"/>
    <w:rPr>
      <w:rFonts w:ascii="Times New Roman" w:eastAsia="Times New Roman" w:hAnsi="Times New Roman" w:cs="Times New Roman"/>
      <w:sz w:val="24"/>
      <w:szCs w:val="24"/>
    </w:rPr>
  </w:style>
  <w:style w:type="paragraph" w:styleId="Revision">
    <w:name w:val="Revision"/>
    <w:hidden/>
    <w:uiPriority w:val="99"/>
    <w:semiHidden/>
    <w:rsid w:val="008433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928">
      <w:bodyDiv w:val="1"/>
      <w:marLeft w:val="0"/>
      <w:marRight w:val="0"/>
      <w:marTop w:val="0"/>
      <w:marBottom w:val="0"/>
      <w:divBdr>
        <w:top w:val="none" w:sz="0" w:space="0" w:color="auto"/>
        <w:left w:val="none" w:sz="0" w:space="0" w:color="auto"/>
        <w:bottom w:val="none" w:sz="0" w:space="0" w:color="auto"/>
        <w:right w:val="none" w:sz="0" w:space="0" w:color="auto"/>
      </w:divBdr>
    </w:div>
    <w:div w:id="230039202">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73369418">
      <w:bodyDiv w:val="1"/>
      <w:marLeft w:val="0"/>
      <w:marRight w:val="0"/>
      <w:marTop w:val="0"/>
      <w:marBottom w:val="0"/>
      <w:divBdr>
        <w:top w:val="none" w:sz="0" w:space="0" w:color="auto"/>
        <w:left w:val="none" w:sz="0" w:space="0" w:color="auto"/>
        <w:bottom w:val="none" w:sz="0" w:space="0" w:color="auto"/>
        <w:right w:val="none" w:sz="0" w:space="0" w:color="auto"/>
      </w:divBdr>
    </w:div>
    <w:div w:id="404377855">
      <w:bodyDiv w:val="1"/>
      <w:marLeft w:val="0"/>
      <w:marRight w:val="0"/>
      <w:marTop w:val="0"/>
      <w:marBottom w:val="0"/>
      <w:divBdr>
        <w:top w:val="none" w:sz="0" w:space="0" w:color="auto"/>
        <w:left w:val="none" w:sz="0" w:space="0" w:color="auto"/>
        <w:bottom w:val="none" w:sz="0" w:space="0" w:color="auto"/>
        <w:right w:val="none" w:sz="0" w:space="0" w:color="auto"/>
      </w:divBdr>
    </w:div>
    <w:div w:id="515464781">
      <w:bodyDiv w:val="1"/>
      <w:marLeft w:val="0"/>
      <w:marRight w:val="0"/>
      <w:marTop w:val="0"/>
      <w:marBottom w:val="0"/>
      <w:divBdr>
        <w:top w:val="none" w:sz="0" w:space="0" w:color="auto"/>
        <w:left w:val="none" w:sz="0" w:space="0" w:color="auto"/>
        <w:bottom w:val="none" w:sz="0" w:space="0" w:color="auto"/>
        <w:right w:val="none" w:sz="0" w:space="0" w:color="auto"/>
      </w:divBdr>
    </w:div>
    <w:div w:id="836118908">
      <w:bodyDiv w:val="1"/>
      <w:marLeft w:val="0"/>
      <w:marRight w:val="0"/>
      <w:marTop w:val="0"/>
      <w:marBottom w:val="0"/>
      <w:divBdr>
        <w:top w:val="none" w:sz="0" w:space="0" w:color="auto"/>
        <w:left w:val="none" w:sz="0" w:space="0" w:color="auto"/>
        <w:bottom w:val="none" w:sz="0" w:space="0" w:color="auto"/>
        <w:right w:val="none" w:sz="0" w:space="0" w:color="auto"/>
      </w:divBdr>
    </w:div>
    <w:div w:id="1866601631">
      <w:bodyDiv w:val="1"/>
      <w:marLeft w:val="0"/>
      <w:marRight w:val="0"/>
      <w:marTop w:val="0"/>
      <w:marBottom w:val="0"/>
      <w:divBdr>
        <w:top w:val="none" w:sz="0" w:space="0" w:color="auto"/>
        <w:left w:val="none" w:sz="0" w:space="0" w:color="auto"/>
        <w:bottom w:val="none" w:sz="0" w:space="0" w:color="auto"/>
        <w:right w:val="none" w:sz="0" w:space="0" w:color="auto"/>
      </w:divBdr>
    </w:div>
    <w:div w:id="1902054941">
      <w:bodyDiv w:val="1"/>
      <w:marLeft w:val="0"/>
      <w:marRight w:val="0"/>
      <w:marTop w:val="0"/>
      <w:marBottom w:val="0"/>
      <w:divBdr>
        <w:top w:val="none" w:sz="0" w:space="0" w:color="auto"/>
        <w:left w:val="none" w:sz="0" w:space="0" w:color="auto"/>
        <w:bottom w:val="none" w:sz="0" w:space="0" w:color="auto"/>
        <w:right w:val="none" w:sz="0" w:space="0" w:color="auto"/>
      </w:divBdr>
    </w:div>
    <w:div w:id="2077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ina.hr"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2755-0B04-4DE5-813F-D48D10F9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Knežević Sandra</cp:lastModifiedBy>
  <cp:revision>8</cp:revision>
  <cp:lastPrinted>2017-07-24T12:08:00Z</cp:lastPrinted>
  <dcterms:created xsi:type="dcterms:W3CDTF">2017-07-26T09:43:00Z</dcterms:created>
  <dcterms:modified xsi:type="dcterms:W3CDTF">2017-07-27T11:23:00Z</dcterms:modified>
</cp:coreProperties>
</file>