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0B41" w14:textId="77777777" w:rsidR="00E11167" w:rsidRPr="003A415F" w:rsidRDefault="00E11167" w:rsidP="00E11167">
      <w:pPr>
        <w:rPr>
          <w:lang w:val="en-US"/>
        </w:rPr>
      </w:pPr>
      <w:bookmarkStart w:id="0" w:name="_GoBack"/>
      <w:bookmarkEnd w:id="0"/>
    </w:p>
    <w:p w14:paraId="27A2B296" w14:textId="77777777" w:rsidR="00E11167" w:rsidRPr="003A415F" w:rsidRDefault="00E11167" w:rsidP="00E11167">
      <w:pPr>
        <w:rPr>
          <w:lang w:val="en-US"/>
        </w:rPr>
      </w:pPr>
    </w:p>
    <w:p w14:paraId="27A9FA49" w14:textId="77777777" w:rsidR="00E11167" w:rsidRPr="003A415F" w:rsidRDefault="00E11167" w:rsidP="00E11167">
      <w:pPr>
        <w:rPr>
          <w:lang w:val="en-US"/>
        </w:rPr>
      </w:pPr>
    </w:p>
    <w:p w14:paraId="3EF39B89" w14:textId="77777777" w:rsidR="00E11167" w:rsidRPr="003A415F" w:rsidRDefault="00E11167" w:rsidP="00E11167">
      <w:pPr>
        <w:rPr>
          <w:lang w:val="en-US"/>
        </w:rPr>
      </w:pPr>
    </w:p>
    <w:p w14:paraId="22A2A885" w14:textId="77777777" w:rsidR="00E11167" w:rsidRPr="003A415F" w:rsidRDefault="00E11167" w:rsidP="00E11167">
      <w:pPr>
        <w:rPr>
          <w:lang w:val="en-US"/>
        </w:rPr>
      </w:pPr>
    </w:p>
    <w:p w14:paraId="5527B04F" w14:textId="77777777" w:rsidR="00E11167" w:rsidRPr="003A415F" w:rsidRDefault="00E11167" w:rsidP="00E11167">
      <w:pPr>
        <w:rPr>
          <w:lang w:val="en-US"/>
        </w:rPr>
      </w:pPr>
    </w:p>
    <w:p w14:paraId="6EA3B72A" w14:textId="77777777" w:rsidR="00E11167" w:rsidRPr="003A415F" w:rsidRDefault="00E11167" w:rsidP="00E11167">
      <w:pPr>
        <w:rPr>
          <w:rFonts w:asciiTheme="minorHAnsi" w:hAnsiTheme="minorHAnsi"/>
          <w:lang w:val="en-US"/>
        </w:rPr>
      </w:pPr>
    </w:p>
    <w:p w14:paraId="19B6B8C0" w14:textId="77777777" w:rsidR="00E11167" w:rsidRPr="003A415F" w:rsidRDefault="00E11167" w:rsidP="00E11167">
      <w:pPr>
        <w:jc w:val="center"/>
        <w:rPr>
          <w:rFonts w:asciiTheme="minorHAnsi" w:hAnsiTheme="minorHAnsi"/>
          <w:sz w:val="56"/>
          <w:szCs w:val="56"/>
          <w:lang w:val="en-US"/>
        </w:rPr>
      </w:pPr>
      <w:r w:rsidRPr="003A415F">
        <w:rPr>
          <w:rFonts w:asciiTheme="minorHAnsi" w:hAnsiTheme="minorHAnsi"/>
          <w:sz w:val="56"/>
          <w:szCs w:val="56"/>
          <w:lang w:val="en-US"/>
        </w:rPr>
        <w:t>FINANCIAL RESULTS</w:t>
      </w:r>
    </w:p>
    <w:p w14:paraId="11DA6635" w14:textId="66E89BAA" w:rsidR="00E11167" w:rsidRPr="003A415F" w:rsidRDefault="005F0EE2" w:rsidP="00E11167">
      <w:pPr>
        <w:jc w:val="center"/>
        <w:rPr>
          <w:rFonts w:asciiTheme="minorHAnsi" w:hAnsiTheme="minorHAnsi"/>
          <w:sz w:val="56"/>
          <w:szCs w:val="56"/>
          <w:lang w:val="en-US"/>
        </w:rPr>
      </w:pPr>
      <w:r>
        <w:rPr>
          <w:rFonts w:asciiTheme="minorHAnsi" w:hAnsiTheme="minorHAnsi"/>
          <w:sz w:val="56"/>
          <w:szCs w:val="56"/>
          <w:lang w:val="en-US"/>
        </w:rPr>
        <w:t>Q1-</w:t>
      </w:r>
      <w:r w:rsidR="00BE197E">
        <w:rPr>
          <w:rFonts w:asciiTheme="minorHAnsi" w:hAnsiTheme="minorHAnsi"/>
          <w:sz w:val="56"/>
          <w:szCs w:val="56"/>
          <w:lang w:val="en-US"/>
        </w:rPr>
        <w:t>Q</w:t>
      </w:r>
      <w:r w:rsidR="007074D5">
        <w:rPr>
          <w:rFonts w:asciiTheme="minorHAnsi" w:hAnsiTheme="minorHAnsi"/>
          <w:sz w:val="56"/>
          <w:szCs w:val="56"/>
          <w:lang w:val="en-US"/>
        </w:rPr>
        <w:t>4</w:t>
      </w:r>
      <w:r w:rsidR="003B716D">
        <w:rPr>
          <w:rFonts w:asciiTheme="minorHAnsi" w:hAnsiTheme="minorHAnsi"/>
          <w:sz w:val="56"/>
          <w:szCs w:val="56"/>
          <w:lang w:val="en-US"/>
        </w:rPr>
        <w:t xml:space="preserve"> </w:t>
      </w:r>
      <w:r w:rsidR="00E11167" w:rsidRPr="003A415F">
        <w:rPr>
          <w:rFonts w:asciiTheme="minorHAnsi" w:hAnsiTheme="minorHAnsi"/>
          <w:sz w:val="56"/>
          <w:szCs w:val="56"/>
          <w:lang w:val="en-US"/>
        </w:rPr>
        <w:t>201</w:t>
      </w:r>
      <w:r w:rsidR="00843EF9">
        <w:rPr>
          <w:rFonts w:asciiTheme="minorHAnsi" w:hAnsiTheme="minorHAnsi"/>
          <w:sz w:val="56"/>
          <w:szCs w:val="56"/>
          <w:lang w:val="en-US"/>
        </w:rPr>
        <w:t>7</w:t>
      </w:r>
    </w:p>
    <w:p w14:paraId="028FCB89" w14:textId="77777777" w:rsidR="00E11167" w:rsidRPr="003A415F" w:rsidRDefault="00E11167" w:rsidP="00E11167">
      <w:pPr>
        <w:jc w:val="center"/>
        <w:rPr>
          <w:rFonts w:asciiTheme="minorHAnsi" w:hAnsiTheme="minorHAnsi"/>
          <w:sz w:val="56"/>
          <w:szCs w:val="56"/>
          <w:lang w:val="en-US"/>
        </w:rPr>
      </w:pPr>
    </w:p>
    <w:p w14:paraId="617FF6CC" w14:textId="77777777" w:rsidR="00E11167" w:rsidRPr="003A415F" w:rsidRDefault="00E11167" w:rsidP="00E11167">
      <w:pPr>
        <w:rPr>
          <w:rFonts w:asciiTheme="minorHAnsi" w:hAnsiTheme="minorHAnsi"/>
          <w:lang w:val="en-US"/>
        </w:rPr>
      </w:pPr>
    </w:p>
    <w:p w14:paraId="052BDA84" w14:textId="77777777" w:rsidR="00E11167" w:rsidRPr="003A415F" w:rsidRDefault="00E11167" w:rsidP="00E11167">
      <w:pPr>
        <w:rPr>
          <w:rFonts w:asciiTheme="minorHAnsi" w:hAnsiTheme="minorHAnsi"/>
          <w:lang w:val="en-US"/>
        </w:rPr>
      </w:pPr>
    </w:p>
    <w:p w14:paraId="7E6A9B5E" w14:textId="77777777" w:rsidR="00E11167" w:rsidRPr="003A415F" w:rsidRDefault="00E11167" w:rsidP="00E11167">
      <w:pPr>
        <w:rPr>
          <w:rFonts w:asciiTheme="minorHAnsi" w:hAnsiTheme="minorHAnsi"/>
          <w:lang w:val="en-US"/>
        </w:rPr>
      </w:pPr>
    </w:p>
    <w:p w14:paraId="5AD765CD" w14:textId="77777777" w:rsidR="00E11167" w:rsidRPr="003A415F" w:rsidRDefault="00E11167" w:rsidP="00E11167">
      <w:pPr>
        <w:rPr>
          <w:rFonts w:asciiTheme="minorHAnsi" w:hAnsiTheme="minorHAnsi"/>
          <w:lang w:val="en-US"/>
        </w:rPr>
      </w:pPr>
    </w:p>
    <w:p w14:paraId="14693EAB" w14:textId="77777777" w:rsidR="00E11167" w:rsidRPr="003A415F" w:rsidRDefault="00E11167" w:rsidP="00E11167">
      <w:pPr>
        <w:rPr>
          <w:rFonts w:asciiTheme="minorHAnsi" w:hAnsiTheme="minorHAnsi"/>
          <w:lang w:val="en-US"/>
        </w:rPr>
      </w:pPr>
    </w:p>
    <w:p w14:paraId="2495EDC1" w14:textId="77777777" w:rsidR="00E11167" w:rsidRPr="003A415F" w:rsidRDefault="00E11167" w:rsidP="00E11167">
      <w:pPr>
        <w:rPr>
          <w:rFonts w:asciiTheme="minorHAnsi" w:hAnsiTheme="minorHAnsi"/>
          <w:sz w:val="20"/>
          <w:szCs w:val="20"/>
          <w:lang w:val="en-US"/>
        </w:rPr>
      </w:pPr>
    </w:p>
    <w:p w14:paraId="26CED178" w14:textId="77777777" w:rsidR="00E11167" w:rsidRPr="003A415F" w:rsidRDefault="00E11167" w:rsidP="00E11167">
      <w:pPr>
        <w:rPr>
          <w:rFonts w:asciiTheme="minorHAnsi" w:hAnsiTheme="minorHAnsi"/>
          <w:sz w:val="20"/>
          <w:szCs w:val="20"/>
          <w:lang w:val="en-US"/>
        </w:rPr>
      </w:pPr>
    </w:p>
    <w:p w14:paraId="67469F97" w14:textId="77777777" w:rsidR="00E11167" w:rsidRPr="003A415F" w:rsidRDefault="00E11167" w:rsidP="00E11167">
      <w:pPr>
        <w:rPr>
          <w:rFonts w:asciiTheme="minorHAnsi" w:hAnsiTheme="minorHAnsi"/>
          <w:sz w:val="20"/>
          <w:szCs w:val="20"/>
          <w:lang w:val="en-US"/>
        </w:rPr>
      </w:pPr>
    </w:p>
    <w:p w14:paraId="1B654A23" w14:textId="77777777" w:rsidR="00E11167" w:rsidRPr="003A415F" w:rsidRDefault="00E11167" w:rsidP="00E11167">
      <w:pPr>
        <w:rPr>
          <w:rFonts w:asciiTheme="minorHAnsi" w:hAnsiTheme="minorHAnsi"/>
          <w:sz w:val="20"/>
          <w:szCs w:val="20"/>
          <w:lang w:val="en-US"/>
        </w:rPr>
      </w:pPr>
    </w:p>
    <w:p w14:paraId="17D9D1DF" w14:textId="77777777" w:rsidR="00E11167" w:rsidRPr="003A415F" w:rsidRDefault="00E11167" w:rsidP="00E11167">
      <w:pPr>
        <w:rPr>
          <w:rFonts w:asciiTheme="minorHAnsi" w:hAnsiTheme="minorHAnsi"/>
          <w:sz w:val="20"/>
          <w:szCs w:val="20"/>
          <w:lang w:val="en-US"/>
        </w:rPr>
      </w:pPr>
    </w:p>
    <w:p w14:paraId="1A55117C" w14:textId="77777777" w:rsidR="00E11167" w:rsidRPr="003A415F" w:rsidRDefault="00E11167" w:rsidP="00E11167">
      <w:pPr>
        <w:rPr>
          <w:rFonts w:asciiTheme="minorHAnsi" w:hAnsiTheme="minorHAnsi"/>
          <w:sz w:val="20"/>
          <w:szCs w:val="20"/>
          <w:lang w:val="en-US"/>
        </w:rPr>
      </w:pPr>
    </w:p>
    <w:p w14:paraId="4C8C81BC" w14:textId="77777777" w:rsidR="00E11167" w:rsidRPr="003A415F" w:rsidRDefault="00E11167" w:rsidP="00E11167">
      <w:pPr>
        <w:rPr>
          <w:rFonts w:asciiTheme="minorHAnsi" w:hAnsiTheme="minorHAnsi"/>
          <w:sz w:val="20"/>
          <w:szCs w:val="20"/>
          <w:lang w:val="en-US"/>
        </w:rPr>
      </w:pPr>
    </w:p>
    <w:p w14:paraId="4559F245" w14:textId="77777777" w:rsidR="00E11167" w:rsidRPr="003A415F" w:rsidRDefault="00E11167" w:rsidP="00E11167">
      <w:pPr>
        <w:rPr>
          <w:rFonts w:asciiTheme="minorHAnsi" w:hAnsiTheme="minorHAnsi"/>
          <w:sz w:val="20"/>
          <w:szCs w:val="20"/>
          <w:lang w:val="en-US"/>
        </w:rPr>
      </w:pPr>
    </w:p>
    <w:p w14:paraId="26B02D44" w14:textId="77777777" w:rsidR="00E11167" w:rsidRPr="003A415F" w:rsidRDefault="00E11167" w:rsidP="00E11167">
      <w:pPr>
        <w:rPr>
          <w:rFonts w:asciiTheme="minorHAnsi" w:hAnsiTheme="minorHAnsi"/>
          <w:sz w:val="20"/>
          <w:szCs w:val="20"/>
          <w:lang w:val="en-US"/>
        </w:rPr>
      </w:pPr>
    </w:p>
    <w:p w14:paraId="4FC54845"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Contact:</w:t>
      </w:r>
    </w:p>
    <w:p w14:paraId="5E724C3E"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INA</w:t>
      </w:r>
    </w:p>
    <w:p w14:paraId="61E3C3CF"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Corporate Communications</w:t>
      </w:r>
    </w:p>
    <w:p w14:paraId="79DBBB81" w14:textId="77777777" w:rsidR="00E11167" w:rsidRPr="003A415F" w:rsidRDefault="00E11167" w:rsidP="00E11167">
      <w:pPr>
        <w:rPr>
          <w:rFonts w:asciiTheme="minorHAnsi" w:hAnsiTheme="minorHAnsi"/>
          <w:color w:val="808080" w:themeColor="background1" w:themeShade="80"/>
          <w:sz w:val="20"/>
          <w:szCs w:val="20"/>
          <w:lang w:val="en-US"/>
        </w:rPr>
      </w:pPr>
      <w:proofErr w:type="spellStart"/>
      <w:r w:rsidRPr="003A415F">
        <w:rPr>
          <w:rFonts w:asciiTheme="minorHAnsi" w:hAnsiTheme="minorHAnsi"/>
          <w:color w:val="808080" w:themeColor="background1" w:themeShade="80"/>
          <w:sz w:val="20"/>
          <w:szCs w:val="20"/>
          <w:lang w:val="en-US"/>
        </w:rPr>
        <w:t>Avenija</w:t>
      </w:r>
      <w:proofErr w:type="spellEnd"/>
      <w:r w:rsidRPr="003A415F">
        <w:rPr>
          <w:rFonts w:asciiTheme="minorHAnsi" w:hAnsiTheme="minorHAnsi"/>
          <w:color w:val="808080" w:themeColor="background1" w:themeShade="80"/>
          <w:sz w:val="20"/>
          <w:szCs w:val="20"/>
          <w:lang w:val="en-US"/>
        </w:rPr>
        <w:t xml:space="preserve"> </w:t>
      </w:r>
      <w:proofErr w:type="spellStart"/>
      <w:r w:rsidRPr="003A415F">
        <w:rPr>
          <w:rFonts w:asciiTheme="minorHAnsi" w:hAnsiTheme="minorHAnsi"/>
          <w:color w:val="808080" w:themeColor="background1" w:themeShade="80"/>
          <w:sz w:val="20"/>
          <w:szCs w:val="20"/>
          <w:lang w:val="en-US"/>
        </w:rPr>
        <w:t>Veceslava</w:t>
      </w:r>
      <w:proofErr w:type="spellEnd"/>
      <w:r w:rsidRPr="003A415F">
        <w:rPr>
          <w:rFonts w:asciiTheme="minorHAnsi" w:hAnsiTheme="minorHAnsi"/>
          <w:color w:val="808080" w:themeColor="background1" w:themeShade="80"/>
          <w:sz w:val="20"/>
          <w:szCs w:val="20"/>
          <w:lang w:val="en-US"/>
        </w:rPr>
        <w:t xml:space="preserve"> </w:t>
      </w:r>
      <w:proofErr w:type="spellStart"/>
      <w:r w:rsidRPr="003A415F">
        <w:rPr>
          <w:rFonts w:asciiTheme="minorHAnsi" w:hAnsiTheme="minorHAnsi"/>
          <w:color w:val="808080" w:themeColor="background1" w:themeShade="80"/>
          <w:sz w:val="20"/>
          <w:szCs w:val="20"/>
          <w:lang w:val="en-US"/>
        </w:rPr>
        <w:t>Holjevca</w:t>
      </w:r>
      <w:proofErr w:type="spellEnd"/>
      <w:r w:rsidRPr="003A415F">
        <w:rPr>
          <w:rFonts w:asciiTheme="minorHAnsi" w:hAnsiTheme="minorHAnsi"/>
          <w:color w:val="808080" w:themeColor="background1" w:themeShade="80"/>
          <w:sz w:val="20"/>
          <w:szCs w:val="20"/>
          <w:lang w:val="en-US"/>
        </w:rPr>
        <w:t xml:space="preserve"> 10, Zagreb</w:t>
      </w:r>
    </w:p>
    <w:p w14:paraId="7DB545DC" w14:textId="77777777" w:rsidR="00E11167" w:rsidRPr="003A415F" w:rsidRDefault="00E11167" w:rsidP="00E11167">
      <w:pPr>
        <w:rPr>
          <w:rFonts w:asciiTheme="minorHAnsi" w:hAnsiTheme="minorHAnsi"/>
          <w:color w:val="808080" w:themeColor="background1" w:themeShade="80"/>
          <w:sz w:val="20"/>
          <w:szCs w:val="20"/>
          <w:lang w:val="en-US"/>
        </w:rPr>
      </w:pPr>
    </w:p>
    <w:p w14:paraId="2E460ED2"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Public Relations</w:t>
      </w:r>
    </w:p>
    <w:p w14:paraId="50B3588B"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 xml:space="preserve">E-mail:  </w:t>
      </w:r>
      <w:hyperlink r:id="rId8" w:history="1">
        <w:r w:rsidRPr="003A415F">
          <w:rPr>
            <w:rStyle w:val="Hyperlink"/>
            <w:rFonts w:asciiTheme="minorHAnsi" w:hAnsiTheme="minorHAnsi"/>
            <w:color w:val="808080" w:themeColor="background1" w:themeShade="80"/>
            <w:lang w:val="en-US"/>
          </w:rPr>
          <w:t>PR@ina.hr</w:t>
        </w:r>
      </w:hyperlink>
    </w:p>
    <w:p w14:paraId="0B58A690"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 xml:space="preserve">Press Centre at </w:t>
      </w:r>
      <w:hyperlink r:id="rId9" w:history="1">
        <w:r w:rsidRPr="003A415F">
          <w:rPr>
            <w:rStyle w:val="Hyperlink"/>
            <w:rFonts w:asciiTheme="minorHAnsi" w:hAnsiTheme="minorHAnsi"/>
            <w:color w:val="808080" w:themeColor="background1" w:themeShade="80"/>
            <w:lang w:val="en-US"/>
          </w:rPr>
          <w:t>www.ina.hr</w:t>
        </w:r>
      </w:hyperlink>
      <w:r w:rsidRPr="003A415F">
        <w:rPr>
          <w:rFonts w:asciiTheme="minorHAnsi" w:hAnsiTheme="minorHAnsi"/>
          <w:color w:val="808080" w:themeColor="background1" w:themeShade="80"/>
          <w:sz w:val="20"/>
          <w:szCs w:val="20"/>
          <w:lang w:val="en-US"/>
        </w:rPr>
        <w:t xml:space="preserve"> </w:t>
      </w:r>
    </w:p>
    <w:p w14:paraId="62FAA286" w14:textId="77777777" w:rsidR="00E11167" w:rsidRPr="003A415F" w:rsidRDefault="00E11167" w:rsidP="00E11167">
      <w:pPr>
        <w:rPr>
          <w:rFonts w:asciiTheme="minorHAnsi" w:hAnsiTheme="minorHAnsi"/>
          <w:sz w:val="20"/>
          <w:szCs w:val="20"/>
          <w:lang w:val="en-US"/>
        </w:rPr>
      </w:pPr>
    </w:p>
    <w:p w14:paraId="4439E212" w14:textId="77777777" w:rsidR="00E11167" w:rsidRPr="003A415F" w:rsidRDefault="00E11167" w:rsidP="00E11167">
      <w:pPr>
        <w:rPr>
          <w:rFonts w:asciiTheme="minorHAnsi" w:hAnsiTheme="minorHAnsi"/>
          <w:lang w:val="en-US"/>
        </w:rPr>
        <w:sectPr w:rsidR="00E11167" w:rsidRPr="003A415F" w:rsidSect="0039152A">
          <w:headerReference w:type="default" r:id="rId10"/>
          <w:footerReference w:type="default" r:id="rId11"/>
          <w:pgSz w:w="11906" w:h="16838" w:code="9"/>
          <w:pgMar w:top="3402" w:right="1134" w:bottom="1843" w:left="1418" w:header="851" w:footer="459" w:gutter="0"/>
          <w:cols w:space="708"/>
          <w:docGrid w:linePitch="360"/>
        </w:sectPr>
      </w:pPr>
    </w:p>
    <w:p w14:paraId="7BA29BE3" w14:textId="77777777" w:rsidR="00F8747C" w:rsidRDefault="00F8747C" w:rsidP="00F8747C">
      <w:pPr>
        <w:jc w:val="center"/>
        <w:rPr>
          <w:rFonts w:asciiTheme="minorHAnsi" w:hAnsiTheme="minorHAnsi"/>
          <w:b/>
          <w:sz w:val="28"/>
          <w:szCs w:val="28"/>
          <w:lang w:val="en-US"/>
        </w:rPr>
      </w:pPr>
      <w:bookmarkStart w:id="1" w:name="OLE_LINK1"/>
    </w:p>
    <w:p w14:paraId="39D78FA4" w14:textId="77777777" w:rsidR="00CA2024" w:rsidRDefault="00CA2024" w:rsidP="00F8747C">
      <w:pPr>
        <w:jc w:val="center"/>
        <w:rPr>
          <w:rFonts w:asciiTheme="minorHAnsi" w:hAnsiTheme="minorHAnsi"/>
          <w:b/>
          <w:sz w:val="28"/>
          <w:szCs w:val="28"/>
          <w:lang w:val="en-US"/>
        </w:rPr>
      </w:pPr>
    </w:p>
    <w:p w14:paraId="28433B04" w14:textId="43015763" w:rsidR="00E11167" w:rsidRDefault="00843EF9" w:rsidP="00F8747C">
      <w:pPr>
        <w:jc w:val="center"/>
        <w:rPr>
          <w:rFonts w:asciiTheme="minorHAnsi" w:hAnsiTheme="minorHAnsi"/>
          <w:b/>
          <w:sz w:val="28"/>
          <w:szCs w:val="28"/>
          <w:lang w:val="en-US"/>
        </w:rPr>
      </w:pPr>
      <w:r>
        <w:rPr>
          <w:rFonts w:asciiTheme="minorHAnsi" w:hAnsiTheme="minorHAnsi"/>
          <w:b/>
          <w:sz w:val="28"/>
          <w:szCs w:val="28"/>
          <w:lang w:val="en-US"/>
        </w:rPr>
        <w:t>INA</w:t>
      </w:r>
      <w:r w:rsidR="00082D5D">
        <w:rPr>
          <w:rFonts w:asciiTheme="minorHAnsi" w:hAnsiTheme="minorHAnsi"/>
          <w:b/>
          <w:sz w:val="28"/>
          <w:szCs w:val="28"/>
          <w:lang w:val="en-US"/>
        </w:rPr>
        <w:t xml:space="preserve">: strong operating performance in </w:t>
      </w:r>
      <w:r>
        <w:rPr>
          <w:rFonts w:asciiTheme="minorHAnsi" w:hAnsiTheme="minorHAnsi"/>
          <w:b/>
          <w:sz w:val="28"/>
          <w:szCs w:val="28"/>
          <w:lang w:val="en-US"/>
        </w:rPr>
        <w:t>2017</w:t>
      </w:r>
    </w:p>
    <w:p w14:paraId="1DAE4A2A" w14:textId="77777777" w:rsidR="00CA2024" w:rsidRPr="003A415F" w:rsidRDefault="00CA2024" w:rsidP="00F8747C">
      <w:pPr>
        <w:jc w:val="center"/>
        <w:rPr>
          <w:rFonts w:asciiTheme="minorHAnsi" w:hAnsiTheme="minorHAnsi"/>
          <w:b/>
          <w:sz w:val="28"/>
          <w:szCs w:val="28"/>
          <w:lang w:val="en-US"/>
        </w:rPr>
      </w:pPr>
    </w:p>
    <w:p w14:paraId="363BE37E" w14:textId="77777777" w:rsidR="00E11167" w:rsidRPr="003A415F" w:rsidRDefault="00E11167" w:rsidP="00E11167">
      <w:pPr>
        <w:rPr>
          <w:rFonts w:asciiTheme="minorHAnsi" w:hAnsiTheme="minorHAnsi"/>
          <w:lang w:val="en-US"/>
        </w:rPr>
      </w:pPr>
    </w:p>
    <w:p w14:paraId="329326DA" w14:textId="77777777" w:rsidR="00E11167" w:rsidRPr="003A415F" w:rsidRDefault="00E11167" w:rsidP="00E11167">
      <w:pPr>
        <w:spacing w:line="360" w:lineRule="auto"/>
        <w:rPr>
          <w:rFonts w:asciiTheme="minorHAnsi" w:hAnsiTheme="minorHAnsi"/>
          <w:b/>
          <w:lang w:val="en-US"/>
        </w:rPr>
      </w:pPr>
      <w:r w:rsidRPr="003A415F">
        <w:rPr>
          <w:rFonts w:asciiTheme="minorHAnsi" w:hAnsiTheme="minorHAnsi"/>
          <w:b/>
          <w:lang w:val="en-US"/>
        </w:rPr>
        <w:t>Key achievements</w:t>
      </w:r>
    </w:p>
    <w:p w14:paraId="52463703" w14:textId="6D6E8752" w:rsidR="00E11167" w:rsidRPr="003502F8" w:rsidRDefault="00E11167" w:rsidP="003B716D">
      <w:pPr>
        <w:pStyle w:val="ListParagraph"/>
        <w:numPr>
          <w:ilvl w:val="0"/>
          <w:numId w:val="1"/>
        </w:numPr>
        <w:spacing w:line="360" w:lineRule="auto"/>
        <w:rPr>
          <w:rFonts w:asciiTheme="minorHAnsi" w:hAnsiTheme="minorHAnsi"/>
          <w:lang w:val="en-US"/>
        </w:rPr>
      </w:pPr>
      <w:r w:rsidRPr="003502F8">
        <w:rPr>
          <w:rFonts w:asciiTheme="minorHAnsi" w:hAnsiTheme="minorHAnsi"/>
          <w:lang w:val="en-US"/>
        </w:rPr>
        <w:t xml:space="preserve">INA Group’s </w:t>
      </w:r>
      <w:r w:rsidR="003B716D" w:rsidRPr="003502F8">
        <w:rPr>
          <w:rFonts w:asciiTheme="minorHAnsi" w:hAnsiTheme="minorHAnsi"/>
          <w:lang w:val="en-US"/>
        </w:rPr>
        <w:t>EBITDA</w:t>
      </w:r>
      <w:r w:rsidR="003B716D" w:rsidRPr="003502F8">
        <w:rPr>
          <w:rStyle w:val="FootnoteReference"/>
          <w:rFonts w:asciiTheme="minorHAnsi" w:hAnsiTheme="minorHAnsi"/>
          <w:lang w:val="en-US"/>
        </w:rPr>
        <w:footnoteReference w:id="1"/>
      </w:r>
      <w:r w:rsidR="003B716D" w:rsidRPr="003502F8">
        <w:rPr>
          <w:rFonts w:asciiTheme="minorHAnsi" w:hAnsiTheme="minorHAnsi"/>
          <w:lang w:val="en-US"/>
        </w:rPr>
        <w:t xml:space="preserve"> </w:t>
      </w:r>
      <w:r w:rsidR="00FD52FC" w:rsidRPr="003502F8">
        <w:rPr>
          <w:rFonts w:asciiTheme="minorHAnsi" w:hAnsiTheme="minorHAnsi"/>
          <w:lang w:val="en-US"/>
        </w:rPr>
        <w:t xml:space="preserve">amounted to HRK </w:t>
      </w:r>
      <w:r w:rsidR="005B702B">
        <w:rPr>
          <w:rFonts w:asciiTheme="minorHAnsi" w:hAnsiTheme="minorHAnsi"/>
          <w:lang w:val="en-US"/>
        </w:rPr>
        <w:t>3</w:t>
      </w:r>
      <w:r w:rsidR="00B93F58" w:rsidRPr="003502F8">
        <w:rPr>
          <w:rFonts w:asciiTheme="minorHAnsi" w:hAnsiTheme="minorHAnsi"/>
          <w:lang w:val="en-US"/>
        </w:rPr>
        <w:t>,</w:t>
      </w:r>
      <w:r w:rsidR="005B702B">
        <w:rPr>
          <w:rFonts w:asciiTheme="minorHAnsi" w:hAnsiTheme="minorHAnsi"/>
          <w:lang w:val="en-US"/>
        </w:rPr>
        <w:t>215</w:t>
      </w:r>
      <w:r w:rsidR="003B716D" w:rsidRPr="003502F8">
        <w:rPr>
          <w:rFonts w:asciiTheme="minorHAnsi" w:hAnsiTheme="minorHAnsi"/>
          <w:lang w:val="en-US"/>
        </w:rPr>
        <w:t xml:space="preserve"> million, </w:t>
      </w:r>
      <w:r w:rsidR="005B702B">
        <w:rPr>
          <w:rFonts w:asciiTheme="minorHAnsi" w:hAnsiTheme="minorHAnsi"/>
          <w:lang w:val="en-US"/>
        </w:rPr>
        <w:t>52</w:t>
      </w:r>
      <w:r w:rsidR="00843EF9" w:rsidRPr="003502F8">
        <w:rPr>
          <w:rFonts w:asciiTheme="minorHAnsi" w:hAnsiTheme="minorHAnsi"/>
          <w:lang w:val="en-US"/>
        </w:rPr>
        <w:t xml:space="preserve">% above the level in 2016, </w:t>
      </w:r>
      <w:r w:rsidR="0007706D" w:rsidRPr="003502F8">
        <w:rPr>
          <w:rFonts w:asciiTheme="minorHAnsi" w:hAnsiTheme="minorHAnsi"/>
          <w:lang w:val="en-US"/>
        </w:rPr>
        <w:t>while net profit</w:t>
      </w:r>
      <w:r w:rsidR="003B716D" w:rsidRPr="003502F8">
        <w:rPr>
          <w:rFonts w:asciiTheme="minorHAnsi" w:hAnsiTheme="minorHAnsi"/>
          <w:lang w:val="en-US"/>
        </w:rPr>
        <w:t xml:space="preserve"> </w:t>
      </w:r>
      <w:r w:rsidR="0007706D" w:rsidRPr="003502F8">
        <w:rPr>
          <w:rFonts w:asciiTheme="minorHAnsi" w:hAnsiTheme="minorHAnsi"/>
          <w:lang w:val="en-US"/>
        </w:rPr>
        <w:t xml:space="preserve">amounted to HRK </w:t>
      </w:r>
      <w:r w:rsidR="00CA2024">
        <w:rPr>
          <w:rFonts w:asciiTheme="minorHAnsi" w:hAnsiTheme="minorHAnsi"/>
          <w:lang w:val="en-US"/>
        </w:rPr>
        <w:t>1,</w:t>
      </w:r>
      <w:r w:rsidR="00082D5D">
        <w:rPr>
          <w:rFonts w:asciiTheme="minorHAnsi" w:hAnsiTheme="minorHAnsi"/>
          <w:lang w:val="en-US"/>
        </w:rPr>
        <w:t>220</w:t>
      </w:r>
      <w:r w:rsidR="0007706D" w:rsidRPr="003502F8">
        <w:rPr>
          <w:rFonts w:asciiTheme="minorHAnsi" w:hAnsiTheme="minorHAnsi"/>
          <w:lang w:val="en-US"/>
        </w:rPr>
        <w:t xml:space="preserve"> million</w:t>
      </w:r>
      <w:r w:rsidR="002035F0" w:rsidRPr="003502F8">
        <w:rPr>
          <w:rFonts w:asciiTheme="minorHAnsi" w:hAnsiTheme="minorHAnsi"/>
          <w:lang w:val="en-US"/>
        </w:rPr>
        <w:t xml:space="preserve"> </w:t>
      </w:r>
    </w:p>
    <w:p w14:paraId="6AB9424F" w14:textId="144558E7" w:rsidR="00843EF9" w:rsidRPr="003502F8" w:rsidRDefault="00B93F58" w:rsidP="00843EF9">
      <w:pPr>
        <w:pStyle w:val="ListParagraph"/>
        <w:numPr>
          <w:ilvl w:val="0"/>
          <w:numId w:val="1"/>
        </w:numPr>
        <w:spacing w:line="360" w:lineRule="auto"/>
        <w:rPr>
          <w:rFonts w:asciiTheme="minorHAnsi" w:hAnsiTheme="minorHAnsi"/>
          <w:lang w:val="en-US"/>
        </w:rPr>
      </w:pPr>
      <w:r w:rsidRPr="003502F8">
        <w:rPr>
          <w:rFonts w:asciiTheme="minorHAnsi" w:hAnsiTheme="minorHAnsi"/>
          <w:lang w:val="en-US"/>
        </w:rPr>
        <w:t xml:space="preserve">Net debt </w:t>
      </w:r>
      <w:r w:rsidR="00082D5D">
        <w:rPr>
          <w:rFonts w:asciiTheme="minorHAnsi" w:hAnsiTheme="minorHAnsi"/>
          <w:lang w:val="en-US"/>
        </w:rPr>
        <w:t>at</w:t>
      </w:r>
      <w:r w:rsidRPr="003502F8">
        <w:rPr>
          <w:rFonts w:asciiTheme="minorHAnsi" w:hAnsiTheme="minorHAnsi"/>
          <w:lang w:val="en-US"/>
        </w:rPr>
        <w:t xml:space="preserve"> HRK </w:t>
      </w:r>
      <w:r w:rsidR="00CA2024">
        <w:rPr>
          <w:rFonts w:asciiTheme="minorHAnsi" w:hAnsiTheme="minorHAnsi"/>
          <w:lang w:val="en-US"/>
        </w:rPr>
        <w:t>1</w:t>
      </w:r>
      <w:r w:rsidRPr="003502F8">
        <w:rPr>
          <w:rFonts w:asciiTheme="minorHAnsi" w:hAnsiTheme="minorHAnsi"/>
          <w:lang w:val="en-US"/>
        </w:rPr>
        <w:t>,</w:t>
      </w:r>
      <w:r w:rsidR="00082D5D">
        <w:rPr>
          <w:rFonts w:asciiTheme="minorHAnsi" w:hAnsiTheme="minorHAnsi"/>
          <w:lang w:val="en-US"/>
        </w:rPr>
        <w:t>397</w:t>
      </w:r>
      <w:r w:rsidRPr="003502F8">
        <w:rPr>
          <w:rFonts w:asciiTheme="minorHAnsi" w:hAnsiTheme="minorHAnsi"/>
          <w:lang w:val="en-US"/>
        </w:rPr>
        <w:t xml:space="preserve"> million and gearing at </w:t>
      </w:r>
      <w:r w:rsidR="00082D5D">
        <w:rPr>
          <w:rFonts w:asciiTheme="minorHAnsi" w:hAnsiTheme="minorHAnsi"/>
          <w:lang w:val="en-US"/>
        </w:rPr>
        <w:t>10</w:t>
      </w:r>
      <w:r w:rsidRPr="003502F8">
        <w:rPr>
          <w:rFonts w:asciiTheme="minorHAnsi" w:hAnsiTheme="minorHAnsi"/>
          <w:lang w:val="en-US"/>
        </w:rPr>
        <w:t>.</w:t>
      </w:r>
      <w:r w:rsidR="00082D5D">
        <w:rPr>
          <w:rFonts w:asciiTheme="minorHAnsi" w:hAnsiTheme="minorHAnsi"/>
          <w:lang w:val="en-US"/>
        </w:rPr>
        <w:t>8</w:t>
      </w:r>
      <w:r w:rsidRPr="003502F8">
        <w:rPr>
          <w:rFonts w:asciiTheme="minorHAnsi" w:hAnsiTheme="minorHAnsi"/>
          <w:lang w:val="en-US"/>
        </w:rPr>
        <w:t>%</w:t>
      </w:r>
    </w:p>
    <w:p w14:paraId="6031B0D5" w14:textId="0C4B5C65" w:rsidR="00843EF9" w:rsidRPr="003502F8" w:rsidRDefault="00843EF9" w:rsidP="00843EF9">
      <w:pPr>
        <w:pStyle w:val="ListParagraph"/>
        <w:numPr>
          <w:ilvl w:val="0"/>
          <w:numId w:val="1"/>
        </w:numPr>
        <w:spacing w:line="360" w:lineRule="auto"/>
        <w:rPr>
          <w:rFonts w:asciiTheme="minorHAnsi" w:hAnsiTheme="minorHAnsi"/>
          <w:lang w:val="en-US"/>
        </w:rPr>
      </w:pPr>
      <w:r w:rsidRPr="003502F8">
        <w:rPr>
          <w:rFonts w:asciiTheme="minorHAnsi" w:hAnsiTheme="minorHAnsi"/>
          <w:lang w:val="en-US"/>
        </w:rPr>
        <w:t xml:space="preserve">CAPEX amounted to HRK </w:t>
      </w:r>
      <w:r w:rsidR="00082D5D">
        <w:rPr>
          <w:rFonts w:asciiTheme="minorHAnsi" w:hAnsiTheme="minorHAnsi"/>
          <w:lang w:val="en-US"/>
        </w:rPr>
        <w:t>1,393</w:t>
      </w:r>
      <w:r w:rsidRPr="003502F8">
        <w:rPr>
          <w:rFonts w:asciiTheme="minorHAnsi" w:hAnsiTheme="minorHAnsi"/>
          <w:lang w:val="en-US"/>
        </w:rPr>
        <w:t xml:space="preserve"> million</w:t>
      </w:r>
    </w:p>
    <w:p w14:paraId="6D59B6F0" w14:textId="24BE16F8" w:rsidR="00E11167" w:rsidRPr="003502F8" w:rsidRDefault="00082D5D" w:rsidP="00FD52FC">
      <w:pPr>
        <w:pStyle w:val="ListParagraph"/>
        <w:numPr>
          <w:ilvl w:val="0"/>
          <w:numId w:val="1"/>
        </w:numPr>
        <w:spacing w:line="360" w:lineRule="auto"/>
        <w:rPr>
          <w:rFonts w:asciiTheme="minorHAnsi" w:hAnsiTheme="minorHAnsi"/>
          <w:lang w:val="en-US"/>
        </w:rPr>
      </w:pPr>
      <w:r>
        <w:rPr>
          <w:rFonts w:asciiTheme="minorHAnsi" w:hAnsiTheme="minorHAnsi"/>
          <w:lang w:val="en-US"/>
        </w:rPr>
        <w:t>In relation to 2016, both d</w:t>
      </w:r>
      <w:r w:rsidR="00FF5E74" w:rsidRPr="003502F8">
        <w:rPr>
          <w:rFonts w:asciiTheme="minorHAnsi" w:hAnsiTheme="minorHAnsi"/>
          <w:lang w:val="en-US"/>
        </w:rPr>
        <w:t>omestic crude production</w:t>
      </w:r>
      <w:r w:rsidR="00843EF9" w:rsidRPr="003502F8">
        <w:rPr>
          <w:rFonts w:asciiTheme="minorHAnsi" w:hAnsiTheme="minorHAnsi"/>
          <w:lang w:val="en-US"/>
        </w:rPr>
        <w:t xml:space="preserve"> </w:t>
      </w:r>
      <w:r>
        <w:rPr>
          <w:rFonts w:asciiTheme="minorHAnsi" w:hAnsiTheme="minorHAnsi"/>
          <w:lang w:val="en-US"/>
        </w:rPr>
        <w:t>and</w:t>
      </w:r>
      <w:r w:rsidR="00843EF9" w:rsidRPr="003502F8">
        <w:rPr>
          <w:rFonts w:asciiTheme="minorHAnsi" w:hAnsiTheme="minorHAnsi"/>
          <w:lang w:val="en-US"/>
        </w:rPr>
        <w:t xml:space="preserve"> domestic gas production onshore </w:t>
      </w:r>
      <w:r>
        <w:rPr>
          <w:rFonts w:asciiTheme="minorHAnsi" w:hAnsiTheme="minorHAnsi"/>
          <w:lang w:val="en-US"/>
        </w:rPr>
        <w:t>registered a mild increase of 2 and 3</w:t>
      </w:r>
      <w:r w:rsidR="00843EF9" w:rsidRPr="003502F8">
        <w:rPr>
          <w:rFonts w:asciiTheme="minorHAnsi" w:hAnsiTheme="minorHAnsi"/>
          <w:lang w:val="en-US"/>
        </w:rPr>
        <w:t xml:space="preserve">% </w:t>
      </w:r>
      <w:r>
        <w:rPr>
          <w:rFonts w:asciiTheme="minorHAnsi" w:hAnsiTheme="minorHAnsi"/>
          <w:lang w:val="en-US"/>
        </w:rPr>
        <w:t xml:space="preserve">respectively </w:t>
      </w:r>
    </w:p>
    <w:p w14:paraId="2129B168" w14:textId="77777777" w:rsidR="00E11167" w:rsidRPr="00662E8C" w:rsidRDefault="00E11167" w:rsidP="00E11167">
      <w:pPr>
        <w:spacing w:line="360" w:lineRule="auto"/>
        <w:rPr>
          <w:rFonts w:asciiTheme="minorHAnsi" w:hAnsiTheme="minorHAnsi"/>
          <w:b/>
          <w:lang w:val="en-US"/>
        </w:rPr>
      </w:pPr>
    </w:p>
    <w:p w14:paraId="3E16BB28" w14:textId="7E6FB085" w:rsidR="00CA2024" w:rsidRDefault="00E11167" w:rsidP="00E11167">
      <w:pPr>
        <w:spacing w:line="360" w:lineRule="auto"/>
        <w:jc w:val="both"/>
        <w:rPr>
          <w:rFonts w:asciiTheme="minorHAnsi" w:hAnsiTheme="minorHAnsi"/>
          <w:b/>
          <w:lang w:val="en-US"/>
        </w:rPr>
      </w:pPr>
      <w:r w:rsidRPr="003A415F">
        <w:rPr>
          <w:rFonts w:asciiTheme="minorHAnsi" w:hAnsiTheme="minorHAnsi"/>
          <w:b/>
          <w:lang w:val="en-US"/>
        </w:rPr>
        <w:t>Zagreb</w:t>
      </w:r>
      <w:r w:rsidRPr="008D348D">
        <w:rPr>
          <w:rFonts w:asciiTheme="minorHAnsi" w:hAnsiTheme="minorHAnsi"/>
          <w:b/>
          <w:lang w:val="en-US"/>
        </w:rPr>
        <w:t xml:space="preserve">, </w:t>
      </w:r>
      <w:r w:rsidR="007074D5">
        <w:rPr>
          <w:rFonts w:asciiTheme="minorHAnsi" w:hAnsiTheme="minorHAnsi"/>
          <w:b/>
          <w:lang w:val="en-US"/>
        </w:rPr>
        <w:t>February</w:t>
      </w:r>
      <w:r w:rsidR="0082771B" w:rsidRPr="008D348D">
        <w:rPr>
          <w:rFonts w:asciiTheme="minorHAnsi" w:hAnsiTheme="minorHAnsi"/>
          <w:b/>
          <w:lang w:val="en-US"/>
        </w:rPr>
        <w:t xml:space="preserve"> </w:t>
      </w:r>
      <w:r w:rsidR="001A56A4" w:rsidRPr="008D348D">
        <w:rPr>
          <w:rFonts w:asciiTheme="minorHAnsi" w:hAnsiTheme="minorHAnsi"/>
          <w:b/>
          <w:lang w:val="en-US"/>
        </w:rPr>
        <w:t>2</w:t>
      </w:r>
      <w:r w:rsidR="007074D5">
        <w:rPr>
          <w:rFonts w:asciiTheme="minorHAnsi" w:hAnsiTheme="minorHAnsi"/>
          <w:b/>
          <w:lang w:val="en-US"/>
        </w:rPr>
        <w:t>0</w:t>
      </w:r>
      <w:r w:rsidR="00B5179A" w:rsidRPr="008D348D">
        <w:rPr>
          <w:rFonts w:asciiTheme="minorHAnsi" w:hAnsiTheme="minorHAnsi"/>
          <w:b/>
          <w:lang w:val="en-US"/>
        </w:rPr>
        <w:t>,</w:t>
      </w:r>
      <w:r w:rsidR="00B5179A">
        <w:rPr>
          <w:rFonts w:asciiTheme="minorHAnsi" w:hAnsiTheme="minorHAnsi"/>
          <w:b/>
          <w:lang w:val="en-US"/>
        </w:rPr>
        <w:t xml:space="preserve"> 201</w:t>
      </w:r>
      <w:r w:rsidR="007074D5">
        <w:rPr>
          <w:rFonts w:asciiTheme="minorHAnsi" w:hAnsiTheme="minorHAnsi"/>
          <w:b/>
          <w:lang w:val="en-US"/>
        </w:rPr>
        <w:t>8</w:t>
      </w:r>
      <w:r w:rsidRPr="001A56A4">
        <w:rPr>
          <w:rFonts w:asciiTheme="minorHAnsi" w:hAnsiTheme="minorHAnsi"/>
          <w:b/>
          <w:lang w:val="en-US"/>
        </w:rPr>
        <w:t xml:space="preserve"> –</w:t>
      </w:r>
      <w:r w:rsidRPr="003A415F">
        <w:rPr>
          <w:rFonts w:asciiTheme="minorHAnsi" w:hAnsiTheme="minorHAnsi"/>
          <w:b/>
          <w:lang w:val="en-US"/>
        </w:rPr>
        <w:t xml:space="preserve"> </w:t>
      </w:r>
      <w:r w:rsidR="002C75A9" w:rsidRPr="002C75A9">
        <w:rPr>
          <w:rFonts w:asciiTheme="minorHAnsi" w:hAnsiTheme="minorHAnsi"/>
          <w:b/>
          <w:lang w:val="en-US"/>
        </w:rPr>
        <w:t xml:space="preserve">INA Group realized an increase in revenues across all segments, with a 20% growth compared to 2016 levels. This increase, together with results of optimization measures from past periods, led to </w:t>
      </w:r>
      <w:r w:rsidR="00082D5D" w:rsidRPr="00082D5D">
        <w:rPr>
          <w:rFonts w:asciiTheme="minorHAnsi" w:hAnsiTheme="minorHAnsi"/>
          <w:b/>
          <w:lang w:val="en-US"/>
        </w:rPr>
        <w:t xml:space="preserve">HRK 3,215 million EBITDA, representing a substantial 52% increase from 2016. Such a </w:t>
      </w:r>
      <w:r w:rsidR="002C75A9">
        <w:rPr>
          <w:rFonts w:asciiTheme="minorHAnsi" w:hAnsiTheme="minorHAnsi"/>
          <w:b/>
          <w:lang w:val="en-US"/>
        </w:rPr>
        <w:t>robust</w:t>
      </w:r>
      <w:r w:rsidR="002C75A9" w:rsidRPr="00082D5D">
        <w:rPr>
          <w:rFonts w:asciiTheme="minorHAnsi" w:hAnsiTheme="minorHAnsi"/>
          <w:b/>
          <w:lang w:val="en-US"/>
        </w:rPr>
        <w:t xml:space="preserve"> </w:t>
      </w:r>
      <w:r w:rsidR="00082D5D" w:rsidRPr="00082D5D">
        <w:rPr>
          <w:rFonts w:asciiTheme="minorHAnsi" w:hAnsiTheme="minorHAnsi"/>
          <w:b/>
          <w:lang w:val="en-US"/>
        </w:rPr>
        <w:t>operating performance was also reflected in net profit surging to HRK 1,220 million in 2017, comp</w:t>
      </w:r>
      <w:r w:rsidR="00082D5D">
        <w:rPr>
          <w:rFonts w:asciiTheme="minorHAnsi" w:hAnsiTheme="minorHAnsi"/>
          <w:b/>
          <w:lang w:val="en-US"/>
        </w:rPr>
        <w:t>ared to HRK 101 million in 2016</w:t>
      </w:r>
      <w:r w:rsidR="00CA2024" w:rsidRPr="00CA2024">
        <w:rPr>
          <w:rFonts w:asciiTheme="minorHAnsi" w:hAnsiTheme="minorHAnsi"/>
          <w:b/>
          <w:lang w:val="en-US"/>
        </w:rPr>
        <w:t xml:space="preserve">. </w:t>
      </w:r>
    </w:p>
    <w:p w14:paraId="4A24D699" w14:textId="77777777" w:rsidR="00CA2024" w:rsidRDefault="00CA2024" w:rsidP="00E11167">
      <w:pPr>
        <w:spacing w:line="360" w:lineRule="auto"/>
        <w:jc w:val="both"/>
        <w:rPr>
          <w:rFonts w:asciiTheme="minorHAnsi" w:hAnsiTheme="minorHAnsi"/>
          <w:b/>
          <w:lang w:val="en-US"/>
        </w:rPr>
      </w:pPr>
    </w:p>
    <w:p w14:paraId="79D984F2" w14:textId="6A307D0F" w:rsidR="00941CF3" w:rsidRDefault="00941CF3" w:rsidP="00CA2024">
      <w:pPr>
        <w:spacing w:line="360" w:lineRule="auto"/>
        <w:jc w:val="both"/>
        <w:rPr>
          <w:rFonts w:asciiTheme="minorHAnsi" w:hAnsiTheme="minorHAnsi"/>
          <w:lang w:val="en-US"/>
        </w:rPr>
      </w:pPr>
      <w:r w:rsidRPr="00941CF3">
        <w:rPr>
          <w:rFonts w:asciiTheme="minorHAnsi" w:hAnsiTheme="minorHAnsi"/>
          <w:lang w:val="en-US"/>
        </w:rPr>
        <w:t xml:space="preserve">Exploration &amp; Production benefited from the positive external environment with 24% higher Brent price, which together with higher </w:t>
      </w:r>
      <w:proofErr w:type="spellStart"/>
      <w:r w:rsidRPr="00941CF3">
        <w:rPr>
          <w:rFonts w:asciiTheme="minorHAnsi" w:hAnsiTheme="minorHAnsi"/>
          <w:lang w:val="en-US"/>
        </w:rPr>
        <w:t>realised</w:t>
      </w:r>
      <w:proofErr w:type="spellEnd"/>
      <w:r w:rsidRPr="00941CF3">
        <w:rPr>
          <w:rFonts w:asciiTheme="minorHAnsi" w:hAnsiTheme="minorHAnsi"/>
          <w:lang w:val="en-US"/>
        </w:rPr>
        <w:t xml:space="preserve"> gas prices and a slight increase in domestic on-shore production contributed to the 42% uplift in operating profit to HRK 1,666 million.</w:t>
      </w:r>
      <w:r>
        <w:rPr>
          <w:rFonts w:asciiTheme="minorHAnsi" w:hAnsiTheme="minorHAnsi"/>
          <w:lang w:val="en-US"/>
        </w:rPr>
        <w:t xml:space="preserve"> </w:t>
      </w:r>
    </w:p>
    <w:p w14:paraId="613A910C" w14:textId="77777777" w:rsidR="00941CF3" w:rsidRDefault="00941CF3" w:rsidP="00CA2024">
      <w:pPr>
        <w:spacing w:line="360" w:lineRule="auto"/>
        <w:jc w:val="both"/>
        <w:rPr>
          <w:rFonts w:asciiTheme="minorHAnsi" w:hAnsiTheme="minorHAnsi"/>
          <w:lang w:val="en-US"/>
        </w:rPr>
      </w:pPr>
    </w:p>
    <w:p w14:paraId="382C94A9" w14:textId="1FEE39AA" w:rsidR="00CA2024" w:rsidRPr="00CA2024" w:rsidRDefault="00941CF3" w:rsidP="00CA2024">
      <w:pPr>
        <w:spacing w:line="360" w:lineRule="auto"/>
        <w:jc w:val="both"/>
        <w:rPr>
          <w:rFonts w:asciiTheme="minorHAnsi" w:hAnsiTheme="minorHAnsi"/>
          <w:lang w:val="en-US"/>
        </w:rPr>
      </w:pPr>
      <w:r w:rsidRPr="00941CF3">
        <w:rPr>
          <w:rFonts w:asciiTheme="minorHAnsi" w:hAnsiTheme="minorHAnsi"/>
          <w:lang w:val="en-US"/>
        </w:rPr>
        <w:t xml:space="preserve">Refining &amp; Marketing incl. Retail reported better financial performance, as INA was able to capture the positive external environment of higher crack spreads and increased total sales volumes with CCS EBITDA excl. special items amounting to HRK 806 million, compared to HRK </w:t>
      </w:r>
      <w:r w:rsidRPr="00941CF3">
        <w:rPr>
          <w:rFonts w:asciiTheme="minorHAnsi" w:hAnsiTheme="minorHAnsi"/>
          <w:lang w:val="en-US"/>
        </w:rPr>
        <w:lastRenderedPageBreak/>
        <w:t>350 million in 2016. Retail sales volumes increased on the back of the network expansion in Bosnia</w:t>
      </w:r>
      <w:r w:rsidR="002C75A9">
        <w:rPr>
          <w:rFonts w:asciiTheme="minorHAnsi" w:hAnsiTheme="minorHAnsi"/>
          <w:lang w:val="en-US"/>
        </w:rPr>
        <w:t xml:space="preserve"> and Herzegovina</w:t>
      </w:r>
      <w:r w:rsidRPr="00941CF3">
        <w:rPr>
          <w:rFonts w:asciiTheme="minorHAnsi" w:hAnsiTheme="minorHAnsi"/>
          <w:lang w:val="en-US"/>
        </w:rPr>
        <w:t xml:space="preserve"> and a slight econo</w:t>
      </w:r>
      <w:r>
        <w:rPr>
          <w:rFonts w:asciiTheme="minorHAnsi" w:hAnsiTheme="minorHAnsi"/>
          <w:lang w:val="en-US"/>
        </w:rPr>
        <w:t>m</w:t>
      </w:r>
      <w:r w:rsidRPr="00941CF3">
        <w:rPr>
          <w:rFonts w:asciiTheme="minorHAnsi" w:hAnsiTheme="minorHAnsi"/>
          <w:lang w:val="en-US"/>
        </w:rPr>
        <w:t>ic rebound together with positive development in premium fuels and non-fuel sales.</w:t>
      </w:r>
    </w:p>
    <w:p w14:paraId="214FF3DC" w14:textId="77777777" w:rsidR="00CA2024" w:rsidRPr="00CA2024" w:rsidRDefault="00CA2024" w:rsidP="00CA2024">
      <w:pPr>
        <w:spacing w:line="360" w:lineRule="auto"/>
        <w:jc w:val="both"/>
        <w:rPr>
          <w:rFonts w:asciiTheme="minorHAnsi" w:hAnsiTheme="minorHAnsi"/>
          <w:lang w:val="en-US"/>
        </w:rPr>
      </w:pPr>
    </w:p>
    <w:p w14:paraId="1C071F24" w14:textId="6320B0AB" w:rsidR="00564017" w:rsidRDefault="00941CF3" w:rsidP="00CA2024">
      <w:pPr>
        <w:spacing w:line="360" w:lineRule="auto"/>
        <w:jc w:val="both"/>
        <w:rPr>
          <w:rFonts w:asciiTheme="minorHAnsi" w:hAnsiTheme="minorHAnsi"/>
          <w:lang w:val="en-US"/>
        </w:rPr>
      </w:pPr>
      <w:r w:rsidRPr="00941CF3">
        <w:rPr>
          <w:rFonts w:asciiTheme="minorHAnsi" w:hAnsiTheme="minorHAnsi"/>
          <w:lang w:val="en-US"/>
        </w:rPr>
        <w:t xml:space="preserve">CAPEX </w:t>
      </w:r>
      <w:r w:rsidR="002C75A9" w:rsidRPr="002C75A9">
        <w:rPr>
          <w:rFonts w:asciiTheme="minorHAnsi" w:hAnsiTheme="minorHAnsi"/>
          <w:lang w:val="en-US"/>
        </w:rPr>
        <w:t xml:space="preserve">performance remained strong at </w:t>
      </w:r>
      <w:r w:rsidRPr="00941CF3">
        <w:rPr>
          <w:rFonts w:asciiTheme="minorHAnsi" w:hAnsiTheme="minorHAnsi"/>
          <w:lang w:val="en-US"/>
        </w:rPr>
        <w:t xml:space="preserve">HRK 1,393 million, </w:t>
      </w:r>
      <w:r w:rsidR="002C75A9" w:rsidRPr="002C75A9">
        <w:rPr>
          <w:rFonts w:asciiTheme="minorHAnsi" w:hAnsiTheme="minorHAnsi"/>
          <w:lang w:val="en-US"/>
        </w:rPr>
        <w:t xml:space="preserve">at the 2016 level, with increased spending in Croatia. At the same time </w:t>
      </w:r>
      <w:r w:rsidRPr="00941CF3">
        <w:rPr>
          <w:rFonts w:asciiTheme="minorHAnsi" w:hAnsiTheme="minorHAnsi"/>
          <w:lang w:val="en-US"/>
        </w:rPr>
        <w:t>net debt decreased to HRK 1,397 million and net gearing at 10.8%</w:t>
      </w:r>
      <w:r w:rsidR="00B93F58" w:rsidRPr="00B93F58">
        <w:rPr>
          <w:rFonts w:asciiTheme="minorHAnsi" w:hAnsiTheme="minorHAnsi"/>
          <w:lang w:val="en-US"/>
        </w:rPr>
        <w:t>.</w:t>
      </w:r>
      <w:r w:rsidR="008F4F64">
        <w:rPr>
          <w:rFonts w:asciiTheme="minorHAnsi" w:hAnsiTheme="minorHAnsi"/>
          <w:lang w:val="en-US"/>
        </w:rPr>
        <w:t xml:space="preserve"> </w:t>
      </w:r>
    </w:p>
    <w:p w14:paraId="58426225" w14:textId="77777777" w:rsidR="00B22218" w:rsidRPr="003A415F" w:rsidRDefault="00B22218" w:rsidP="00E11167">
      <w:pPr>
        <w:spacing w:line="360" w:lineRule="auto"/>
        <w:jc w:val="both"/>
        <w:rPr>
          <w:rFonts w:asciiTheme="minorHAnsi" w:hAnsiTheme="minorHAnsi"/>
          <w:lang w:val="en-US"/>
        </w:rPr>
      </w:pPr>
    </w:p>
    <w:p w14:paraId="3ED103EF" w14:textId="77777777" w:rsidR="009A1267" w:rsidRPr="009A1267" w:rsidRDefault="009A1267" w:rsidP="009A1267">
      <w:pPr>
        <w:spacing w:line="360" w:lineRule="auto"/>
        <w:jc w:val="both"/>
        <w:rPr>
          <w:rFonts w:asciiTheme="minorHAnsi" w:hAnsiTheme="minorHAnsi"/>
          <w:lang w:val="en-US"/>
        </w:rPr>
      </w:pPr>
      <w:r w:rsidRPr="009A1267">
        <w:rPr>
          <w:rFonts w:asciiTheme="minorHAnsi" w:hAnsiTheme="minorHAnsi"/>
          <w:lang w:val="en-US"/>
        </w:rPr>
        <w:t xml:space="preserve">Statement of Mr. Zoltán Áldott, </w:t>
      </w:r>
      <w:r w:rsidR="00024352" w:rsidRPr="009A1267">
        <w:rPr>
          <w:rFonts w:asciiTheme="minorHAnsi" w:hAnsiTheme="minorHAnsi"/>
          <w:lang w:val="en-US"/>
        </w:rPr>
        <w:t xml:space="preserve">President of the Management Board of INA: </w:t>
      </w:r>
    </w:p>
    <w:p w14:paraId="344F10E5" w14:textId="7390CA81" w:rsidR="009A1267" w:rsidRPr="009A1267" w:rsidRDefault="000D5616" w:rsidP="009A1267">
      <w:pPr>
        <w:spacing w:line="360" w:lineRule="auto"/>
        <w:jc w:val="both"/>
        <w:rPr>
          <w:rFonts w:asciiTheme="minorHAnsi" w:hAnsiTheme="minorHAnsi"/>
          <w:lang w:val="en-US"/>
        </w:rPr>
      </w:pPr>
      <w:r w:rsidRPr="009A1267">
        <w:rPr>
          <w:rFonts w:asciiTheme="minorHAnsi" w:hAnsiTheme="minorHAnsi"/>
          <w:lang w:val="en-US"/>
        </w:rPr>
        <w:t>“</w:t>
      </w:r>
      <w:r w:rsidR="009A1267" w:rsidRPr="009A1267">
        <w:rPr>
          <w:rFonts w:asciiTheme="minorHAnsi" w:hAnsiTheme="minorHAnsi"/>
          <w:lang w:val="en-US"/>
        </w:rPr>
        <w:t>In 2017 INA Group posted one of the strongest results in its recent history. We demonstrated our ability to capture the benefit of higher prices delivering strong EBITDA of over HRK 3.2 billion, a 52% increase compared to 2016.</w:t>
      </w:r>
    </w:p>
    <w:p w14:paraId="5847E4DA" w14:textId="77777777" w:rsidR="009A1267" w:rsidRPr="009A1267" w:rsidRDefault="009A1267" w:rsidP="009A1267">
      <w:pPr>
        <w:spacing w:line="360" w:lineRule="auto"/>
        <w:jc w:val="both"/>
        <w:rPr>
          <w:rFonts w:asciiTheme="minorHAnsi" w:hAnsiTheme="minorHAnsi"/>
          <w:lang w:val="en-US"/>
        </w:rPr>
      </w:pPr>
      <w:r w:rsidRPr="009A1267">
        <w:rPr>
          <w:rFonts w:asciiTheme="minorHAnsi" w:hAnsiTheme="minorHAnsi"/>
          <w:lang w:val="en-US"/>
        </w:rPr>
        <w:t>We identified two main pillars of our operations: the first being focus on growth and the second including operational excellence and top efficiency performance. We delivered in both areas. INA’s focus on strengthening sales activities led to an increase of top line revenues by 20% compared to 2016. Thanks to oil derivatives wholesale (12% increase), retail (4% increase), as well as natural gas trading (8% increase) we improved sales value and further positioned INA as a leading player on all our key markets. Continuous efficiency measures implemented in the last two years were the basis on which we were able to deliver new value even in a low price environment. CAPEX spending stayed robust at level of HRK 1.4 billion, in line with the previous year and with an increase on investments in Croatia.</w:t>
      </w:r>
    </w:p>
    <w:p w14:paraId="592359DB" w14:textId="77777777" w:rsidR="009A1267" w:rsidRPr="009A1267" w:rsidRDefault="009A1267" w:rsidP="009A1267">
      <w:pPr>
        <w:spacing w:line="360" w:lineRule="auto"/>
        <w:jc w:val="both"/>
        <w:rPr>
          <w:rFonts w:asciiTheme="minorHAnsi" w:hAnsiTheme="minorHAnsi"/>
          <w:lang w:val="en-US"/>
        </w:rPr>
      </w:pPr>
      <w:r w:rsidRPr="009A1267">
        <w:rPr>
          <w:rFonts w:asciiTheme="minorHAnsi" w:hAnsiTheme="minorHAnsi"/>
          <w:lang w:val="en-US"/>
        </w:rPr>
        <w:t xml:space="preserve">We generated strong free cash flow on the back of our integrated business model, with significant contribution of our </w:t>
      </w:r>
      <w:proofErr w:type="gramStart"/>
      <w:r w:rsidRPr="009A1267">
        <w:rPr>
          <w:rFonts w:asciiTheme="minorHAnsi" w:hAnsiTheme="minorHAnsi"/>
          <w:lang w:val="en-US"/>
        </w:rPr>
        <w:t>Upstream</w:t>
      </w:r>
      <w:proofErr w:type="gramEnd"/>
      <w:r w:rsidRPr="009A1267">
        <w:rPr>
          <w:rFonts w:asciiTheme="minorHAnsi" w:hAnsiTheme="minorHAnsi"/>
          <w:lang w:val="en-US"/>
        </w:rPr>
        <w:t xml:space="preserve"> business, which benefited from the positive external environment together with a moderate increase in domestic crude oil production. Although we are faced with natural decline of our mature fields, we made significant efforts in increasing production on our mature domestic oil fields, exploiting the maximum potential by </w:t>
      </w:r>
      <w:r w:rsidRPr="009A1267">
        <w:rPr>
          <w:rFonts w:asciiTheme="minorHAnsi" w:hAnsiTheme="minorHAnsi"/>
          <w:lang w:val="en-US"/>
        </w:rPr>
        <w:lastRenderedPageBreak/>
        <w:t>implementing the Full Field Optimization (FFO) concept and performing various well activities with success. This resulted with an increase of domestic crude oil production back to levels seen 10 years ago.</w:t>
      </w:r>
    </w:p>
    <w:p w14:paraId="3C3B1E85" w14:textId="3CE2006C" w:rsidR="009A1267" w:rsidRPr="009A1267" w:rsidRDefault="009A1267" w:rsidP="009A1267">
      <w:pPr>
        <w:spacing w:line="360" w:lineRule="auto"/>
        <w:jc w:val="both"/>
        <w:rPr>
          <w:rFonts w:asciiTheme="minorHAnsi" w:hAnsiTheme="minorHAnsi"/>
          <w:lang w:val="en-US"/>
        </w:rPr>
      </w:pPr>
      <w:r w:rsidRPr="009A1267">
        <w:rPr>
          <w:rFonts w:asciiTheme="minorHAnsi" w:hAnsiTheme="minorHAnsi"/>
          <w:lang w:val="en-US"/>
        </w:rPr>
        <w:t xml:space="preserve">Downstream business generated strong EBITDA with positive cash flow, the strongest result in a decade, demonstrating not only our ability to capture positive environment of higher crack spreads, but also our efforts in number of other operating activities and efficiency measures. These activities resulted in an introduction of two new fuels, a strong position on the Croatian market, increased sales on all markets, record volumes in Rijeka logistics, with strong focus on safety and environment. One of the major challenges in front of us is pursuing options which will make our Refining and marketing business sustainable and profitable in the long run. With that in mind, we need to </w:t>
      </w:r>
      <w:r w:rsidR="00607188" w:rsidRPr="009A1267">
        <w:rPr>
          <w:rFonts w:asciiTheme="minorHAnsi" w:hAnsiTheme="minorHAnsi"/>
          <w:lang w:val="en-US"/>
        </w:rPr>
        <w:t>emphasize</w:t>
      </w:r>
      <w:r w:rsidRPr="009A1267">
        <w:rPr>
          <w:rFonts w:asciiTheme="minorHAnsi" w:hAnsiTheme="minorHAnsi"/>
          <w:lang w:val="en-US"/>
        </w:rPr>
        <w:t xml:space="preserve"> Sisak refinery results which continue to burden INA’s R&amp;M performance with a negative operating result of HRK (207) million loss in 2017 and HRK (264) million loss in the previous year.</w:t>
      </w:r>
    </w:p>
    <w:p w14:paraId="430EA6BD" w14:textId="77777777" w:rsidR="009A1267" w:rsidRPr="009A1267" w:rsidRDefault="009A1267" w:rsidP="009A1267">
      <w:pPr>
        <w:spacing w:line="360" w:lineRule="auto"/>
        <w:jc w:val="both"/>
        <w:rPr>
          <w:rFonts w:asciiTheme="minorHAnsi" w:hAnsiTheme="minorHAnsi"/>
          <w:lang w:val="en-US"/>
        </w:rPr>
      </w:pPr>
      <w:r w:rsidRPr="009A1267">
        <w:rPr>
          <w:rFonts w:asciiTheme="minorHAnsi" w:hAnsiTheme="minorHAnsi"/>
          <w:lang w:val="en-US"/>
        </w:rPr>
        <w:t xml:space="preserve">We believe that having a quality refining portfolio together with high quality services within our retail network is the core to our vertically integrated business model, as it provides optimization opportunities in this highly competitive market. This is why we continually invest in introduction of new and additional services at our service stations, tailored to needs and requirements of our customers. </w:t>
      </w:r>
    </w:p>
    <w:p w14:paraId="05BC1CE2" w14:textId="241F7302" w:rsidR="00564017" w:rsidRDefault="009A1267" w:rsidP="009A1267">
      <w:pPr>
        <w:spacing w:line="360" w:lineRule="auto"/>
        <w:jc w:val="both"/>
        <w:rPr>
          <w:rFonts w:asciiTheme="minorHAnsi" w:hAnsiTheme="minorHAnsi"/>
          <w:lang w:val="en-US"/>
        </w:rPr>
      </w:pPr>
      <w:r w:rsidRPr="009A1267">
        <w:rPr>
          <w:rFonts w:asciiTheme="minorHAnsi" w:hAnsiTheme="minorHAnsi"/>
          <w:lang w:val="en-US"/>
        </w:rPr>
        <w:t>Although we significantly improved our financial position bringing net debt to a historical year low, it still requires a lot of effort to be continually prepared for quick adjustments and to be able to successfully manage all the businesses in the environment of uncertainty, complexity and volatility.</w:t>
      </w:r>
      <w:r w:rsidR="00024352" w:rsidRPr="009A1267">
        <w:rPr>
          <w:rFonts w:asciiTheme="minorHAnsi" w:hAnsiTheme="minorHAnsi"/>
          <w:lang w:val="en-US"/>
        </w:rPr>
        <w:t>”</w:t>
      </w:r>
    </w:p>
    <w:p w14:paraId="39DCA940" w14:textId="77777777" w:rsidR="000719BA" w:rsidRDefault="000719BA" w:rsidP="00160C7A">
      <w:pPr>
        <w:spacing w:line="360" w:lineRule="auto"/>
        <w:jc w:val="both"/>
        <w:rPr>
          <w:rFonts w:asciiTheme="minorHAnsi" w:hAnsiTheme="minorHAnsi"/>
          <w:lang w:val="en-US"/>
        </w:rPr>
      </w:pPr>
    </w:p>
    <w:p w14:paraId="38A700FF" w14:textId="77777777" w:rsidR="006A53F0" w:rsidRDefault="006A53F0" w:rsidP="00160C7A">
      <w:pPr>
        <w:spacing w:line="360" w:lineRule="auto"/>
        <w:jc w:val="both"/>
        <w:rPr>
          <w:rFonts w:asciiTheme="minorHAnsi" w:hAnsiTheme="minorHAnsi"/>
          <w:lang w:val="en-US"/>
        </w:rPr>
      </w:pPr>
    </w:p>
    <w:p w14:paraId="79DE0A7A" w14:textId="77777777" w:rsidR="006A53F0" w:rsidRDefault="006A53F0" w:rsidP="00160C7A">
      <w:pPr>
        <w:spacing w:line="360" w:lineRule="auto"/>
        <w:jc w:val="both"/>
        <w:rPr>
          <w:rFonts w:asciiTheme="minorHAnsi" w:hAnsiTheme="minorHAnsi"/>
          <w:lang w:val="en-US"/>
        </w:rPr>
      </w:pPr>
    </w:p>
    <w:p w14:paraId="5644F456" w14:textId="77777777" w:rsidR="006A53F0" w:rsidRDefault="006A53F0" w:rsidP="00160C7A">
      <w:pPr>
        <w:spacing w:line="360" w:lineRule="auto"/>
        <w:jc w:val="both"/>
        <w:rPr>
          <w:rFonts w:asciiTheme="minorHAnsi" w:hAnsiTheme="minorHAnsi"/>
          <w:lang w:val="en-US"/>
        </w:rPr>
      </w:pPr>
    </w:p>
    <w:p w14:paraId="3C9966B5" w14:textId="3FA0022B" w:rsidR="00E11167" w:rsidRDefault="008D7A67" w:rsidP="00160C7A">
      <w:pPr>
        <w:spacing w:line="360" w:lineRule="auto"/>
        <w:jc w:val="center"/>
        <w:rPr>
          <w:rFonts w:asciiTheme="minorHAnsi" w:hAnsiTheme="minorHAnsi"/>
          <w:b/>
          <w:lang w:val="en-US"/>
        </w:rPr>
      </w:pPr>
      <w:r>
        <w:rPr>
          <w:rFonts w:asciiTheme="minorHAnsi" w:hAnsiTheme="minorHAnsi"/>
          <w:b/>
          <w:lang w:val="en-US"/>
        </w:rPr>
        <w:lastRenderedPageBreak/>
        <w:t>Operating</w:t>
      </w:r>
      <w:r w:rsidRPr="003A415F">
        <w:rPr>
          <w:rFonts w:asciiTheme="minorHAnsi" w:hAnsiTheme="minorHAnsi"/>
          <w:b/>
          <w:lang w:val="en-US"/>
        </w:rPr>
        <w:t xml:space="preserve"> </w:t>
      </w:r>
      <w:r w:rsidR="00E11167" w:rsidRPr="003A415F">
        <w:rPr>
          <w:rFonts w:asciiTheme="minorHAnsi" w:hAnsiTheme="minorHAnsi"/>
          <w:b/>
          <w:lang w:val="en-US"/>
        </w:rPr>
        <w:t>results overview</w:t>
      </w:r>
    </w:p>
    <w:p w14:paraId="0796E263" w14:textId="77777777" w:rsidR="00160C7A" w:rsidRPr="00160C7A" w:rsidRDefault="00160C7A" w:rsidP="00160C7A">
      <w:pPr>
        <w:spacing w:line="360" w:lineRule="auto"/>
        <w:jc w:val="center"/>
        <w:rPr>
          <w:rFonts w:asciiTheme="minorHAnsi" w:hAnsiTheme="minorHAnsi"/>
          <w:b/>
          <w:lang w:val="en-US"/>
        </w:rPr>
      </w:pPr>
    </w:p>
    <w:p w14:paraId="6405F35C" w14:textId="4B0BE5D2"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Group’s EBITDA was HRK </w:t>
      </w:r>
      <w:r w:rsidR="00941CF3">
        <w:rPr>
          <w:rFonts w:asciiTheme="minorHAnsi" w:hAnsiTheme="minorHAnsi"/>
          <w:lang w:val="en-US"/>
        </w:rPr>
        <w:t>3</w:t>
      </w:r>
      <w:r w:rsidR="00157B79">
        <w:rPr>
          <w:rFonts w:asciiTheme="minorHAnsi" w:hAnsiTheme="minorHAnsi"/>
          <w:lang w:val="en-US"/>
        </w:rPr>
        <w:t>,</w:t>
      </w:r>
      <w:r w:rsidR="00941CF3">
        <w:rPr>
          <w:rFonts w:asciiTheme="minorHAnsi" w:hAnsiTheme="minorHAnsi"/>
          <w:lang w:val="en-US"/>
        </w:rPr>
        <w:t>215</w:t>
      </w:r>
      <w:r w:rsidRPr="003A415F">
        <w:rPr>
          <w:rFonts w:asciiTheme="minorHAnsi" w:hAnsiTheme="minorHAnsi"/>
          <w:lang w:val="en-US"/>
        </w:rPr>
        <w:t xml:space="preserve"> </w:t>
      </w:r>
      <w:r w:rsidR="00964084">
        <w:rPr>
          <w:rFonts w:asciiTheme="minorHAnsi" w:hAnsiTheme="minorHAnsi"/>
          <w:lang w:val="en-US"/>
        </w:rPr>
        <w:t>m</w:t>
      </w:r>
      <w:r w:rsidRPr="003A415F">
        <w:rPr>
          <w:rFonts w:asciiTheme="minorHAnsi" w:hAnsiTheme="minorHAnsi"/>
          <w:lang w:val="en-US"/>
        </w:rPr>
        <w:t>illion</w:t>
      </w:r>
    </w:p>
    <w:p w14:paraId="535606CF" w14:textId="6A5B0526"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Operating profit</w:t>
      </w:r>
      <w:r w:rsidR="000719BA">
        <w:rPr>
          <w:rFonts w:asciiTheme="minorHAnsi" w:hAnsiTheme="minorHAnsi"/>
          <w:lang w:val="en-US"/>
        </w:rPr>
        <w:t xml:space="preserve"> </w:t>
      </w:r>
      <w:r w:rsidRPr="003A415F">
        <w:rPr>
          <w:rFonts w:asciiTheme="minorHAnsi" w:hAnsiTheme="minorHAnsi"/>
          <w:lang w:val="en-US"/>
        </w:rPr>
        <w:t xml:space="preserve">amounted to HRK </w:t>
      </w:r>
      <w:r w:rsidR="000719BA">
        <w:rPr>
          <w:rFonts w:asciiTheme="minorHAnsi" w:hAnsiTheme="minorHAnsi"/>
          <w:lang w:val="en-US"/>
        </w:rPr>
        <w:t>1,</w:t>
      </w:r>
      <w:r w:rsidR="00941CF3">
        <w:rPr>
          <w:rFonts w:asciiTheme="minorHAnsi" w:hAnsiTheme="minorHAnsi"/>
          <w:lang w:val="en-US"/>
        </w:rPr>
        <w:t>418</w:t>
      </w:r>
      <w:r w:rsidR="009B4B71">
        <w:rPr>
          <w:rFonts w:asciiTheme="minorHAnsi" w:hAnsiTheme="minorHAnsi"/>
          <w:lang w:val="en-US"/>
        </w:rPr>
        <w:t xml:space="preserve"> </w:t>
      </w:r>
      <w:r w:rsidRPr="003A415F">
        <w:rPr>
          <w:rFonts w:asciiTheme="minorHAnsi" w:hAnsiTheme="minorHAnsi"/>
          <w:lang w:val="en-US"/>
        </w:rPr>
        <w:t>million</w:t>
      </w:r>
    </w:p>
    <w:p w14:paraId="26500CBE" w14:textId="1E9D4DB6"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Net profit </w:t>
      </w:r>
      <w:r w:rsidR="00144630">
        <w:rPr>
          <w:rFonts w:asciiTheme="minorHAnsi" w:hAnsiTheme="minorHAnsi"/>
          <w:lang w:val="en-US"/>
        </w:rPr>
        <w:t>excluding special items</w:t>
      </w:r>
      <w:r w:rsidR="00144630" w:rsidRPr="00144630">
        <w:rPr>
          <w:rFonts w:asciiTheme="minorHAnsi" w:hAnsiTheme="minorHAnsi"/>
          <w:vertAlign w:val="superscript"/>
          <w:lang w:val="en-US"/>
        </w:rPr>
        <w:footnoteReference w:id="2"/>
      </w:r>
      <w:r w:rsidR="00144630" w:rsidRPr="00144630">
        <w:rPr>
          <w:rFonts w:asciiTheme="minorHAnsi" w:hAnsiTheme="minorHAnsi"/>
          <w:lang w:val="en-US"/>
        </w:rPr>
        <w:t xml:space="preserve"> </w:t>
      </w:r>
      <w:r w:rsidRPr="003A415F">
        <w:rPr>
          <w:rFonts w:asciiTheme="minorHAnsi" w:hAnsiTheme="minorHAnsi"/>
          <w:lang w:val="en-US"/>
        </w:rPr>
        <w:t xml:space="preserve">amounted to HRK </w:t>
      </w:r>
      <w:r w:rsidR="00941CF3">
        <w:rPr>
          <w:rFonts w:asciiTheme="minorHAnsi" w:hAnsiTheme="minorHAnsi"/>
          <w:lang w:val="en-US"/>
        </w:rPr>
        <w:t>1,18</w:t>
      </w:r>
      <w:r w:rsidR="005E67FB">
        <w:rPr>
          <w:rFonts w:asciiTheme="minorHAnsi" w:hAnsiTheme="minorHAnsi"/>
          <w:lang w:val="en-US"/>
        </w:rPr>
        <w:t>1</w:t>
      </w:r>
      <w:r w:rsidR="006A53F0">
        <w:rPr>
          <w:rFonts w:asciiTheme="minorHAnsi" w:hAnsiTheme="minorHAnsi"/>
          <w:lang w:val="en-US"/>
        </w:rPr>
        <w:t xml:space="preserve"> </w:t>
      </w:r>
      <w:r w:rsidRPr="003A415F">
        <w:rPr>
          <w:rFonts w:asciiTheme="minorHAnsi" w:hAnsiTheme="minorHAnsi"/>
          <w:lang w:val="en-US"/>
        </w:rPr>
        <w:t>million</w:t>
      </w:r>
    </w:p>
    <w:p w14:paraId="1BCB071A" w14:textId="44967601" w:rsidR="006A53F0" w:rsidRPr="009E36B1" w:rsidRDefault="00E11167" w:rsidP="009E36B1">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Capital expenditures reached </w:t>
      </w:r>
      <w:r w:rsidRPr="00775E00">
        <w:rPr>
          <w:rFonts w:asciiTheme="minorHAnsi" w:hAnsiTheme="minorHAnsi"/>
          <w:lang w:val="en-US"/>
        </w:rPr>
        <w:t xml:space="preserve">HRK </w:t>
      </w:r>
      <w:r w:rsidR="009F1D6A">
        <w:rPr>
          <w:rFonts w:asciiTheme="minorHAnsi" w:hAnsiTheme="minorHAnsi"/>
          <w:lang w:val="en-US"/>
        </w:rPr>
        <w:t>1,393</w:t>
      </w:r>
      <w:r w:rsidRPr="003A415F">
        <w:rPr>
          <w:rFonts w:asciiTheme="minorHAnsi" w:hAnsiTheme="minorHAnsi"/>
          <w:lang w:val="en-US"/>
        </w:rPr>
        <w:t xml:space="preserve"> million</w:t>
      </w:r>
    </w:p>
    <w:p w14:paraId="616B3D6C" w14:textId="705FB33E" w:rsidR="000A1EBF" w:rsidRDefault="000A1EBF" w:rsidP="00884F6F">
      <w:pPr>
        <w:pStyle w:val="ListParagraph"/>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4A1046B8" wp14:editId="6AD45F7A">
            <wp:extent cx="3005455" cy="2127885"/>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455" cy="2127885"/>
                    </a:xfrm>
                    <a:prstGeom prst="rect">
                      <a:avLst/>
                    </a:prstGeom>
                    <a:noFill/>
                  </pic:spPr>
                </pic:pic>
              </a:graphicData>
            </a:graphic>
          </wp:inline>
        </w:drawing>
      </w:r>
    </w:p>
    <w:p w14:paraId="302C2275" w14:textId="69A7DA22" w:rsidR="000A1EBF" w:rsidRDefault="000A1EBF" w:rsidP="00884F6F">
      <w:pPr>
        <w:pStyle w:val="ListParagraph"/>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1A9BCA19" wp14:editId="0F7DD6D8">
            <wp:extent cx="3005455" cy="212788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5455" cy="2127885"/>
                    </a:xfrm>
                    <a:prstGeom prst="rect">
                      <a:avLst/>
                    </a:prstGeom>
                    <a:noFill/>
                  </pic:spPr>
                </pic:pic>
              </a:graphicData>
            </a:graphic>
          </wp:inline>
        </w:drawing>
      </w:r>
    </w:p>
    <w:p w14:paraId="406E30B6" w14:textId="77777777" w:rsidR="006A53F0" w:rsidRDefault="006A53F0" w:rsidP="00B25B6A">
      <w:pPr>
        <w:spacing w:line="360" w:lineRule="auto"/>
        <w:jc w:val="both"/>
        <w:rPr>
          <w:rFonts w:asciiTheme="minorHAnsi" w:hAnsiTheme="minorHAnsi"/>
          <w:b/>
          <w:lang w:val="en-US"/>
        </w:rPr>
      </w:pPr>
    </w:p>
    <w:p w14:paraId="2412BD04" w14:textId="17304F07" w:rsidR="000A1EBF" w:rsidRDefault="00E11167" w:rsidP="00E2133B">
      <w:pPr>
        <w:spacing w:line="360" w:lineRule="auto"/>
        <w:jc w:val="both"/>
        <w:rPr>
          <w:rFonts w:asciiTheme="minorHAnsi" w:hAnsiTheme="minorHAnsi"/>
          <w:b/>
          <w:lang w:val="en-US"/>
        </w:rPr>
      </w:pPr>
      <w:r w:rsidRPr="003A415F">
        <w:rPr>
          <w:rFonts w:asciiTheme="minorHAnsi" w:hAnsiTheme="minorHAnsi"/>
          <w:b/>
          <w:lang w:val="en-US"/>
        </w:rPr>
        <w:lastRenderedPageBreak/>
        <w:t>Exploration and Production</w:t>
      </w:r>
      <w:r w:rsidR="00746587" w:rsidRPr="003A415F">
        <w:rPr>
          <w:rFonts w:asciiTheme="minorHAnsi" w:hAnsiTheme="minorHAnsi"/>
          <w:b/>
          <w:lang w:val="en-US"/>
        </w:rPr>
        <w:t xml:space="preserve"> –</w:t>
      </w:r>
      <w:r w:rsidRPr="003A415F">
        <w:rPr>
          <w:rFonts w:asciiTheme="minorHAnsi" w:hAnsiTheme="minorHAnsi"/>
          <w:lang w:val="en-US"/>
        </w:rPr>
        <w:t xml:space="preserve"> </w:t>
      </w:r>
      <w:r w:rsidR="006F736D" w:rsidRPr="006F736D">
        <w:rPr>
          <w:rFonts w:asciiTheme="minorHAnsi" w:hAnsiTheme="minorHAnsi"/>
          <w:lang w:val="en-US"/>
        </w:rPr>
        <w:t>In 201</w:t>
      </w:r>
      <w:r w:rsidR="001C4991">
        <w:rPr>
          <w:rFonts w:asciiTheme="minorHAnsi" w:hAnsiTheme="minorHAnsi"/>
          <w:lang w:val="en-US"/>
        </w:rPr>
        <w:t>7</w:t>
      </w:r>
      <w:r w:rsidR="006F736D" w:rsidRPr="006F736D">
        <w:rPr>
          <w:rFonts w:asciiTheme="minorHAnsi" w:hAnsiTheme="minorHAnsi"/>
          <w:lang w:val="en-US"/>
        </w:rPr>
        <w:t xml:space="preserve">, EBITDA reached HRK </w:t>
      </w:r>
      <w:r w:rsidR="009F1D6A">
        <w:rPr>
          <w:rFonts w:asciiTheme="minorHAnsi" w:hAnsiTheme="minorHAnsi"/>
          <w:lang w:val="en-US"/>
        </w:rPr>
        <w:t>2,474</w:t>
      </w:r>
      <w:r w:rsidR="006D4B5E">
        <w:rPr>
          <w:rFonts w:asciiTheme="minorHAnsi" w:hAnsiTheme="minorHAnsi"/>
          <w:lang w:val="en-US"/>
        </w:rPr>
        <w:t xml:space="preserve"> million</w:t>
      </w:r>
      <w:r w:rsidR="0044294B">
        <w:rPr>
          <w:rFonts w:asciiTheme="minorHAnsi" w:hAnsiTheme="minorHAnsi"/>
          <w:lang w:val="en-US"/>
        </w:rPr>
        <w:t xml:space="preserve">, </w:t>
      </w:r>
      <w:r w:rsidR="000719BA">
        <w:rPr>
          <w:rFonts w:asciiTheme="minorHAnsi" w:hAnsiTheme="minorHAnsi"/>
          <w:lang w:val="en-US"/>
        </w:rPr>
        <w:t>1</w:t>
      </w:r>
      <w:r w:rsidR="009F1D6A">
        <w:rPr>
          <w:rFonts w:asciiTheme="minorHAnsi" w:hAnsiTheme="minorHAnsi"/>
          <w:lang w:val="en-US"/>
        </w:rPr>
        <w:t>6</w:t>
      </w:r>
      <w:r w:rsidR="001C4991">
        <w:rPr>
          <w:rFonts w:asciiTheme="minorHAnsi" w:hAnsiTheme="minorHAnsi"/>
          <w:lang w:val="en-US"/>
        </w:rPr>
        <w:t>% more than in 2016</w:t>
      </w:r>
      <w:r w:rsidR="006F736D" w:rsidRPr="006F736D">
        <w:rPr>
          <w:rFonts w:asciiTheme="minorHAnsi" w:hAnsiTheme="minorHAnsi"/>
          <w:lang w:val="en-US"/>
        </w:rPr>
        <w:t xml:space="preserve">. </w:t>
      </w:r>
      <w:r w:rsidR="001C4991">
        <w:rPr>
          <w:rFonts w:asciiTheme="minorHAnsi" w:hAnsiTheme="minorHAnsi"/>
          <w:lang w:val="en-US"/>
        </w:rPr>
        <w:t xml:space="preserve">The </w:t>
      </w:r>
      <w:r w:rsidR="000719BA">
        <w:rPr>
          <w:rFonts w:asciiTheme="minorHAnsi" w:hAnsiTheme="minorHAnsi"/>
          <w:lang w:val="en-US"/>
        </w:rPr>
        <w:t>24</w:t>
      </w:r>
      <w:r w:rsidR="001C4991">
        <w:rPr>
          <w:rFonts w:asciiTheme="minorHAnsi" w:hAnsiTheme="minorHAnsi"/>
          <w:lang w:val="en-US"/>
        </w:rPr>
        <w:t xml:space="preserve">% higher Brent price had a positive effect on oil and condensate sales revenues in the amount of HRK </w:t>
      </w:r>
      <w:r w:rsidR="009F1D6A">
        <w:rPr>
          <w:rFonts w:asciiTheme="minorHAnsi" w:hAnsiTheme="minorHAnsi"/>
          <w:lang w:val="en-US"/>
        </w:rPr>
        <w:t>419</w:t>
      </w:r>
      <w:r w:rsidR="001C4991">
        <w:rPr>
          <w:rFonts w:asciiTheme="minorHAnsi" w:hAnsiTheme="minorHAnsi"/>
          <w:lang w:val="en-US"/>
        </w:rPr>
        <w:t xml:space="preserve"> million, while </w:t>
      </w:r>
      <w:r w:rsidR="009F1D6A">
        <w:rPr>
          <w:rFonts w:asciiTheme="minorHAnsi" w:hAnsiTheme="minorHAnsi"/>
          <w:lang w:val="en-US"/>
        </w:rPr>
        <w:t>higher</w:t>
      </w:r>
      <w:r w:rsidR="001C4991">
        <w:rPr>
          <w:rFonts w:asciiTheme="minorHAnsi" w:hAnsiTheme="minorHAnsi"/>
          <w:lang w:val="en-US"/>
        </w:rPr>
        <w:t xml:space="preserve"> </w:t>
      </w:r>
      <w:r w:rsidR="00BA1B39">
        <w:rPr>
          <w:rFonts w:asciiTheme="minorHAnsi" w:hAnsiTheme="minorHAnsi"/>
          <w:lang w:val="en-US"/>
        </w:rPr>
        <w:t>realized</w:t>
      </w:r>
      <w:r w:rsidR="001C4991">
        <w:rPr>
          <w:rFonts w:asciiTheme="minorHAnsi" w:hAnsiTheme="minorHAnsi"/>
          <w:lang w:val="en-US"/>
        </w:rPr>
        <w:t xml:space="preserve"> gas prices</w:t>
      </w:r>
      <w:r w:rsidR="002C75A9">
        <w:rPr>
          <w:rFonts w:asciiTheme="minorHAnsi" w:hAnsiTheme="minorHAnsi"/>
          <w:lang w:val="en-US"/>
        </w:rPr>
        <w:t>, together with customer base increase,</w:t>
      </w:r>
      <w:r w:rsidR="001C4991">
        <w:rPr>
          <w:rFonts w:asciiTheme="minorHAnsi" w:hAnsiTheme="minorHAnsi"/>
          <w:lang w:val="en-US"/>
        </w:rPr>
        <w:t xml:space="preserve"> </w:t>
      </w:r>
      <w:r w:rsidR="009F1D6A">
        <w:rPr>
          <w:rFonts w:asciiTheme="minorHAnsi" w:hAnsiTheme="minorHAnsi"/>
          <w:lang w:val="en-US"/>
        </w:rPr>
        <w:t>resulted in</w:t>
      </w:r>
      <w:r w:rsidR="001C4991">
        <w:rPr>
          <w:rFonts w:asciiTheme="minorHAnsi" w:hAnsiTheme="minorHAnsi"/>
          <w:lang w:val="en-US"/>
        </w:rPr>
        <w:t xml:space="preserve"> a HRK </w:t>
      </w:r>
      <w:r w:rsidR="009F1D6A">
        <w:rPr>
          <w:rFonts w:asciiTheme="minorHAnsi" w:hAnsiTheme="minorHAnsi"/>
          <w:lang w:val="en-US"/>
        </w:rPr>
        <w:t>14</w:t>
      </w:r>
      <w:r w:rsidR="001C4991">
        <w:rPr>
          <w:rFonts w:asciiTheme="minorHAnsi" w:hAnsiTheme="minorHAnsi"/>
          <w:lang w:val="en-US"/>
        </w:rPr>
        <w:t xml:space="preserve"> </w:t>
      </w:r>
      <w:r w:rsidR="00BB6BDD">
        <w:rPr>
          <w:rFonts w:asciiTheme="minorHAnsi" w:hAnsiTheme="minorHAnsi"/>
          <w:lang w:val="en-US"/>
        </w:rPr>
        <w:t xml:space="preserve">million </w:t>
      </w:r>
      <w:r w:rsidR="009F1D6A">
        <w:rPr>
          <w:rFonts w:asciiTheme="minorHAnsi" w:hAnsiTheme="minorHAnsi"/>
          <w:lang w:val="en-US"/>
        </w:rPr>
        <w:t>increase</w:t>
      </w:r>
      <w:r w:rsidR="001C4991">
        <w:rPr>
          <w:rFonts w:asciiTheme="minorHAnsi" w:hAnsiTheme="minorHAnsi"/>
          <w:lang w:val="en-US"/>
        </w:rPr>
        <w:t xml:space="preserve"> in revenues. Domestic crude oil production </w:t>
      </w:r>
      <w:r w:rsidR="009F1D6A">
        <w:rPr>
          <w:rFonts w:asciiTheme="minorHAnsi" w:hAnsiTheme="minorHAnsi"/>
          <w:lang w:val="en-US"/>
        </w:rPr>
        <w:t>improved</w:t>
      </w:r>
      <w:r w:rsidR="001C4991">
        <w:rPr>
          <w:rFonts w:asciiTheme="minorHAnsi" w:hAnsiTheme="minorHAnsi"/>
          <w:lang w:val="en-US"/>
        </w:rPr>
        <w:t xml:space="preserve"> </w:t>
      </w:r>
      <w:r w:rsidR="000719BA">
        <w:rPr>
          <w:rFonts w:asciiTheme="minorHAnsi" w:hAnsiTheme="minorHAnsi"/>
          <w:lang w:val="en-US"/>
        </w:rPr>
        <w:t>as a result of additional development project</w:t>
      </w:r>
      <w:r w:rsidR="00BB6BDD">
        <w:rPr>
          <w:rFonts w:asciiTheme="minorHAnsi" w:hAnsiTheme="minorHAnsi"/>
          <w:lang w:val="en-US"/>
        </w:rPr>
        <w:t>s</w:t>
      </w:r>
      <w:r w:rsidR="000719BA">
        <w:rPr>
          <w:rFonts w:asciiTheme="minorHAnsi" w:hAnsiTheme="minorHAnsi"/>
          <w:lang w:val="en-US"/>
        </w:rPr>
        <w:t xml:space="preserve"> and the EOR project, as well as start-up of </w:t>
      </w:r>
      <w:r w:rsidR="00DA3448">
        <w:rPr>
          <w:rFonts w:asciiTheme="minorHAnsi" w:hAnsiTheme="minorHAnsi"/>
          <w:lang w:val="en-US"/>
        </w:rPr>
        <w:t xml:space="preserve">two </w:t>
      </w:r>
      <w:r w:rsidR="000719BA">
        <w:rPr>
          <w:rFonts w:asciiTheme="minorHAnsi" w:hAnsiTheme="minorHAnsi"/>
          <w:lang w:val="en-US"/>
        </w:rPr>
        <w:t xml:space="preserve">new wells in </w:t>
      </w:r>
      <w:proofErr w:type="spellStart"/>
      <w:r w:rsidR="000719BA">
        <w:rPr>
          <w:rFonts w:asciiTheme="minorHAnsi" w:hAnsiTheme="minorHAnsi"/>
          <w:lang w:val="en-US"/>
        </w:rPr>
        <w:t>Hrastilnica</w:t>
      </w:r>
      <w:proofErr w:type="spellEnd"/>
      <w:r w:rsidR="001C4991">
        <w:rPr>
          <w:rFonts w:asciiTheme="minorHAnsi" w:hAnsiTheme="minorHAnsi"/>
          <w:lang w:val="en-US"/>
        </w:rPr>
        <w:t xml:space="preserve">. Natural gas production drop was </w:t>
      </w:r>
      <w:r w:rsidR="000719BA">
        <w:rPr>
          <w:rFonts w:asciiTheme="minorHAnsi" w:hAnsiTheme="minorHAnsi"/>
          <w:lang w:val="en-US"/>
        </w:rPr>
        <w:t xml:space="preserve">partially </w:t>
      </w:r>
      <w:r w:rsidR="001C4991">
        <w:rPr>
          <w:rFonts w:asciiTheme="minorHAnsi" w:hAnsiTheme="minorHAnsi"/>
          <w:lang w:val="en-US"/>
        </w:rPr>
        <w:t xml:space="preserve">offset by </w:t>
      </w:r>
      <w:r w:rsidR="00DA3448">
        <w:rPr>
          <w:rFonts w:asciiTheme="minorHAnsi" w:hAnsiTheme="minorHAnsi"/>
          <w:lang w:val="en-US"/>
        </w:rPr>
        <w:t>3</w:t>
      </w:r>
      <w:r w:rsidR="001C4991">
        <w:rPr>
          <w:rFonts w:asciiTheme="minorHAnsi" w:hAnsiTheme="minorHAnsi"/>
          <w:lang w:val="en-US"/>
        </w:rPr>
        <w:t xml:space="preserve">% higher onshore natural gas production mainly as a result of </w:t>
      </w:r>
      <w:r w:rsidR="00DA3448">
        <w:rPr>
          <w:rFonts w:asciiTheme="minorHAnsi" w:hAnsiTheme="minorHAnsi"/>
          <w:lang w:val="en-US"/>
        </w:rPr>
        <w:t xml:space="preserve">full year </w:t>
      </w:r>
      <w:r w:rsidR="001C4991">
        <w:rPr>
          <w:rFonts w:asciiTheme="minorHAnsi" w:hAnsiTheme="minorHAnsi"/>
          <w:lang w:val="en-US"/>
        </w:rPr>
        <w:t xml:space="preserve">production from </w:t>
      </w:r>
      <w:proofErr w:type="spellStart"/>
      <w:r w:rsidR="001C4991">
        <w:rPr>
          <w:rFonts w:asciiTheme="minorHAnsi" w:hAnsiTheme="minorHAnsi"/>
          <w:lang w:val="en-US"/>
        </w:rPr>
        <w:t>Međimurje</w:t>
      </w:r>
      <w:proofErr w:type="spellEnd"/>
      <w:r w:rsidR="001C4991">
        <w:rPr>
          <w:rFonts w:asciiTheme="minorHAnsi" w:hAnsiTheme="minorHAnsi"/>
          <w:lang w:val="en-US"/>
        </w:rPr>
        <w:t xml:space="preserve"> fields</w:t>
      </w:r>
      <w:r w:rsidR="000719BA">
        <w:rPr>
          <w:rFonts w:asciiTheme="minorHAnsi" w:hAnsiTheme="minorHAnsi"/>
          <w:lang w:val="en-US"/>
        </w:rPr>
        <w:t>, positive impact of the EOR</w:t>
      </w:r>
      <w:r w:rsidR="00DA3448">
        <w:rPr>
          <w:rFonts w:asciiTheme="minorHAnsi" w:hAnsiTheme="minorHAnsi"/>
          <w:lang w:val="en-US"/>
        </w:rPr>
        <w:t xml:space="preserve"> project</w:t>
      </w:r>
      <w:r w:rsidR="000719BA">
        <w:rPr>
          <w:rFonts w:asciiTheme="minorHAnsi" w:hAnsiTheme="minorHAnsi"/>
          <w:lang w:val="en-US"/>
        </w:rPr>
        <w:t xml:space="preserve"> and additional development project</w:t>
      </w:r>
      <w:r w:rsidR="00DA3448">
        <w:rPr>
          <w:rFonts w:asciiTheme="minorHAnsi" w:hAnsiTheme="minorHAnsi"/>
          <w:lang w:val="en-US"/>
        </w:rPr>
        <w:t>s</w:t>
      </w:r>
      <w:r w:rsidR="001C4991">
        <w:rPr>
          <w:rFonts w:asciiTheme="minorHAnsi" w:hAnsiTheme="minorHAnsi"/>
          <w:lang w:val="en-US"/>
        </w:rPr>
        <w:t>.</w:t>
      </w:r>
      <w:r w:rsidR="003C04B6">
        <w:rPr>
          <w:rFonts w:asciiTheme="minorHAnsi" w:hAnsiTheme="minorHAnsi"/>
          <w:lang w:val="en-US"/>
        </w:rPr>
        <w:t xml:space="preserve"> </w:t>
      </w:r>
      <w:r w:rsidR="003C04B6" w:rsidRPr="003C04B6">
        <w:rPr>
          <w:rFonts w:asciiTheme="minorHAnsi" w:hAnsiTheme="minorHAnsi"/>
          <w:lang w:val="en-US"/>
        </w:rPr>
        <w:t xml:space="preserve">CAPEX amounted to HRK </w:t>
      </w:r>
      <w:r w:rsidR="00DA3448">
        <w:rPr>
          <w:rFonts w:asciiTheme="minorHAnsi" w:hAnsiTheme="minorHAnsi"/>
          <w:lang w:val="en-US"/>
        </w:rPr>
        <w:t>618</w:t>
      </w:r>
      <w:r w:rsidR="003C04B6" w:rsidRPr="003C04B6">
        <w:rPr>
          <w:rFonts w:asciiTheme="minorHAnsi" w:hAnsiTheme="minorHAnsi"/>
          <w:lang w:val="en-US"/>
        </w:rPr>
        <w:t xml:space="preserve"> million</w:t>
      </w:r>
      <w:r w:rsidR="003C04B6">
        <w:rPr>
          <w:rFonts w:asciiTheme="minorHAnsi" w:hAnsiTheme="minorHAnsi"/>
          <w:lang w:val="en-US"/>
        </w:rPr>
        <w:t xml:space="preserve">, out of which HRK </w:t>
      </w:r>
      <w:r w:rsidR="00DA3448">
        <w:rPr>
          <w:rFonts w:asciiTheme="minorHAnsi" w:hAnsiTheme="minorHAnsi"/>
          <w:lang w:val="en-US"/>
        </w:rPr>
        <w:t>597</w:t>
      </w:r>
      <w:r w:rsidR="003C04B6">
        <w:rPr>
          <w:rFonts w:asciiTheme="minorHAnsi" w:hAnsiTheme="minorHAnsi"/>
          <w:lang w:val="en-US"/>
        </w:rPr>
        <w:t xml:space="preserve"> million in Croatia.</w:t>
      </w:r>
    </w:p>
    <w:p w14:paraId="41D9F812" w14:textId="16E6F88F" w:rsidR="000A1EBF" w:rsidRDefault="000A1EBF" w:rsidP="00C87E06">
      <w:pPr>
        <w:spacing w:line="360" w:lineRule="auto"/>
        <w:jc w:val="center"/>
        <w:rPr>
          <w:rFonts w:asciiTheme="minorHAnsi" w:hAnsiTheme="minorHAnsi"/>
          <w:b/>
          <w:lang w:val="en-US"/>
        </w:rPr>
      </w:pPr>
      <w:r>
        <w:rPr>
          <w:rFonts w:asciiTheme="minorHAnsi" w:hAnsiTheme="minorHAnsi"/>
          <w:b/>
          <w:noProof/>
          <w:lang w:eastAsia="hr-HR"/>
        </w:rPr>
        <w:drawing>
          <wp:inline distT="0" distB="0" distL="0" distR="0" wp14:anchorId="3F74FB78" wp14:editId="551EBA89">
            <wp:extent cx="3005455" cy="232283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680CD911" w14:textId="233D309F" w:rsidR="003C495D" w:rsidRDefault="00E11167" w:rsidP="00294AD2">
      <w:pPr>
        <w:spacing w:line="360" w:lineRule="auto"/>
        <w:jc w:val="both"/>
        <w:rPr>
          <w:rFonts w:asciiTheme="minorHAnsi" w:hAnsiTheme="minorHAnsi"/>
          <w:lang w:val="en-US"/>
        </w:rPr>
      </w:pPr>
      <w:r w:rsidRPr="003A415F">
        <w:rPr>
          <w:rFonts w:asciiTheme="minorHAnsi" w:hAnsiTheme="minorHAnsi"/>
          <w:b/>
          <w:lang w:val="en-US"/>
        </w:rPr>
        <w:t>Refining and Marketing, including Retail</w:t>
      </w:r>
      <w:r w:rsidR="00746587" w:rsidRPr="003A415F">
        <w:rPr>
          <w:rFonts w:asciiTheme="minorHAnsi" w:hAnsiTheme="minorHAnsi"/>
          <w:b/>
          <w:lang w:val="en-US"/>
        </w:rPr>
        <w:t xml:space="preserve"> –</w:t>
      </w:r>
      <w:r w:rsidR="00DA3448">
        <w:rPr>
          <w:rFonts w:asciiTheme="minorHAnsi" w:hAnsiTheme="minorHAnsi"/>
          <w:lang w:val="en-US"/>
        </w:rPr>
        <w:t xml:space="preserve"> </w:t>
      </w:r>
      <w:r w:rsidR="003C04B6">
        <w:rPr>
          <w:rFonts w:asciiTheme="minorHAnsi" w:hAnsiTheme="minorHAnsi"/>
          <w:lang w:val="en-US"/>
        </w:rPr>
        <w:t>2</w:t>
      </w:r>
      <w:r w:rsidR="004E3A45" w:rsidRPr="004E3A45">
        <w:rPr>
          <w:rFonts w:asciiTheme="minorHAnsi" w:hAnsiTheme="minorHAnsi"/>
          <w:lang w:val="en-US"/>
        </w:rPr>
        <w:t>01</w:t>
      </w:r>
      <w:r w:rsidR="003C04B6">
        <w:rPr>
          <w:rFonts w:asciiTheme="minorHAnsi" w:hAnsiTheme="minorHAnsi"/>
          <w:lang w:val="en-US"/>
        </w:rPr>
        <w:t>7</w:t>
      </w:r>
      <w:r w:rsidR="004E3A45" w:rsidRPr="004E3A45">
        <w:rPr>
          <w:rFonts w:asciiTheme="minorHAnsi" w:hAnsiTheme="minorHAnsi"/>
          <w:lang w:val="en-US"/>
        </w:rPr>
        <w:t xml:space="preserve"> EBITDA amounted to HRK </w:t>
      </w:r>
      <w:r w:rsidR="00DA3448">
        <w:rPr>
          <w:rFonts w:asciiTheme="minorHAnsi" w:hAnsiTheme="minorHAnsi"/>
          <w:lang w:val="en-US"/>
        </w:rPr>
        <w:t>987</w:t>
      </w:r>
      <w:r w:rsidR="008C498C" w:rsidRPr="004E3A45">
        <w:rPr>
          <w:rFonts w:asciiTheme="minorHAnsi" w:hAnsiTheme="minorHAnsi"/>
          <w:lang w:val="en-US"/>
        </w:rPr>
        <w:t xml:space="preserve"> </w:t>
      </w:r>
      <w:r w:rsidR="004E3A45" w:rsidRPr="004E3A45">
        <w:rPr>
          <w:rFonts w:asciiTheme="minorHAnsi" w:hAnsiTheme="minorHAnsi"/>
          <w:lang w:val="en-US"/>
        </w:rPr>
        <w:t>million</w:t>
      </w:r>
      <w:r w:rsidR="003C04B6">
        <w:rPr>
          <w:rFonts w:asciiTheme="minorHAnsi" w:hAnsiTheme="minorHAnsi"/>
          <w:lang w:val="en-US"/>
        </w:rPr>
        <w:t xml:space="preserve">, while operating </w:t>
      </w:r>
      <w:r w:rsidR="00A313E8">
        <w:rPr>
          <w:rFonts w:asciiTheme="minorHAnsi" w:hAnsiTheme="minorHAnsi"/>
          <w:lang w:val="en-US"/>
        </w:rPr>
        <w:t>profit</w:t>
      </w:r>
      <w:r w:rsidR="00A14FA5">
        <w:rPr>
          <w:rFonts w:asciiTheme="minorHAnsi" w:hAnsiTheme="minorHAnsi"/>
          <w:lang w:val="en-US"/>
        </w:rPr>
        <w:t xml:space="preserve"> amounted to </w:t>
      </w:r>
      <w:r w:rsidR="003C04B6">
        <w:rPr>
          <w:rFonts w:asciiTheme="minorHAnsi" w:hAnsiTheme="minorHAnsi"/>
          <w:lang w:val="en-US"/>
        </w:rPr>
        <w:t xml:space="preserve">HRK </w:t>
      </w:r>
      <w:r w:rsidR="00163327">
        <w:rPr>
          <w:rFonts w:asciiTheme="minorHAnsi" w:hAnsiTheme="minorHAnsi"/>
          <w:lang w:val="en-US"/>
        </w:rPr>
        <w:t>263</w:t>
      </w:r>
      <w:r w:rsidR="003C04B6">
        <w:rPr>
          <w:rFonts w:asciiTheme="minorHAnsi" w:hAnsiTheme="minorHAnsi"/>
          <w:lang w:val="en-US"/>
        </w:rPr>
        <w:t xml:space="preserve"> million</w:t>
      </w:r>
      <w:r w:rsidR="004E3A45" w:rsidRPr="004E3A45">
        <w:rPr>
          <w:rFonts w:asciiTheme="minorHAnsi" w:hAnsiTheme="minorHAnsi"/>
          <w:lang w:val="en-US"/>
        </w:rPr>
        <w:t xml:space="preserve">. </w:t>
      </w:r>
      <w:r w:rsidR="003C04B6" w:rsidRPr="003C04B6">
        <w:rPr>
          <w:rFonts w:asciiTheme="minorHAnsi" w:hAnsiTheme="minorHAnsi"/>
          <w:lang w:val="en-US"/>
        </w:rPr>
        <w:t xml:space="preserve">Revenues amounted to HRK </w:t>
      </w:r>
      <w:r w:rsidR="00A313E8">
        <w:rPr>
          <w:rFonts w:asciiTheme="minorHAnsi" w:hAnsiTheme="minorHAnsi"/>
          <w:lang w:val="en-US"/>
        </w:rPr>
        <w:t>1</w:t>
      </w:r>
      <w:r w:rsidR="00163327">
        <w:rPr>
          <w:rFonts w:asciiTheme="minorHAnsi" w:hAnsiTheme="minorHAnsi"/>
          <w:lang w:val="en-US"/>
        </w:rPr>
        <w:t>6</w:t>
      </w:r>
      <w:r w:rsidR="00A14FA5">
        <w:rPr>
          <w:rFonts w:asciiTheme="minorHAnsi" w:hAnsiTheme="minorHAnsi"/>
          <w:lang w:val="en-US"/>
        </w:rPr>
        <w:t>,</w:t>
      </w:r>
      <w:r w:rsidR="00163327">
        <w:rPr>
          <w:rFonts w:asciiTheme="minorHAnsi" w:hAnsiTheme="minorHAnsi"/>
          <w:lang w:val="en-US"/>
        </w:rPr>
        <w:t>138</w:t>
      </w:r>
      <w:r w:rsidR="003C04B6" w:rsidRPr="003C04B6">
        <w:rPr>
          <w:rFonts w:asciiTheme="minorHAnsi" w:hAnsiTheme="minorHAnsi"/>
          <w:lang w:val="en-US"/>
        </w:rPr>
        <w:t xml:space="preserve"> million</w:t>
      </w:r>
      <w:r w:rsidR="003C04B6">
        <w:rPr>
          <w:rFonts w:asciiTheme="minorHAnsi" w:hAnsiTheme="minorHAnsi"/>
          <w:lang w:val="en-US"/>
        </w:rPr>
        <w:t xml:space="preserve">, </w:t>
      </w:r>
      <w:r w:rsidR="00A313E8">
        <w:rPr>
          <w:rFonts w:asciiTheme="minorHAnsi" w:hAnsiTheme="minorHAnsi"/>
          <w:lang w:val="en-US"/>
        </w:rPr>
        <w:t>2</w:t>
      </w:r>
      <w:r w:rsidR="00163327">
        <w:rPr>
          <w:rFonts w:asciiTheme="minorHAnsi" w:hAnsiTheme="minorHAnsi"/>
          <w:lang w:val="en-US"/>
        </w:rPr>
        <w:t>4</w:t>
      </w:r>
      <w:r w:rsidR="003C04B6">
        <w:rPr>
          <w:rFonts w:asciiTheme="minorHAnsi" w:hAnsiTheme="minorHAnsi"/>
          <w:lang w:val="en-US"/>
        </w:rPr>
        <w:t>% more than in 2016</w:t>
      </w:r>
      <w:r w:rsidR="002C75A9">
        <w:rPr>
          <w:rFonts w:asciiTheme="minorHAnsi" w:hAnsiTheme="minorHAnsi"/>
          <w:lang w:val="en-US"/>
        </w:rPr>
        <w:t>, thanks to focus on increase in sales activities</w:t>
      </w:r>
      <w:r w:rsidR="003C04B6" w:rsidRPr="00A313E8">
        <w:rPr>
          <w:rFonts w:asciiTheme="minorHAnsi" w:hAnsiTheme="minorHAnsi"/>
          <w:lang w:val="en-US"/>
        </w:rPr>
        <w:t xml:space="preserve">. </w:t>
      </w:r>
      <w:r w:rsidR="004E3A45" w:rsidRPr="00A313E8">
        <w:rPr>
          <w:rFonts w:asciiTheme="minorHAnsi" w:hAnsiTheme="minorHAnsi"/>
          <w:lang w:val="en-US"/>
        </w:rPr>
        <w:t>The result was i</w:t>
      </w:r>
      <w:r w:rsidR="004D45B1" w:rsidRPr="00A313E8">
        <w:rPr>
          <w:rFonts w:asciiTheme="minorHAnsi" w:hAnsiTheme="minorHAnsi"/>
          <w:lang w:val="en-US"/>
        </w:rPr>
        <w:t>mpacted by a number of factors:</w:t>
      </w:r>
      <w:r w:rsidR="004E3A45" w:rsidRPr="00A313E8">
        <w:rPr>
          <w:rFonts w:asciiTheme="minorHAnsi" w:hAnsiTheme="minorHAnsi"/>
          <w:lang w:val="en-US"/>
        </w:rPr>
        <w:t xml:space="preserve"> </w:t>
      </w:r>
      <w:r w:rsidR="002C75A9" w:rsidRPr="002C75A9">
        <w:rPr>
          <w:rFonts w:asciiTheme="minorHAnsi" w:hAnsiTheme="minorHAnsi"/>
          <w:lang w:val="en-US"/>
        </w:rPr>
        <w:t>total sales volumes increased on the back of higher sales on both captive and other export markets</w:t>
      </w:r>
      <w:r w:rsidR="002C75A9">
        <w:rPr>
          <w:rFonts w:asciiTheme="minorHAnsi" w:hAnsiTheme="minorHAnsi"/>
          <w:lang w:val="en-US"/>
        </w:rPr>
        <w:t>, while</w:t>
      </w:r>
      <w:r w:rsidR="002C75A9" w:rsidRPr="002C75A9">
        <w:rPr>
          <w:rFonts w:asciiTheme="minorHAnsi" w:hAnsiTheme="minorHAnsi"/>
          <w:lang w:val="en-US"/>
        </w:rPr>
        <w:t xml:space="preserve"> </w:t>
      </w:r>
      <w:r w:rsidR="002C75A9">
        <w:rPr>
          <w:rFonts w:asciiTheme="minorHAnsi" w:hAnsiTheme="minorHAnsi"/>
          <w:lang w:val="en-US"/>
        </w:rPr>
        <w:t>c</w:t>
      </w:r>
      <w:r w:rsidR="002C75A9" w:rsidRPr="003C495D">
        <w:rPr>
          <w:rFonts w:asciiTheme="minorHAnsi" w:hAnsiTheme="minorHAnsi"/>
          <w:lang w:val="en-US"/>
        </w:rPr>
        <w:t>apturing market opportunities and favorable external environment enabled increased processing in the refineries to support increased total sales</w:t>
      </w:r>
      <w:r w:rsidR="002C75A9" w:rsidRPr="002C75A9">
        <w:rPr>
          <w:rFonts w:asciiTheme="minorHAnsi" w:hAnsiTheme="minorHAnsi"/>
          <w:lang w:val="en-US"/>
        </w:rPr>
        <w:t>.</w:t>
      </w:r>
      <w:r w:rsidR="002C75A9">
        <w:rPr>
          <w:rFonts w:asciiTheme="minorHAnsi" w:hAnsiTheme="minorHAnsi"/>
          <w:lang w:val="en-US"/>
        </w:rPr>
        <w:t xml:space="preserve"> Also, </w:t>
      </w:r>
      <w:r w:rsidR="003C495D">
        <w:rPr>
          <w:rFonts w:asciiTheme="minorHAnsi" w:hAnsiTheme="minorHAnsi"/>
          <w:lang w:val="en-US"/>
        </w:rPr>
        <w:t xml:space="preserve">a more </w:t>
      </w:r>
      <w:r w:rsidR="00163327">
        <w:rPr>
          <w:rFonts w:asciiTheme="minorHAnsi" w:hAnsiTheme="minorHAnsi"/>
          <w:lang w:val="en-US"/>
        </w:rPr>
        <w:t>favorable</w:t>
      </w:r>
      <w:r w:rsidR="003C04B6" w:rsidRPr="00A313E8">
        <w:rPr>
          <w:rFonts w:asciiTheme="minorHAnsi" w:hAnsiTheme="minorHAnsi"/>
          <w:lang w:val="en-US"/>
        </w:rPr>
        <w:t xml:space="preserve"> external environment, higher diesel </w:t>
      </w:r>
      <w:r w:rsidR="00A313E8" w:rsidRPr="00A313E8">
        <w:rPr>
          <w:rFonts w:asciiTheme="minorHAnsi" w:hAnsiTheme="minorHAnsi"/>
          <w:lang w:val="en-US"/>
        </w:rPr>
        <w:t xml:space="preserve">and gasoline </w:t>
      </w:r>
      <w:r w:rsidR="003C04B6" w:rsidRPr="00A313E8">
        <w:rPr>
          <w:rFonts w:asciiTheme="minorHAnsi" w:hAnsiTheme="minorHAnsi"/>
          <w:lang w:val="en-US"/>
        </w:rPr>
        <w:t>crack spread</w:t>
      </w:r>
      <w:r w:rsidR="00624953" w:rsidRPr="00A313E8">
        <w:rPr>
          <w:rFonts w:asciiTheme="minorHAnsi" w:hAnsiTheme="minorHAnsi"/>
          <w:lang w:val="en-US"/>
        </w:rPr>
        <w:t xml:space="preserve"> </w:t>
      </w:r>
      <w:r w:rsidR="00A313E8" w:rsidRPr="00A313E8">
        <w:rPr>
          <w:rFonts w:asciiTheme="minorHAnsi" w:hAnsiTheme="minorHAnsi"/>
          <w:lang w:val="en-US"/>
        </w:rPr>
        <w:t xml:space="preserve">and a less negative fuel oil spread </w:t>
      </w:r>
      <w:r w:rsidR="003C495D" w:rsidRPr="003C495D">
        <w:rPr>
          <w:rFonts w:asciiTheme="minorHAnsi" w:hAnsiTheme="minorHAnsi"/>
          <w:lang w:val="en-US"/>
        </w:rPr>
        <w:t>resulted in improved refining margins</w:t>
      </w:r>
      <w:r w:rsidR="00163327">
        <w:rPr>
          <w:rFonts w:asciiTheme="minorHAnsi" w:hAnsiTheme="minorHAnsi"/>
          <w:lang w:val="en-US"/>
        </w:rPr>
        <w:t xml:space="preserve">, while Brent </w:t>
      </w:r>
      <w:r w:rsidR="00163327">
        <w:rPr>
          <w:rFonts w:asciiTheme="minorHAnsi" w:hAnsiTheme="minorHAnsi"/>
          <w:lang w:val="en-US"/>
        </w:rPr>
        <w:lastRenderedPageBreak/>
        <w:t xml:space="preserve">prices </w:t>
      </w:r>
      <w:r w:rsidR="003C495D">
        <w:rPr>
          <w:rFonts w:asciiTheme="minorHAnsi" w:hAnsiTheme="minorHAnsi"/>
          <w:lang w:val="en-US"/>
        </w:rPr>
        <w:t>averaged</w:t>
      </w:r>
      <w:r w:rsidR="00163327">
        <w:rPr>
          <w:rFonts w:asciiTheme="minorHAnsi" w:hAnsiTheme="minorHAnsi"/>
          <w:lang w:val="en-US"/>
        </w:rPr>
        <w:t xml:space="preserve"> 54 USD/bbl</w:t>
      </w:r>
      <w:r w:rsidR="00624953" w:rsidRPr="00A313E8">
        <w:rPr>
          <w:rFonts w:asciiTheme="minorHAnsi" w:hAnsiTheme="minorHAnsi"/>
          <w:lang w:val="en-US"/>
        </w:rPr>
        <w:t xml:space="preserve">. </w:t>
      </w:r>
      <w:r w:rsidR="003C04B6" w:rsidRPr="00A313E8">
        <w:rPr>
          <w:rFonts w:asciiTheme="minorHAnsi" w:hAnsiTheme="minorHAnsi"/>
          <w:lang w:val="en-US"/>
        </w:rPr>
        <w:t xml:space="preserve">Retail sales volumes grew </w:t>
      </w:r>
      <w:r w:rsidR="0046798F">
        <w:rPr>
          <w:rFonts w:asciiTheme="minorHAnsi" w:hAnsiTheme="minorHAnsi"/>
          <w:lang w:val="en-US"/>
        </w:rPr>
        <w:t xml:space="preserve">due </w:t>
      </w:r>
      <w:r w:rsidR="00163327">
        <w:rPr>
          <w:rFonts w:asciiTheme="minorHAnsi" w:hAnsiTheme="minorHAnsi"/>
          <w:lang w:val="en-US"/>
        </w:rPr>
        <w:t xml:space="preserve">to the </w:t>
      </w:r>
      <w:r w:rsidR="003C495D">
        <w:rPr>
          <w:rFonts w:asciiTheme="minorHAnsi" w:hAnsiTheme="minorHAnsi"/>
          <w:lang w:val="en-US"/>
        </w:rPr>
        <w:t xml:space="preserve">significant </w:t>
      </w:r>
      <w:r w:rsidR="00163327">
        <w:rPr>
          <w:rFonts w:asciiTheme="minorHAnsi" w:hAnsiTheme="minorHAnsi"/>
          <w:lang w:val="en-US"/>
        </w:rPr>
        <w:t xml:space="preserve">contribution of network expansion in BH </w:t>
      </w:r>
      <w:r w:rsidR="003C495D" w:rsidRPr="003C495D">
        <w:rPr>
          <w:rFonts w:asciiTheme="minorHAnsi" w:hAnsiTheme="minorHAnsi"/>
          <w:lang w:val="en-US"/>
        </w:rPr>
        <w:t xml:space="preserve">supported by introduction of new </w:t>
      </w:r>
      <w:r w:rsidR="003C495D">
        <w:rPr>
          <w:rFonts w:asciiTheme="minorHAnsi" w:hAnsiTheme="minorHAnsi"/>
          <w:lang w:val="en-US"/>
        </w:rPr>
        <w:t xml:space="preserve">Class Plus </w:t>
      </w:r>
      <w:r w:rsidR="003C495D" w:rsidRPr="003C495D">
        <w:rPr>
          <w:rFonts w:asciiTheme="minorHAnsi" w:hAnsiTheme="minorHAnsi"/>
          <w:lang w:val="en-US"/>
        </w:rPr>
        <w:t xml:space="preserve">fuels </w:t>
      </w:r>
      <w:r w:rsidR="0029042B" w:rsidRPr="00A313E8">
        <w:rPr>
          <w:rFonts w:asciiTheme="minorHAnsi" w:hAnsiTheme="minorHAnsi"/>
          <w:lang w:val="en-US"/>
        </w:rPr>
        <w:t>in Q2 2</w:t>
      </w:r>
      <w:r w:rsidR="0029042B" w:rsidRPr="006674E0">
        <w:rPr>
          <w:rFonts w:asciiTheme="minorHAnsi" w:hAnsiTheme="minorHAnsi"/>
          <w:lang w:val="en-US"/>
        </w:rPr>
        <w:t>017</w:t>
      </w:r>
      <w:r w:rsidR="003C04B6" w:rsidRPr="006674E0">
        <w:rPr>
          <w:rFonts w:asciiTheme="minorHAnsi" w:hAnsiTheme="minorHAnsi"/>
          <w:lang w:val="en-US"/>
        </w:rPr>
        <w:t>.</w:t>
      </w:r>
      <w:r w:rsidR="005E2957" w:rsidRPr="006674E0">
        <w:rPr>
          <w:rFonts w:asciiTheme="minorHAnsi" w:hAnsiTheme="minorHAnsi"/>
          <w:lang w:val="en-US"/>
        </w:rPr>
        <w:t xml:space="preserve"> </w:t>
      </w:r>
    </w:p>
    <w:p w14:paraId="4FF049ED" w14:textId="16BD40FA" w:rsidR="003C495D" w:rsidRDefault="003C495D" w:rsidP="00294AD2">
      <w:pPr>
        <w:spacing w:line="360" w:lineRule="auto"/>
        <w:jc w:val="both"/>
        <w:rPr>
          <w:rFonts w:asciiTheme="minorHAnsi" w:hAnsiTheme="minorHAnsi"/>
          <w:lang w:val="en-US"/>
        </w:rPr>
      </w:pPr>
      <w:r w:rsidRPr="009A1267">
        <w:rPr>
          <w:rFonts w:asciiTheme="minorHAnsi" w:hAnsiTheme="minorHAnsi"/>
          <w:lang w:val="en-GB"/>
        </w:rPr>
        <w:t>In spite of the improved Refining &amp; marketing incl. Retail result, it remained burdened by the negative effect of Sisak refinery operations. The financial effect of Sisak Refinery on operating result level amounts to HRK (207) million loss in 2017 and HRK (264) million loss in previous year. Also, during 2017 Sisak Refinery generated negative free cash flow of HRK (125) million, compared to HRK (194) million in 2016.</w:t>
      </w:r>
    </w:p>
    <w:p w14:paraId="0711C830" w14:textId="1EC43408" w:rsidR="003C04B6" w:rsidRDefault="003C04B6" w:rsidP="00294AD2">
      <w:pPr>
        <w:spacing w:line="360" w:lineRule="auto"/>
        <w:jc w:val="both"/>
        <w:rPr>
          <w:rFonts w:asciiTheme="minorHAnsi" w:hAnsiTheme="minorHAnsi"/>
          <w:lang w:val="en-US"/>
        </w:rPr>
      </w:pPr>
      <w:r w:rsidRPr="0029042B">
        <w:rPr>
          <w:rFonts w:asciiTheme="minorHAnsi" w:hAnsiTheme="minorHAnsi"/>
          <w:lang w:val="en-US"/>
        </w:rPr>
        <w:t xml:space="preserve">Total </w:t>
      </w:r>
      <w:r w:rsidRPr="003C04B6">
        <w:rPr>
          <w:rFonts w:asciiTheme="minorHAnsi" w:hAnsiTheme="minorHAnsi"/>
          <w:lang w:val="en-US"/>
        </w:rPr>
        <w:t xml:space="preserve">CAPEX amounted to HRK </w:t>
      </w:r>
      <w:r w:rsidR="00163327">
        <w:rPr>
          <w:rFonts w:asciiTheme="minorHAnsi" w:hAnsiTheme="minorHAnsi"/>
          <w:lang w:val="en-US"/>
        </w:rPr>
        <w:t>713</w:t>
      </w:r>
      <w:r w:rsidRPr="003C04B6">
        <w:rPr>
          <w:rFonts w:asciiTheme="minorHAnsi" w:hAnsiTheme="minorHAnsi"/>
          <w:lang w:val="en-US"/>
        </w:rPr>
        <w:t xml:space="preserve"> million; HRK </w:t>
      </w:r>
      <w:r w:rsidR="00163327">
        <w:rPr>
          <w:rFonts w:asciiTheme="minorHAnsi" w:hAnsiTheme="minorHAnsi"/>
          <w:lang w:val="en-US"/>
        </w:rPr>
        <w:t>550</w:t>
      </w:r>
      <w:r w:rsidRPr="003C04B6">
        <w:rPr>
          <w:rFonts w:asciiTheme="minorHAnsi" w:hAnsiTheme="minorHAnsi"/>
          <w:lang w:val="en-US"/>
        </w:rPr>
        <w:t xml:space="preserve"> million in R&amp;M and HRK </w:t>
      </w:r>
      <w:r w:rsidR="00163327">
        <w:rPr>
          <w:rFonts w:asciiTheme="minorHAnsi" w:hAnsiTheme="minorHAnsi"/>
          <w:lang w:val="en-US"/>
        </w:rPr>
        <w:t>163</w:t>
      </w:r>
      <w:r w:rsidRPr="003C04B6">
        <w:rPr>
          <w:rFonts w:asciiTheme="minorHAnsi" w:hAnsiTheme="minorHAnsi"/>
          <w:lang w:val="en-US"/>
        </w:rPr>
        <w:t xml:space="preserve"> million in Retail</w:t>
      </w:r>
      <w:r>
        <w:rPr>
          <w:rFonts w:asciiTheme="minorHAnsi" w:hAnsiTheme="minorHAnsi"/>
          <w:lang w:val="en-US"/>
        </w:rPr>
        <w:t xml:space="preserve">. </w:t>
      </w:r>
      <w:r w:rsidRPr="003C04B6">
        <w:rPr>
          <w:rFonts w:asciiTheme="minorHAnsi" w:hAnsiTheme="minorHAnsi"/>
          <w:lang w:val="en-US"/>
        </w:rPr>
        <w:t xml:space="preserve">On </w:t>
      </w:r>
      <w:r w:rsidR="00163327">
        <w:rPr>
          <w:rFonts w:asciiTheme="minorHAnsi" w:hAnsiTheme="minorHAnsi"/>
          <w:lang w:val="en-US"/>
        </w:rPr>
        <w:t>December</w:t>
      </w:r>
      <w:r w:rsidRPr="003C04B6">
        <w:rPr>
          <w:rFonts w:asciiTheme="minorHAnsi" w:hAnsiTheme="minorHAnsi"/>
          <w:lang w:val="en-US"/>
        </w:rPr>
        <w:t xml:space="preserve"> 3</w:t>
      </w:r>
      <w:r w:rsidR="00163327">
        <w:rPr>
          <w:rFonts w:asciiTheme="minorHAnsi" w:hAnsiTheme="minorHAnsi"/>
          <w:lang w:val="en-US"/>
        </w:rPr>
        <w:t>1</w:t>
      </w:r>
      <w:r w:rsidRPr="003C04B6">
        <w:rPr>
          <w:rFonts w:asciiTheme="minorHAnsi" w:hAnsiTheme="minorHAnsi"/>
          <w:lang w:val="en-US"/>
        </w:rPr>
        <w:t>, 201</w:t>
      </w:r>
      <w:r>
        <w:rPr>
          <w:rFonts w:asciiTheme="minorHAnsi" w:hAnsiTheme="minorHAnsi"/>
          <w:lang w:val="en-US"/>
        </w:rPr>
        <w:t>7</w:t>
      </w:r>
      <w:r w:rsidRPr="003C04B6">
        <w:rPr>
          <w:rFonts w:asciiTheme="minorHAnsi" w:hAnsiTheme="minorHAnsi"/>
          <w:lang w:val="en-US"/>
        </w:rPr>
        <w:t>, INA Group operated a network of 49</w:t>
      </w:r>
      <w:r w:rsidR="0029042B">
        <w:rPr>
          <w:rFonts w:asciiTheme="minorHAnsi" w:hAnsiTheme="minorHAnsi"/>
          <w:lang w:val="en-US"/>
        </w:rPr>
        <w:t>4</w:t>
      </w:r>
      <w:r w:rsidRPr="003C04B6">
        <w:rPr>
          <w:rFonts w:asciiTheme="minorHAnsi" w:hAnsiTheme="minorHAnsi"/>
          <w:lang w:val="en-US"/>
        </w:rPr>
        <w:t xml:space="preserve"> retail sites</w:t>
      </w:r>
      <w:r>
        <w:rPr>
          <w:rFonts w:asciiTheme="minorHAnsi" w:hAnsiTheme="minorHAnsi"/>
          <w:lang w:val="en-US"/>
        </w:rPr>
        <w:t>.</w:t>
      </w:r>
    </w:p>
    <w:p w14:paraId="0E8F4B25" w14:textId="1DB0F493" w:rsidR="000A1EBF" w:rsidRDefault="000A1EBF" w:rsidP="00594C4A">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16ED624B" wp14:editId="03BDA6B4">
            <wp:extent cx="3005455" cy="2341245"/>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455" cy="2341245"/>
                    </a:xfrm>
                    <a:prstGeom prst="rect">
                      <a:avLst/>
                    </a:prstGeom>
                    <a:noFill/>
                  </pic:spPr>
                </pic:pic>
              </a:graphicData>
            </a:graphic>
          </wp:inline>
        </w:drawing>
      </w:r>
    </w:p>
    <w:p w14:paraId="2186AC5D" w14:textId="41E7FB0E" w:rsidR="000A1EBF" w:rsidRDefault="000A1EBF" w:rsidP="00594C4A">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37E82AA3" wp14:editId="4DEE16A8">
            <wp:extent cx="3005455" cy="232918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329180"/>
                    </a:xfrm>
                    <a:prstGeom prst="rect">
                      <a:avLst/>
                    </a:prstGeom>
                    <a:noFill/>
                  </pic:spPr>
                </pic:pic>
              </a:graphicData>
            </a:graphic>
          </wp:inline>
        </w:drawing>
      </w:r>
    </w:p>
    <w:p w14:paraId="664CB24A" w14:textId="54606DFA" w:rsidR="005E2957" w:rsidRDefault="004E3A45" w:rsidP="00884F6F">
      <w:pPr>
        <w:spacing w:line="360" w:lineRule="auto"/>
        <w:jc w:val="both"/>
        <w:rPr>
          <w:rFonts w:asciiTheme="minorHAnsi" w:hAnsiTheme="minorHAnsi"/>
          <w:lang w:val="en-US"/>
        </w:rPr>
      </w:pPr>
      <w:r w:rsidRPr="004E3A45">
        <w:rPr>
          <w:rFonts w:asciiTheme="minorHAnsi" w:hAnsiTheme="minorHAnsi"/>
          <w:lang w:val="en-US"/>
        </w:rPr>
        <w:lastRenderedPageBreak/>
        <w:t xml:space="preserve">Net gearing </w:t>
      </w:r>
      <w:r w:rsidR="003D1032">
        <w:rPr>
          <w:rFonts w:asciiTheme="minorHAnsi" w:hAnsiTheme="minorHAnsi"/>
          <w:lang w:val="en-US"/>
        </w:rPr>
        <w:t>amounted</w:t>
      </w:r>
      <w:r w:rsidRPr="004E3A45">
        <w:rPr>
          <w:rFonts w:asciiTheme="minorHAnsi" w:hAnsiTheme="minorHAnsi"/>
          <w:lang w:val="en-US"/>
        </w:rPr>
        <w:t xml:space="preserve"> to </w:t>
      </w:r>
      <w:r w:rsidR="00163327">
        <w:rPr>
          <w:rFonts w:asciiTheme="minorHAnsi" w:hAnsiTheme="minorHAnsi"/>
          <w:lang w:val="en-US"/>
        </w:rPr>
        <w:t>10.8</w:t>
      </w:r>
      <w:r w:rsidRPr="004E3A45">
        <w:rPr>
          <w:rFonts w:asciiTheme="minorHAnsi" w:hAnsiTheme="minorHAnsi"/>
          <w:lang w:val="en-US"/>
        </w:rPr>
        <w:t xml:space="preserve">%, whilst net debt reached HRK </w:t>
      </w:r>
      <w:r w:rsidR="006674E0">
        <w:rPr>
          <w:rFonts w:asciiTheme="minorHAnsi" w:hAnsiTheme="minorHAnsi"/>
          <w:lang w:val="en-US"/>
        </w:rPr>
        <w:t>1</w:t>
      </w:r>
      <w:r w:rsidR="003D1032">
        <w:rPr>
          <w:rFonts w:asciiTheme="minorHAnsi" w:hAnsiTheme="minorHAnsi"/>
          <w:lang w:val="en-US"/>
        </w:rPr>
        <w:t>,</w:t>
      </w:r>
      <w:r w:rsidR="00163327">
        <w:rPr>
          <w:rFonts w:asciiTheme="minorHAnsi" w:hAnsiTheme="minorHAnsi"/>
          <w:lang w:val="en-US"/>
        </w:rPr>
        <w:t>397</w:t>
      </w:r>
      <w:r w:rsidRPr="004E3A45">
        <w:rPr>
          <w:rFonts w:asciiTheme="minorHAnsi" w:hAnsiTheme="minorHAnsi"/>
          <w:lang w:val="en-US"/>
        </w:rPr>
        <w:t xml:space="preserve"> million.</w:t>
      </w:r>
      <w:bookmarkEnd w:id="1"/>
    </w:p>
    <w:p w14:paraId="7E5F423A" w14:textId="135D5EC4" w:rsidR="000A1EBF" w:rsidRPr="00884F6F" w:rsidRDefault="000A1EBF" w:rsidP="00594C4A">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5513E7BD" wp14:editId="57D14BFF">
            <wp:extent cx="3005455" cy="2316480"/>
            <wp:effectExtent l="0" t="0" r="444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p w14:paraId="7BE7675B" w14:textId="3347B8A5" w:rsidR="000A1EBF" w:rsidRPr="00884F6F" w:rsidRDefault="000A1EBF" w:rsidP="00E11167">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4300944B" wp14:editId="444201B1">
            <wp:extent cx="3005455" cy="2316480"/>
            <wp:effectExtent l="0" t="0" r="444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sectPr w:rsidR="000A1EBF" w:rsidRPr="00884F6F" w:rsidSect="004712BC">
      <w:headerReference w:type="default" r:id="rId19"/>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8B84C" w14:textId="77777777" w:rsidR="00A811DF" w:rsidRDefault="00A811DF" w:rsidP="00E11167">
      <w:r>
        <w:separator/>
      </w:r>
    </w:p>
  </w:endnote>
  <w:endnote w:type="continuationSeparator" w:id="0">
    <w:p w14:paraId="33C48122" w14:textId="77777777" w:rsidR="00A811DF" w:rsidRDefault="00A811DF"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31052F" w:rsidRPr="00CD53EE" w14:paraId="5A04EDED" w14:textId="77777777" w:rsidTr="005A16DD">
      <w:trPr>
        <w:cantSplit/>
        <w:trHeight w:val="517"/>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31052F" w:rsidRPr="00CD53EE" w14:paraId="22698974" w14:textId="77777777" w:rsidTr="005A16DD">
            <w:trPr>
              <w:cantSplit/>
              <w:trHeight w:val="181"/>
            </w:trPr>
            <w:tc>
              <w:tcPr>
                <w:tcW w:w="1998" w:type="dxa"/>
                <w:vMerge w:val="restart"/>
                <w:tcBorders>
                  <w:top w:val="single" w:sz="4" w:space="0" w:color="auto"/>
                  <w:left w:val="nil"/>
                  <w:right w:val="nil"/>
                </w:tcBorders>
              </w:tcPr>
              <w:p w14:paraId="54044130" w14:textId="77777777" w:rsidR="0031052F" w:rsidRPr="00E22D6A" w:rsidRDefault="0031052F" w:rsidP="0031052F">
                <w:pPr>
                  <w:pStyle w:val="Footer"/>
                  <w:spacing w:before="20" w:after="20"/>
                  <w:rPr>
                    <w:rFonts w:cs="Arial"/>
                    <w:b/>
                    <w:bCs/>
                    <w:sz w:val="14"/>
                    <w:szCs w:val="14"/>
                  </w:rPr>
                </w:pPr>
                <w:r w:rsidRPr="00E22D6A">
                  <w:rPr>
                    <w:rFonts w:cs="Arial"/>
                    <w:b/>
                    <w:bCs/>
                    <w:sz w:val="14"/>
                    <w:szCs w:val="14"/>
                  </w:rPr>
                  <w:t>INA, d.d.</w:t>
                </w:r>
              </w:p>
              <w:p w14:paraId="4245BA42" w14:textId="77777777" w:rsidR="0031052F" w:rsidRPr="00126238" w:rsidRDefault="0031052F" w:rsidP="0031052F">
                <w:pPr>
                  <w:pStyle w:val="Footer"/>
                  <w:rPr>
                    <w:rFonts w:cs="Arial"/>
                    <w:sz w:val="11"/>
                    <w:szCs w:val="11"/>
                  </w:rPr>
                </w:pPr>
                <w:r w:rsidRPr="00126238">
                  <w:rPr>
                    <w:rFonts w:cs="Arial"/>
                    <w:sz w:val="11"/>
                    <w:szCs w:val="11"/>
                  </w:rPr>
                  <w:t xml:space="preserve">Avenija Većeslava Holjevca 10 </w:t>
                </w:r>
              </w:p>
              <w:p w14:paraId="08075E6E" w14:textId="77777777" w:rsidR="0031052F" w:rsidRPr="00126238" w:rsidRDefault="0031052F" w:rsidP="0031052F">
                <w:pPr>
                  <w:pStyle w:val="Footer"/>
                  <w:rPr>
                    <w:rFonts w:cs="Arial"/>
                    <w:sz w:val="11"/>
                    <w:szCs w:val="11"/>
                  </w:rPr>
                </w:pPr>
                <w:r w:rsidRPr="00126238">
                  <w:rPr>
                    <w:rFonts w:cs="Arial"/>
                    <w:sz w:val="11"/>
                    <w:szCs w:val="11"/>
                  </w:rPr>
                  <w:t>10 002 Zagreb    p.p. 555</w:t>
                </w:r>
              </w:p>
              <w:p w14:paraId="1DBE5D62" w14:textId="77777777" w:rsidR="0031052F" w:rsidRPr="00126238" w:rsidRDefault="0031052F" w:rsidP="0031052F">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2B112DA7" w14:textId="77777777" w:rsidR="0031052F" w:rsidRPr="00126238" w:rsidRDefault="0031052F" w:rsidP="0031052F">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4D112A39" w14:textId="77777777" w:rsidR="0031052F" w:rsidRPr="00CD53EE" w:rsidRDefault="0031052F" w:rsidP="0031052F">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268D9C48" w14:textId="77777777" w:rsidR="0031052F" w:rsidRPr="00E938AF" w:rsidRDefault="0031052F" w:rsidP="0031052F">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21B14C40" w14:textId="77777777" w:rsidR="0031052F" w:rsidRPr="00E938AF" w:rsidRDefault="0031052F" w:rsidP="0031052F">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29C701C7" w14:textId="77777777" w:rsidR="0031052F" w:rsidRPr="00E938AF" w:rsidRDefault="0031052F" w:rsidP="0031052F">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529BF08E" w14:textId="77777777" w:rsidR="0031052F" w:rsidRPr="00126238" w:rsidRDefault="0031052F" w:rsidP="0031052F">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43685971" w14:textId="77777777" w:rsidR="0031052F" w:rsidRPr="00126238" w:rsidRDefault="0031052F" w:rsidP="0031052F">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153C266F"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MBS: 080000604</w:t>
                </w:r>
              </w:p>
              <w:p w14:paraId="3F9B36C2" w14:textId="77777777" w:rsidR="0031052F" w:rsidRPr="00126238" w:rsidRDefault="0031052F" w:rsidP="0031052F">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4090806D"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029BA82C"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288F59E8" w14:textId="77777777" w:rsidR="0031052F" w:rsidRPr="00126238" w:rsidRDefault="0031052F" w:rsidP="0031052F">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1E78DC6C"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1DACDC20"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0B8576A5" w14:textId="77777777" w:rsidR="0031052F"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1A254234" w14:textId="77777777" w:rsidR="0031052F" w:rsidRPr="00721675" w:rsidRDefault="0031052F" w:rsidP="0031052F">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31052F" w:rsidRPr="00CD53EE" w14:paraId="5515BC2C" w14:textId="77777777" w:rsidTr="005A16DD">
            <w:trPr>
              <w:cantSplit/>
              <w:trHeight w:val="1304"/>
            </w:trPr>
            <w:tc>
              <w:tcPr>
                <w:tcW w:w="1998" w:type="dxa"/>
                <w:vMerge/>
                <w:tcBorders>
                  <w:left w:val="nil"/>
                  <w:bottom w:val="nil"/>
                  <w:right w:val="nil"/>
                </w:tcBorders>
              </w:tcPr>
              <w:p w14:paraId="45CAE255" w14:textId="77777777" w:rsidR="0031052F" w:rsidRPr="00CD53EE" w:rsidRDefault="0031052F" w:rsidP="0031052F">
                <w:pPr>
                  <w:pStyle w:val="Footer"/>
                  <w:rPr>
                    <w:rFonts w:cs="Arial"/>
                    <w:b/>
                    <w:bCs/>
                    <w:sz w:val="11"/>
                    <w:szCs w:val="11"/>
                  </w:rPr>
                </w:pPr>
              </w:p>
            </w:tc>
            <w:tc>
              <w:tcPr>
                <w:tcW w:w="1554" w:type="dxa"/>
                <w:tcBorders>
                  <w:top w:val="nil"/>
                  <w:left w:val="nil"/>
                  <w:bottom w:val="nil"/>
                  <w:right w:val="nil"/>
                </w:tcBorders>
              </w:tcPr>
              <w:p w14:paraId="1359C3C1"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75B773AA" w14:textId="77777777" w:rsidR="0031052F" w:rsidRPr="00E938AF" w:rsidRDefault="0031052F" w:rsidP="0031052F">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19DD3593"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565D02C5"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49402C83"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3DF87B7A" w14:textId="77777777" w:rsidR="0031052F" w:rsidRPr="00AC0994" w:rsidRDefault="0031052F" w:rsidP="0031052F">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00A5C1A7" w14:textId="77777777" w:rsidR="0031052F" w:rsidRDefault="0031052F" w:rsidP="0031052F">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7202DE56" w14:textId="77777777" w:rsidR="0031052F" w:rsidRPr="00E938AF"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73186BB2" w14:textId="77777777" w:rsidR="0031052F" w:rsidRDefault="0031052F" w:rsidP="0031052F">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0AE88AF9" w14:textId="77777777" w:rsidR="0031052F" w:rsidRPr="00E938AF" w:rsidRDefault="0031052F" w:rsidP="0031052F">
                <w:pPr>
                  <w:pStyle w:val="Footer"/>
                  <w:spacing w:line="216" w:lineRule="auto"/>
                  <w:ind w:left="-108"/>
                  <w:rPr>
                    <w:rFonts w:ascii="Arial Narrow" w:hAnsi="Arial Narrow"/>
                    <w:sz w:val="10"/>
                    <w:szCs w:val="10"/>
                    <w:lang w:bidi="ta-IN"/>
                  </w:rPr>
                </w:pPr>
              </w:p>
              <w:p w14:paraId="162816F3" w14:textId="77777777" w:rsidR="0031052F" w:rsidRDefault="0031052F" w:rsidP="0031052F">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1B052D5D" w14:textId="77777777" w:rsidR="0031052F" w:rsidRPr="00E938AF" w:rsidRDefault="0031052F" w:rsidP="0031052F">
                <w:pPr>
                  <w:pStyle w:val="Footer"/>
                  <w:spacing w:line="216" w:lineRule="auto"/>
                  <w:ind w:left="-108"/>
                  <w:rPr>
                    <w:rFonts w:ascii="Arial Narrow" w:hAnsi="Arial Narrow"/>
                    <w:sz w:val="10"/>
                    <w:szCs w:val="10"/>
                    <w:lang w:bidi="ta-IN"/>
                  </w:rPr>
                </w:pPr>
              </w:p>
              <w:p w14:paraId="30AA0E65" w14:textId="77777777" w:rsidR="0031052F"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06F708B8" w14:textId="77777777" w:rsidR="0031052F" w:rsidRPr="00E938AF" w:rsidRDefault="0031052F" w:rsidP="0031052F">
                <w:pPr>
                  <w:pStyle w:val="Footer"/>
                  <w:spacing w:line="216" w:lineRule="auto"/>
                  <w:ind w:left="-108"/>
                  <w:rPr>
                    <w:rFonts w:ascii="Arial Narrow" w:hAnsi="Arial Narrow"/>
                    <w:sz w:val="10"/>
                    <w:szCs w:val="10"/>
                    <w:lang w:bidi="ta-IN"/>
                  </w:rPr>
                </w:pPr>
              </w:p>
              <w:p w14:paraId="4E162E05" w14:textId="77777777" w:rsidR="0031052F" w:rsidRPr="00126238"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43F051FA" w14:textId="77777777" w:rsidR="0031052F" w:rsidRPr="00E938AF" w:rsidRDefault="0031052F" w:rsidP="0031052F">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7585CDB1"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2930F264"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55CFC02B"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1E0C034C"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4DE72DA3" w14:textId="77777777" w:rsidR="0031052F" w:rsidRPr="00AC0994" w:rsidRDefault="0031052F" w:rsidP="0031052F">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38CE9471"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68217ECD" w14:textId="77777777" w:rsidR="0031052F" w:rsidRDefault="0031052F" w:rsidP="0031052F">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680A70D0" w14:textId="77777777" w:rsidR="0031052F" w:rsidRDefault="0031052F" w:rsidP="0031052F">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7396BC71" w14:textId="77777777" w:rsidR="0031052F" w:rsidRDefault="0031052F" w:rsidP="0031052F">
                <w:pPr>
                  <w:pStyle w:val="Footer"/>
                  <w:spacing w:line="216" w:lineRule="auto"/>
                  <w:ind w:left="-108" w:right="-66"/>
                  <w:rPr>
                    <w:rFonts w:ascii="Arial Narrow" w:hAnsi="Arial Narrow"/>
                    <w:sz w:val="10"/>
                    <w:szCs w:val="10"/>
                    <w:lang w:bidi="ta-IN"/>
                  </w:rPr>
                </w:pPr>
              </w:p>
              <w:p w14:paraId="78C835EE"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33C9E778" w14:textId="77777777" w:rsidR="0031052F" w:rsidRDefault="0031052F" w:rsidP="0031052F">
                <w:pPr>
                  <w:pStyle w:val="Footer"/>
                  <w:spacing w:line="216" w:lineRule="auto"/>
                  <w:ind w:left="-108" w:right="-66"/>
                  <w:rPr>
                    <w:rFonts w:ascii="Arial Narrow" w:hAnsi="Arial Narrow"/>
                    <w:sz w:val="10"/>
                    <w:szCs w:val="10"/>
                    <w:lang w:bidi="ta-IN"/>
                  </w:rPr>
                </w:pPr>
              </w:p>
              <w:p w14:paraId="63C1B1BF"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18CCCD59" w14:textId="77777777" w:rsidR="0031052F" w:rsidRDefault="0031052F" w:rsidP="0031052F">
                <w:pPr>
                  <w:pStyle w:val="Footer"/>
                  <w:spacing w:line="216" w:lineRule="auto"/>
                  <w:ind w:left="-108" w:right="-66"/>
                  <w:rPr>
                    <w:rFonts w:ascii="Arial Narrow" w:hAnsi="Arial Narrow"/>
                    <w:sz w:val="10"/>
                    <w:szCs w:val="10"/>
                    <w:lang w:bidi="ta-IN"/>
                  </w:rPr>
                </w:pPr>
              </w:p>
              <w:p w14:paraId="03EE8476" w14:textId="77777777" w:rsidR="0031052F" w:rsidRPr="00E938AF" w:rsidRDefault="0031052F" w:rsidP="0031052F">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705C4E06"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202A2DFF"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0D33662F"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07E3C4B0"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47FD3C79"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5905D20F" w14:textId="77777777" w:rsidR="0031052F" w:rsidRPr="00AC0994" w:rsidRDefault="0031052F" w:rsidP="0031052F">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4F587D10"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10C2B312"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185C6E5E" w14:textId="77777777" w:rsidR="0031052F" w:rsidRPr="00126238" w:rsidRDefault="0031052F" w:rsidP="0031052F">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2D02C1CC"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5DD18B0B"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4AD02054"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2D750F9B"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7EE48605"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1FF6706B" w14:textId="77777777" w:rsidR="0031052F" w:rsidRPr="00126238" w:rsidRDefault="0031052F" w:rsidP="0031052F">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4C43836D" w14:textId="77777777" w:rsidR="0031052F" w:rsidRPr="00CD53EE" w:rsidRDefault="0031052F" w:rsidP="0031052F">
                <w:pPr>
                  <w:pStyle w:val="Footer"/>
                  <w:rPr>
                    <w:rFonts w:cs="Arial"/>
                    <w:sz w:val="11"/>
                    <w:szCs w:val="11"/>
                  </w:rPr>
                </w:pPr>
              </w:p>
            </w:tc>
          </w:tr>
          <w:tr w:rsidR="0031052F" w:rsidRPr="00CD53EE" w14:paraId="1489FDEB" w14:textId="77777777" w:rsidTr="005A16DD">
            <w:trPr>
              <w:cantSplit/>
              <w:trHeight w:val="300"/>
            </w:trPr>
            <w:tc>
              <w:tcPr>
                <w:tcW w:w="7305" w:type="dxa"/>
                <w:gridSpan w:val="4"/>
                <w:tcBorders>
                  <w:top w:val="nil"/>
                  <w:left w:val="nil"/>
                  <w:bottom w:val="nil"/>
                  <w:right w:val="nil"/>
                </w:tcBorders>
                <w:vAlign w:val="bottom"/>
              </w:tcPr>
              <w:p w14:paraId="3DE0BA14" w14:textId="77777777" w:rsidR="0031052F" w:rsidRPr="00A17F18" w:rsidRDefault="0031052F" w:rsidP="0031052F">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714F5FCA" w14:textId="77777777" w:rsidR="0031052F" w:rsidRPr="00A17F18" w:rsidRDefault="0031052F" w:rsidP="0031052F">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14:paraId="0D1AB003" w14:textId="77777777" w:rsidR="0031052F" w:rsidRPr="009E4E6F" w:rsidRDefault="0031052F" w:rsidP="0031052F">
                <w:pPr>
                  <w:pStyle w:val="Footer"/>
                  <w:spacing w:line="216" w:lineRule="auto"/>
                  <w:ind w:right="-108"/>
                  <w:rPr>
                    <w:rFonts w:cs="Arial"/>
                    <w:sz w:val="4"/>
                    <w:szCs w:val="4"/>
                  </w:rPr>
                </w:pPr>
              </w:p>
              <w:p w14:paraId="53DF1EA8" w14:textId="77777777" w:rsidR="0031052F" w:rsidRPr="00CD53EE" w:rsidRDefault="0031052F" w:rsidP="00B5179A">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B5179A">
                  <w:rPr>
                    <w:rFonts w:cs="Arial"/>
                    <w:sz w:val="11"/>
                    <w:szCs w:val="11"/>
                  </w:rPr>
                  <w:t xml:space="preserve">Damir </w:t>
                </w:r>
                <w:proofErr w:type="spellStart"/>
                <w:r w:rsidR="00B5179A">
                  <w:rPr>
                    <w:rFonts w:cs="Arial"/>
                    <w:sz w:val="11"/>
                    <w:szCs w:val="11"/>
                  </w:rPr>
                  <w:t>Vanđelić</w:t>
                </w:r>
                <w:proofErr w:type="spellEnd"/>
              </w:p>
            </w:tc>
            <w:tc>
              <w:tcPr>
                <w:tcW w:w="2159" w:type="dxa"/>
                <w:vMerge/>
                <w:tcBorders>
                  <w:left w:val="nil"/>
                  <w:bottom w:val="nil"/>
                  <w:right w:val="nil"/>
                </w:tcBorders>
              </w:tcPr>
              <w:p w14:paraId="31A7FC62" w14:textId="77777777" w:rsidR="0031052F" w:rsidRPr="00CD53EE" w:rsidRDefault="0031052F" w:rsidP="0031052F">
                <w:pPr>
                  <w:pStyle w:val="Footer"/>
                  <w:rPr>
                    <w:rFonts w:cs="Arial"/>
                    <w:sz w:val="11"/>
                    <w:szCs w:val="11"/>
                  </w:rPr>
                </w:pPr>
              </w:p>
            </w:tc>
          </w:tr>
        </w:tbl>
        <w:p w14:paraId="0CDECA56" w14:textId="77777777" w:rsidR="0031052F" w:rsidRPr="00CD53EE" w:rsidRDefault="0031052F" w:rsidP="0031052F">
          <w:pPr>
            <w:pStyle w:val="Footer"/>
            <w:rPr>
              <w:sz w:val="11"/>
              <w:szCs w:val="11"/>
            </w:rPr>
          </w:pPr>
        </w:p>
      </w:tc>
    </w:tr>
    <w:tr w:rsidR="0031052F" w:rsidRPr="00CD53EE" w14:paraId="51081D16" w14:textId="77777777" w:rsidTr="005A16DD">
      <w:trPr>
        <w:cantSplit/>
        <w:trHeight w:val="710"/>
      </w:trPr>
      <w:tc>
        <w:tcPr>
          <w:tcW w:w="9680" w:type="dxa"/>
          <w:vMerge/>
          <w:tcBorders>
            <w:left w:val="nil"/>
            <w:bottom w:val="nil"/>
            <w:right w:val="nil"/>
          </w:tcBorders>
        </w:tcPr>
        <w:p w14:paraId="0A288F24" w14:textId="77777777" w:rsidR="0031052F" w:rsidRPr="00CD53EE" w:rsidRDefault="0031052F" w:rsidP="0031052F">
          <w:pPr>
            <w:pStyle w:val="Footer"/>
            <w:rPr>
              <w:rFonts w:cs="Arial"/>
              <w:b/>
              <w:bCs/>
              <w:sz w:val="11"/>
              <w:szCs w:val="11"/>
            </w:rPr>
          </w:pPr>
        </w:p>
      </w:tc>
    </w:tr>
  </w:tbl>
  <w:p w14:paraId="3F50B9FF" w14:textId="77777777" w:rsidR="00E11167" w:rsidRPr="00C31612" w:rsidRDefault="00E11167" w:rsidP="00C31612">
    <w:pPr>
      <w:pStyle w:val="Footer"/>
      <w:jc w:val="right"/>
      <w:rPr>
        <w:rFonts w:ascii="Arial" w:hAnsi="Arial" w:cs="Arial"/>
        <w:sz w:val="20"/>
      </w:rPr>
    </w:pPr>
    <w:r w:rsidRPr="005B4643">
      <w:rPr>
        <w:rFonts w:ascii="Arial" w:hAnsi="Arial" w:cs="Arial"/>
        <w:sz w:val="20"/>
      </w:rPr>
      <w:fldChar w:fldCharType="begin"/>
    </w:r>
    <w:r w:rsidRPr="005B4643">
      <w:rPr>
        <w:rFonts w:ascii="Arial" w:hAnsi="Arial" w:cs="Arial"/>
        <w:sz w:val="20"/>
      </w:rPr>
      <w:instrText xml:space="preserve"> PAGE   \* MERGEFORMAT </w:instrText>
    </w:r>
    <w:r w:rsidRPr="005B4643">
      <w:rPr>
        <w:rFonts w:ascii="Arial" w:hAnsi="Arial" w:cs="Arial"/>
        <w:sz w:val="20"/>
      </w:rPr>
      <w:fldChar w:fldCharType="separate"/>
    </w:r>
    <w:r w:rsidR="008B62F5">
      <w:rPr>
        <w:rFonts w:ascii="Arial" w:hAnsi="Arial" w:cs="Arial"/>
        <w:noProof/>
        <w:sz w:val="20"/>
      </w:rPr>
      <w:t>8</w:t>
    </w:r>
    <w:r w:rsidRPr="005B4643">
      <w:rPr>
        <w:rFonts w:ascii="Arial" w:hAnsi="Arial" w:cs="Arial"/>
        <w:noProof/>
        <w:sz w:val="20"/>
      </w:rPr>
      <w:fldChar w:fldCharType="end"/>
    </w:r>
  </w:p>
  <w:p w14:paraId="16FC3FC9" w14:textId="77777777" w:rsidR="00E11167" w:rsidRDefault="00E11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B39C" w14:textId="77777777" w:rsidR="00A811DF" w:rsidRDefault="00A811DF" w:rsidP="00E11167">
      <w:r>
        <w:separator/>
      </w:r>
    </w:p>
  </w:footnote>
  <w:footnote w:type="continuationSeparator" w:id="0">
    <w:p w14:paraId="713EBC49" w14:textId="77777777" w:rsidR="00A811DF" w:rsidRDefault="00A811DF" w:rsidP="00E11167">
      <w:r>
        <w:continuationSeparator/>
      </w:r>
    </w:p>
  </w:footnote>
  <w:footnote w:id="1">
    <w:p w14:paraId="4D09FD1D" w14:textId="77777777" w:rsidR="003B716D" w:rsidRDefault="003B716D">
      <w:pPr>
        <w:pStyle w:val="FootnoteText"/>
      </w:pPr>
      <w:r>
        <w:rPr>
          <w:rStyle w:val="FootnoteReference"/>
        </w:rPr>
        <w:footnoteRef/>
      </w:r>
      <w:r>
        <w:t xml:space="preserve"> </w:t>
      </w:r>
      <w:r w:rsidRPr="00E32811">
        <w:rPr>
          <w:rFonts w:asciiTheme="minorHAnsi" w:hAnsiTheme="minorHAnsi"/>
          <w:sz w:val="16"/>
          <w:szCs w:val="16"/>
          <w:lang w:val="en-GB"/>
        </w:rPr>
        <w:t>EBITDA = EBIT + Depreciation + Impairment + Provisions</w:t>
      </w:r>
    </w:p>
  </w:footnote>
  <w:footnote w:id="2">
    <w:p w14:paraId="5BB6A796" w14:textId="424C2C3F" w:rsidR="00144630" w:rsidRDefault="00144630" w:rsidP="00144630">
      <w:pPr>
        <w:pStyle w:val="FootnoteText"/>
      </w:pPr>
      <w:r>
        <w:rPr>
          <w:rStyle w:val="FootnoteReference"/>
        </w:rPr>
        <w:footnoteRef/>
      </w:r>
      <w:r>
        <w:t xml:space="preserve"> </w:t>
      </w:r>
      <w:r w:rsidR="009F1D6A" w:rsidRPr="009F1D6A">
        <w:rPr>
          <w:rFonts w:asciiTheme="minorHAnsi" w:hAnsiTheme="minorHAnsi"/>
          <w:sz w:val="16"/>
          <w:szCs w:val="16"/>
          <w:lang w:val="en-GB"/>
        </w:rPr>
        <w:t xml:space="preserve">In 2017, EBITDA was positively impacted by HRK 4 </w:t>
      </w:r>
      <w:proofErr w:type="spellStart"/>
      <w:r w:rsidR="009F1D6A" w:rsidRPr="009F1D6A">
        <w:rPr>
          <w:rFonts w:asciiTheme="minorHAnsi" w:hAnsiTheme="minorHAnsi"/>
          <w:sz w:val="16"/>
          <w:szCs w:val="16"/>
          <w:lang w:val="en-GB"/>
        </w:rPr>
        <w:t>mn</w:t>
      </w:r>
      <w:proofErr w:type="spellEnd"/>
      <w:r w:rsidR="009F1D6A" w:rsidRPr="009F1D6A">
        <w:rPr>
          <w:rFonts w:asciiTheme="minorHAnsi" w:hAnsiTheme="minorHAnsi"/>
          <w:sz w:val="16"/>
          <w:szCs w:val="16"/>
          <w:lang w:val="en-GB"/>
        </w:rPr>
        <w:t xml:space="preserve"> related to reversal of provision in Angola, while EBIT was positively influenced by HRK 40 million net effect of reversal of provision in Angola, </w:t>
      </w:r>
      <w:proofErr w:type="spellStart"/>
      <w:r w:rsidR="009F1D6A" w:rsidRPr="009F1D6A">
        <w:rPr>
          <w:rFonts w:asciiTheme="minorHAnsi" w:hAnsiTheme="minorHAnsi"/>
          <w:sz w:val="16"/>
          <w:szCs w:val="16"/>
          <w:lang w:val="en-GB"/>
        </w:rPr>
        <w:t>Crosco</w:t>
      </w:r>
      <w:proofErr w:type="spellEnd"/>
      <w:r w:rsidR="009F1D6A" w:rsidRPr="009F1D6A">
        <w:rPr>
          <w:rFonts w:asciiTheme="minorHAnsi" w:hAnsiTheme="minorHAnsi"/>
          <w:sz w:val="16"/>
          <w:szCs w:val="16"/>
          <w:lang w:val="en-GB"/>
        </w:rPr>
        <w:t xml:space="preserve"> assets impairment and Environment related provision; 2016 EBITDA was negatively influenced by HRK 315 million special items related to Severance payments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BA1" w14:textId="77777777" w:rsidR="00E11167" w:rsidRDefault="00E11167">
    <w:pPr>
      <w:pStyle w:val="Header"/>
    </w:pPr>
    <w:r>
      <w:rPr>
        <w:noProof/>
        <w:lang w:eastAsia="hr-HR"/>
      </w:rPr>
      <w:drawing>
        <wp:inline distT="0" distB="0" distL="0" distR="0" wp14:anchorId="1C7E0210" wp14:editId="2921E56C">
          <wp:extent cx="1213485" cy="451485"/>
          <wp:effectExtent l="0" t="0" r="5715" b="571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inline>
      </w:drawing>
    </w:r>
  </w:p>
  <w:p w14:paraId="40813F3F" w14:textId="77777777" w:rsidR="00E11167" w:rsidRDefault="00E111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BBFA" w14:textId="77777777" w:rsidR="002620FE" w:rsidRDefault="00860C04">
    <w:pPr>
      <w:pStyle w:val="Header"/>
    </w:pPr>
    <w:r>
      <w:rPr>
        <w:noProof/>
        <w:lang w:eastAsia="hr-HR"/>
      </w:rPr>
      <w:drawing>
        <wp:anchor distT="0" distB="0" distL="114300" distR="114300" simplePos="0" relativeHeight="251659264" behindDoc="0" locked="0" layoutInCell="1" allowOverlap="1" wp14:anchorId="146B3043" wp14:editId="6F272D83">
          <wp:simplePos x="0" y="0"/>
          <wp:positionH relativeFrom="column">
            <wp:posOffset>153035</wp:posOffset>
          </wp:positionH>
          <wp:positionV relativeFrom="paragraph">
            <wp:posOffset>243205</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EF7D71"/>
    <w:multiLevelType w:val="hybridMultilevel"/>
    <w:tmpl w:val="4E92B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A"/>
    <w:rsid w:val="00001691"/>
    <w:rsid w:val="000051E2"/>
    <w:rsid w:val="000145A6"/>
    <w:rsid w:val="00015C4D"/>
    <w:rsid w:val="0002103D"/>
    <w:rsid w:val="00022EA9"/>
    <w:rsid w:val="00024352"/>
    <w:rsid w:val="00044D71"/>
    <w:rsid w:val="000620E4"/>
    <w:rsid w:val="000719BA"/>
    <w:rsid w:val="00076862"/>
    <w:rsid w:val="0007706D"/>
    <w:rsid w:val="0008261A"/>
    <w:rsid w:val="00082D5D"/>
    <w:rsid w:val="0009627E"/>
    <w:rsid w:val="000977E3"/>
    <w:rsid w:val="000A0BFF"/>
    <w:rsid w:val="000A1C74"/>
    <w:rsid w:val="000A1EBF"/>
    <w:rsid w:val="000B07D7"/>
    <w:rsid w:val="000B085A"/>
    <w:rsid w:val="000B327E"/>
    <w:rsid w:val="000D01AB"/>
    <w:rsid w:val="000D3599"/>
    <w:rsid w:val="000D5616"/>
    <w:rsid w:val="000D5FAE"/>
    <w:rsid w:val="000E49A0"/>
    <w:rsid w:val="000F0C56"/>
    <w:rsid w:val="00100EF1"/>
    <w:rsid w:val="0012110D"/>
    <w:rsid w:val="00122C9F"/>
    <w:rsid w:val="00130D5B"/>
    <w:rsid w:val="00137D7A"/>
    <w:rsid w:val="0014051C"/>
    <w:rsid w:val="00144630"/>
    <w:rsid w:val="001465F7"/>
    <w:rsid w:val="00153421"/>
    <w:rsid w:val="00157B79"/>
    <w:rsid w:val="00160C7A"/>
    <w:rsid w:val="00163327"/>
    <w:rsid w:val="001637B1"/>
    <w:rsid w:val="00184D21"/>
    <w:rsid w:val="00191574"/>
    <w:rsid w:val="001920E9"/>
    <w:rsid w:val="001A34F1"/>
    <w:rsid w:val="001A56A4"/>
    <w:rsid w:val="001B504C"/>
    <w:rsid w:val="001C4991"/>
    <w:rsid w:val="001D07B9"/>
    <w:rsid w:val="001D6D41"/>
    <w:rsid w:val="001E2E51"/>
    <w:rsid w:val="001E7160"/>
    <w:rsid w:val="0020107F"/>
    <w:rsid w:val="002027D9"/>
    <w:rsid w:val="002035F0"/>
    <w:rsid w:val="0022082F"/>
    <w:rsid w:val="00221587"/>
    <w:rsid w:val="00236461"/>
    <w:rsid w:val="002379B9"/>
    <w:rsid w:val="00243769"/>
    <w:rsid w:val="00246C9A"/>
    <w:rsid w:val="00265214"/>
    <w:rsid w:val="00267526"/>
    <w:rsid w:val="002828FC"/>
    <w:rsid w:val="00286524"/>
    <w:rsid w:val="0029042B"/>
    <w:rsid w:val="00294AD2"/>
    <w:rsid w:val="002A3AA7"/>
    <w:rsid w:val="002A46A5"/>
    <w:rsid w:val="002B0266"/>
    <w:rsid w:val="002B0D57"/>
    <w:rsid w:val="002B25C3"/>
    <w:rsid w:val="002B5522"/>
    <w:rsid w:val="002C08BB"/>
    <w:rsid w:val="002C3DE6"/>
    <w:rsid w:val="002C4680"/>
    <w:rsid w:val="002C75A9"/>
    <w:rsid w:val="002D03F1"/>
    <w:rsid w:val="002E64F1"/>
    <w:rsid w:val="002F4F8F"/>
    <w:rsid w:val="00303965"/>
    <w:rsid w:val="003064F6"/>
    <w:rsid w:val="00306C62"/>
    <w:rsid w:val="0031052F"/>
    <w:rsid w:val="00312674"/>
    <w:rsid w:val="00323E45"/>
    <w:rsid w:val="0034119D"/>
    <w:rsid w:val="0034194B"/>
    <w:rsid w:val="00343CB6"/>
    <w:rsid w:val="00345092"/>
    <w:rsid w:val="003502F8"/>
    <w:rsid w:val="00377E51"/>
    <w:rsid w:val="003A058C"/>
    <w:rsid w:val="003A415F"/>
    <w:rsid w:val="003A4B6F"/>
    <w:rsid w:val="003B05BB"/>
    <w:rsid w:val="003B716D"/>
    <w:rsid w:val="003C04B6"/>
    <w:rsid w:val="003C144F"/>
    <w:rsid w:val="003C3E10"/>
    <w:rsid w:val="003C495D"/>
    <w:rsid w:val="003C5325"/>
    <w:rsid w:val="003D1032"/>
    <w:rsid w:val="004031D0"/>
    <w:rsid w:val="00403560"/>
    <w:rsid w:val="00420474"/>
    <w:rsid w:val="00424221"/>
    <w:rsid w:val="00437FE2"/>
    <w:rsid w:val="00440FBB"/>
    <w:rsid w:val="0044294B"/>
    <w:rsid w:val="00445122"/>
    <w:rsid w:val="00454D5E"/>
    <w:rsid w:val="0046798F"/>
    <w:rsid w:val="00470234"/>
    <w:rsid w:val="004837CD"/>
    <w:rsid w:val="004929C9"/>
    <w:rsid w:val="004A2423"/>
    <w:rsid w:val="004B22DE"/>
    <w:rsid w:val="004B5F6B"/>
    <w:rsid w:val="004B6427"/>
    <w:rsid w:val="004C05F6"/>
    <w:rsid w:val="004C19C0"/>
    <w:rsid w:val="004C2CCB"/>
    <w:rsid w:val="004D45B1"/>
    <w:rsid w:val="004D7DA5"/>
    <w:rsid w:val="004E29DD"/>
    <w:rsid w:val="004E3A45"/>
    <w:rsid w:val="004F779A"/>
    <w:rsid w:val="00500264"/>
    <w:rsid w:val="00514E34"/>
    <w:rsid w:val="005168B8"/>
    <w:rsid w:val="00525D79"/>
    <w:rsid w:val="00533201"/>
    <w:rsid w:val="0054365E"/>
    <w:rsid w:val="005534F6"/>
    <w:rsid w:val="005551FB"/>
    <w:rsid w:val="005611E9"/>
    <w:rsid w:val="00563375"/>
    <w:rsid w:val="00564017"/>
    <w:rsid w:val="0057395D"/>
    <w:rsid w:val="00585635"/>
    <w:rsid w:val="00587083"/>
    <w:rsid w:val="00594C4A"/>
    <w:rsid w:val="005B2EB0"/>
    <w:rsid w:val="005B702B"/>
    <w:rsid w:val="005C38B7"/>
    <w:rsid w:val="005E2957"/>
    <w:rsid w:val="005E3132"/>
    <w:rsid w:val="005E67FB"/>
    <w:rsid w:val="005F0EE2"/>
    <w:rsid w:val="00607188"/>
    <w:rsid w:val="00613575"/>
    <w:rsid w:val="00614F46"/>
    <w:rsid w:val="00624953"/>
    <w:rsid w:val="0062739C"/>
    <w:rsid w:val="006316AB"/>
    <w:rsid w:val="006356CC"/>
    <w:rsid w:val="00635A02"/>
    <w:rsid w:val="00641E5E"/>
    <w:rsid w:val="00652641"/>
    <w:rsid w:val="00656555"/>
    <w:rsid w:val="00662E8C"/>
    <w:rsid w:val="006666E8"/>
    <w:rsid w:val="006674E0"/>
    <w:rsid w:val="00674DAB"/>
    <w:rsid w:val="00675D4B"/>
    <w:rsid w:val="00682C6F"/>
    <w:rsid w:val="0069146C"/>
    <w:rsid w:val="006A53F0"/>
    <w:rsid w:val="006B3FDB"/>
    <w:rsid w:val="006C3F16"/>
    <w:rsid w:val="006C5480"/>
    <w:rsid w:val="006C6A9B"/>
    <w:rsid w:val="006C6B69"/>
    <w:rsid w:val="006D2E0C"/>
    <w:rsid w:val="006D3B40"/>
    <w:rsid w:val="006D4B5E"/>
    <w:rsid w:val="006E3B76"/>
    <w:rsid w:val="006F110E"/>
    <w:rsid w:val="006F736D"/>
    <w:rsid w:val="007074D5"/>
    <w:rsid w:val="00717FE0"/>
    <w:rsid w:val="00733996"/>
    <w:rsid w:val="00740D64"/>
    <w:rsid w:val="007421B9"/>
    <w:rsid w:val="00746587"/>
    <w:rsid w:val="007531AC"/>
    <w:rsid w:val="007611DB"/>
    <w:rsid w:val="00775E00"/>
    <w:rsid w:val="00776446"/>
    <w:rsid w:val="00787C8C"/>
    <w:rsid w:val="0079289D"/>
    <w:rsid w:val="007B1D62"/>
    <w:rsid w:val="007B78E8"/>
    <w:rsid w:val="007C48E7"/>
    <w:rsid w:val="007C4A11"/>
    <w:rsid w:val="007C616B"/>
    <w:rsid w:val="007D0B49"/>
    <w:rsid w:val="007D2B00"/>
    <w:rsid w:val="007E249E"/>
    <w:rsid w:val="007F5C60"/>
    <w:rsid w:val="00801824"/>
    <w:rsid w:val="00804CDB"/>
    <w:rsid w:val="008055F8"/>
    <w:rsid w:val="00806940"/>
    <w:rsid w:val="00811B68"/>
    <w:rsid w:val="00814753"/>
    <w:rsid w:val="008245B5"/>
    <w:rsid w:val="0082771B"/>
    <w:rsid w:val="008314E9"/>
    <w:rsid w:val="008407F2"/>
    <w:rsid w:val="008433DD"/>
    <w:rsid w:val="00843EF9"/>
    <w:rsid w:val="00844B80"/>
    <w:rsid w:val="008525D8"/>
    <w:rsid w:val="00854049"/>
    <w:rsid w:val="008608AF"/>
    <w:rsid w:val="00860C04"/>
    <w:rsid w:val="008729F9"/>
    <w:rsid w:val="00884F6F"/>
    <w:rsid w:val="008869EC"/>
    <w:rsid w:val="0089733E"/>
    <w:rsid w:val="008B62F5"/>
    <w:rsid w:val="008C3678"/>
    <w:rsid w:val="008C3B67"/>
    <w:rsid w:val="008C498C"/>
    <w:rsid w:val="008D348D"/>
    <w:rsid w:val="008D374F"/>
    <w:rsid w:val="008D62A4"/>
    <w:rsid w:val="008D7A67"/>
    <w:rsid w:val="008D7C10"/>
    <w:rsid w:val="008E4A3C"/>
    <w:rsid w:val="008E6FAA"/>
    <w:rsid w:val="008F4F64"/>
    <w:rsid w:val="00901ED2"/>
    <w:rsid w:val="00905F02"/>
    <w:rsid w:val="0091155D"/>
    <w:rsid w:val="009202EC"/>
    <w:rsid w:val="00936614"/>
    <w:rsid w:val="00936D1C"/>
    <w:rsid w:val="00941CF3"/>
    <w:rsid w:val="009423F3"/>
    <w:rsid w:val="0095123F"/>
    <w:rsid w:val="00951609"/>
    <w:rsid w:val="00951CC0"/>
    <w:rsid w:val="0095304D"/>
    <w:rsid w:val="009543B4"/>
    <w:rsid w:val="009605EA"/>
    <w:rsid w:val="0096259C"/>
    <w:rsid w:val="0096370E"/>
    <w:rsid w:val="00963837"/>
    <w:rsid w:val="00964084"/>
    <w:rsid w:val="00964CEE"/>
    <w:rsid w:val="00965E50"/>
    <w:rsid w:val="009674DF"/>
    <w:rsid w:val="009A1267"/>
    <w:rsid w:val="009A526A"/>
    <w:rsid w:val="009A65B0"/>
    <w:rsid w:val="009B1563"/>
    <w:rsid w:val="009B4B71"/>
    <w:rsid w:val="009C2E39"/>
    <w:rsid w:val="009C3AE9"/>
    <w:rsid w:val="009D0EFF"/>
    <w:rsid w:val="009D4A49"/>
    <w:rsid w:val="009D78B9"/>
    <w:rsid w:val="009E0B0E"/>
    <w:rsid w:val="009E1B40"/>
    <w:rsid w:val="009E36B1"/>
    <w:rsid w:val="009E4296"/>
    <w:rsid w:val="009E66E6"/>
    <w:rsid w:val="009F0513"/>
    <w:rsid w:val="009F1D6A"/>
    <w:rsid w:val="00A008F2"/>
    <w:rsid w:val="00A03FCD"/>
    <w:rsid w:val="00A044C5"/>
    <w:rsid w:val="00A13A97"/>
    <w:rsid w:val="00A14FA5"/>
    <w:rsid w:val="00A24E4E"/>
    <w:rsid w:val="00A25916"/>
    <w:rsid w:val="00A26553"/>
    <w:rsid w:val="00A27057"/>
    <w:rsid w:val="00A313E8"/>
    <w:rsid w:val="00A333D4"/>
    <w:rsid w:val="00A42244"/>
    <w:rsid w:val="00A45C61"/>
    <w:rsid w:val="00A4619E"/>
    <w:rsid w:val="00A52CE0"/>
    <w:rsid w:val="00A811DF"/>
    <w:rsid w:val="00A86B3D"/>
    <w:rsid w:val="00A9095D"/>
    <w:rsid w:val="00AA110D"/>
    <w:rsid w:val="00AA198B"/>
    <w:rsid w:val="00AA6B9A"/>
    <w:rsid w:val="00AC36A2"/>
    <w:rsid w:val="00AC5201"/>
    <w:rsid w:val="00AC7225"/>
    <w:rsid w:val="00AD0553"/>
    <w:rsid w:val="00AD6FB0"/>
    <w:rsid w:val="00AE1DF2"/>
    <w:rsid w:val="00AF047B"/>
    <w:rsid w:val="00AF07FE"/>
    <w:rsid w:val="00B00DC8"/>
    <w:rsid w:val="00B03B83"/>
    <w:rsid w:val="00B0729E"/>
    <w:rsid w:val="00B10FBC"/>
    <w:rsid w:val="00B12351"/>
    <w:rsid w:val="00B1300C"/>
    <w:rsid w:val="00B22218"/>
    <w:rsid w:val="00B25B6A"/>
    <w:rsid w:val="00B3698F"/>
    <w:rsid w:val="00B45BCA"/>
    <w:rsid w:val="00B50223"/>
    <w:rsid w:val="00B515FD"/>
    <w:rsid w:val="00B5179A"/>
    <w:rsid w:val="00B526AA"/>
    <w:rsid w:val="00B57A71"/>
    <w:rsid w:val="00B6018C"/>
    <w:rsid w:val="00B6110C"/>
    <w:rsid w:val="00B64A28"/>
    <w:rsid w:val="00B64C55"/>
    <w:rsid w:val="00B66EFE"/>
    <w:rsid w:val="00B71D07"/>
    <w:rsid w:val="00B72AA9"/>
    <w:rsid w:val="00B800D6"/>
    <w:rsid w:val="00B826CA"/>
    <w:rsid w:val="00B86C00"/>
    <w:rsid w:val="00B87D18"/>
    <w:rsid w:val="00B938CE"/>
    <w:rsid w:val="00B93CAD"/>
    <w:rsid w:val="00B93F58"/>
    <w:rsid w:val="00B963BE"/>
    <w:rsid w:val="00BA1B39"/>
    <w:rsid w:val="00BB6BDD"/>
    <w:rsid w:val="00BB7E47"/>
    <w:rsid w:val="00BC17C1"/>
    <w:rsid w:val="00BC2243"/>
    <w:rsid w:val="00BC3116"/>
    <w:rsid w:val="00BC4D3C"/>
    <w:rsid w:val="00BC6DA2"/>
    <w:rsid w:val="00BD6B46"/>
    <w:rsid w:val="00BE1014"/>
    <w:rsid w:val="00BE1456"/>
    <w:rsid w:val="00BE197E"/>
    <w:rsid w:val="00BE5903"/>
    <w:rsid w:val="00C04DD4"/>
    <w:rsid w:val="00C120CE"/>
    <w:rsid w:val="00C15AA9"/>
    <w:rsid w:val="00C176E0"/>
    <w:rsid w:val="00C254B6"/>
    <w:rsid w:val="00C2591E"/>
    <w:rsid w:val="00C31612"/>
    <w:rsid w:val="00C320AE"/>
    <w:rsid w:val="00C44385"/>
    <w:rsid w:val="00C83B13"/>
    <w:rsid w:val="00C87E06"/>
    <w:rsid w:val="00C91307"/>
    <w:rsid w:val="00C96F23"/>
    <w:rsid w:val="00CA05F9"/>
    <w:rsid w:val="00CA2024"/>
    <w:rsid w:val="00CA2A27"/>
    <w:rsid w:val="00CA6C05"/>
    <w:rsid w:val="00CA7379"/>
    <w:rsid w:val="00CC1889"/>
    <w:rsid w:val="00CC3DA2"/>
    <w:rsid w:val="00CD3CDE"/>
    <w:rsid w:val="00CE549E"/>
    <w:rsid w:val="00CF785A"/>
    <w:rsid w:val="00D0219A"/>
    <w:rsid w:val="00D07A08"/>
    <w:rsid w:val="00D1387C"/>
    <w:rsid w:val="00D146C3"/>
    <w:rsid w:val="00D154C7"/>
    <w:rsid w:val="00D17547"/>
    <w:rsid w:val="00D23B4F"/>
    <w:rsid w:val="00D300A0"/>
    <w:rsid w:val="00D32742"/>
    <w:rsid w:val="00D32D71"/>
    <w:rsid w:val="00D46074"/>
    <w:rsid w:val="00D526FE"/>
    <w:rsid w:val="00D53879"/>
    <w:rsid w:val="00D67F98"/>
    <w:rsid w:val="00D73D54"/>
    <w:rsid w:val="00D76269"/>
    <w:rsid w:val="00D839F5"/>
    <w:rsid w:val="00D839FC"/>
    <w:rsid w:val="00D87711"/>
    <w:rsid w:val="00D90601"/>
    <w:rsid w:val="00DA3120"/>
    <w:rsid w:val="00DA3448"/>
    <w:rsid w:val="00DA3E9F"/>
    <w:rsid w:val="00DA612F"/>
    <w:rsid w:val="00DA6398"/>
    <w:rsid w:val="00DB7889"/>
    <w:rsid w:val="00DD24C5"/>
    <w:rsid w:val="00DE154A"/>
    <w:rsid w:val="00E11167"/>
    <w:rsid w:val="00E16591"/>
    <w:rsid w:val="00E2133B"/>
    <w:rsid w:val="00E2763D"/>
    <w:rsid w:val="00E3411F"/>
    <w:rsid w:val="00E34F0E"/>
    <w:rsid w:val="00E36CEC"/>
    <w:rsid w:val="00E411F8"/>
    <w:rsid w:val="00E43DE4"/>
    <w:rsid w:val="00E65F1B"/>
    <w:rsid w:val="00E679C0"/>
    <w:rsid w:val="00E77309"/>
    <w:rsid w:val="00E81039"/>
    <w:rsid w:val="00E96AA4"/>
    <w:rsid w:val="00EA103B"/>
    <w:rsid w:val="00EC129C"/>
    <w:rsid w:val="00EC4A5A"/>
    <w:rsid w:val="00ED5844"/>
    <w:rsid w:val="00EE046A"/>
    <w:rsid w:val="00EE2482"/>
    <w:rsid w:val="00EE6354"/>
    <w:rsid w:val="00EE66EC"/>
    <w:rsid w:val="00EE68CD"/>
    <w:rsid w:val="00EE7B7B"/>
    <w:rsid w:val="00EF1C2A"/>
    <w:rsid w:val="00F01BFD"/>
    <w:rsid w:val="00F01D8C"/>
    <w:rsid w:val="00F021ED"/>
    <w:rsid w:val="00F10D92"/>
    <w:rsid w:val="00F17A6A"/>
    <w:rsid w:val="00F21047"/>
    <w:rsid w:val="00F404CF"/>
    <w:rsid w:val="00F416F4"/>
    <w:rsid w:val="00F41B0B"/>
    <w:rsid w:val="00F46F7D"/>
    <w:rsid w:val="00F5111C"/>
    <w:rsid w:val="00F625A5"/>
    <w:rsid w:val="00F62ED5"/>
    <w:rsid w:val="00F63C49"/>
    <w:rsid w:val="00F64128"/>
    <w:rsid w:val="00F70DD1"/>
    <w:rsid w:val="00F71197"/>
    <w:rsid w:val="00F80FBA"/>
    <w:rsid w:val="00F82176"/>
    <w:rsid w:val="00F8747C"/>
    <w:rsid w:val="00F90450"/>
    <w:rsid w:val="00FB1B29"/>
    <w:rsid w:val="00FB5E97"/>
    <w:rsid w:val="00FB6FDF"/>
    <w:rsid w:val="00FC0F17"/>
    <w:rsid w:val="00FC1049"/>
    <w:rsid w:val="00FC2F59"/>
    <w:rsid w:val="00FC3C14"/>
    <w:rsid w:val="00FD0873"/>
    <w:rsid w:val="00FD52FC"/>
    <w:rsid w:val="00FE63B9"/>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1D24136"/>
  <w15:docId w15:val="{DCF2F1A3-F28A-4830-A49B-432BD13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uiPriority w:val="99"/>
    <w:rsid w:val="00E11167"/>
    <w:pPr>
      <w:tabs>
        <w:tab w:val="center" w:pos="4536"/>
        <w:tab w:val="right" w:pos="9072"/>
      </w:tabs>
    </w:pPr>
  </w:style>
  <w:style w:type="character" w:customStyle="1" w:styleId="FooterChar">
    <w:name w:val="Footer Char"/>
    <w:basedOn w:val="DefaultParagraphFont"/>
    <w:link w:val="Footer"/>
    <w:uiPriority w:val="99"/>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link w:val="ListParagraphChar"/>
    <w:uiPriority w:val="34"/>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 w:type="character" w:customStyle="1" w:styleId="ListParagraphChar">
    <w:name w:val="List Paragraph Char"/>
    <w:basedOn w:val="DefaultParagraphFont"/>
    <w:link w:val="ListParagraph"/>
    <w:uiPriority w:val="34"/>
    <w:locked/>
    <w:rsid w:val="0029042B"/>
    <w:rPr>
      <w:rFonts w:ascii="Times New Roman" w:eastAsia="Times New Roman" w:hAnsi="Times New Roman" w:cs="Times New Roman"/>
      <w:sz w:val="24"/>
      <w:szCs w:val="24"/>
    </w:rPr>
  </w:style>
  <w:style w:type="paragraph" w:styleId="Revision">
    <w:name w:val="Revision"/>
    <w:hidden/>
    <w:uiPriority w:val="99"/>
    <w:semiHidden/>
    <w:rsid w:val="008433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1902054941">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a.h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702D-A832-4F69-A1A3-66E7D35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Knežević Sandra</cp:lastModifiedBy>
  <cp:revision>9</cp:revision>
  <cp:lastPrinted>2018-02-19T18:38:00Z</cp:lastPrinted>
  <dcterms:created xsi:type="dcterms:W3CDTF">2018-02-14T10:49:00Z</dcterms:created>
  <dcterms:modified xsi:type="dcterms:W3CDTF">2018-02-19T18:38:00Z</dcterms:modified>
</cp:coreProperties>
</file>