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6670" w14:textId="77777777" w:rsidR="00E11167" w:rsidRDefault="00E11167" w:rsidP="00E11167">
      <w:pPr>
        <w:rPr>
          <w:rFonts w:asciiTheme="minorHAnsi" w:hAnsiTheme="minorHAnsi" w:cstheme="minorHAnsi"/>
          <w:lang w:val="en-US"/>
        </w:rPr>
      </w:pPr>
      <w:bookmarkStart w:id="0" w:name="_GoBack"/>
      <w:bookmarkEnd w:id="0"/>
    </w:p>
    <w:p w14:paraId="43EABE3D" w14:textId="77777777" w:rsidR="00AB5774" w:rsidRPr="0009057C" w:rsidRDefault="00AB5774" w:rsidP="00E11167">
      <w:pPr>
        <w:rPr>
          <w:rFonts w:asciiTheme="minorHAnsi" w:hAnsiTheme="minorHAnsi" w:cstheme="minorHAnsi"/>
          <w:lang w:val="en-US"/>
        </w:rPr>
      </w:pPr>
    </w:p>
    <w:p w14:paraId="1F91050D" w14:textId="77777777" w:rsidR="00E11167" w:rsidRPr="0009057C" w:rsidRDefault="00E11167" w:rsidP="00E11167">
      <w:pPr>
        <w:rPr>
          <w:rFonts w:asciiTheme="minorHAnsi" w:hAnsiTheme="minorHAnsi" w:cstheme="minorHAnsi"/>
          <w:lang w:val="en-US"/>
        </w:rPr>
      </w:pPr>
    </w:p>
    <w:p w14:paraId="197B83DD" w14:textId="77777777" w:rsidR="00E11167" w:rsidRPr="0009057C" w:rsidRDefault="00E11167" w:rsidP="00E11167">
      <w:pPr>
        <w:rPr>
          <w:rFonts w:asciiTheme="minorHAnsi" w:hAnsiTheme="minorHAnsi" w:cstheme="minorHAnsi"/>
          <w:lang w:val="en-US"/>
        </w:rPr>
      </w:pPr>
    </w:p>
    <w:p w14:paraId="327E7B58" w14:textId="77777777" w:rsidR="00E11167" w:rsidRPr="0009057C" w:rsidRDefault="00E11167" w:rsidP="00E11167">
      <w:pPr>
        <w:rPr>
          <w:rFonts w:asciiTheme="minorHAnsi" w:hAnsiTheme="minorHAnsi" w:cstheme="minorHAnsi"/>
          <w:lang w:val="en-US"/>
        </w:rPr>
      </w:pPr>
    </w:p>
    <w:p w14:paraId="394EB271" w14:textId="77777777" w:rsidR="00E11167" w:rsidRPr="0009057C" w:rsidRDefault="00E11167" w:rsidP="00E11167">
      <w:pPr>
        <w:rPr>
          <w:rFonts w:asciiTheme="minorHAnsi" w:hAnsiTheme="minorHAnsi" w:cstheme="minorHAnsi"/>
          <w:lang w:val="en-US"/>
        </w:rPr>
      </w:pPr>
    </w:p>
    <w:p w14:paraId="1B2059DE" w14:textId="77777777" w:rsidR="00E11167" w:rsidRPr="0009057C" w:rsidRDefault="00E11167" w:rsidP="00E11167">
      <w:pPr>
        <w:rPr>
          <w:rFonts w:asciiTheme="minorHAnsi" w:hAnsiTheme="minorHAnsi" w:cstheme="minorHAnsi"/>
          <w:lang w:val="en-US"/>
        </w:rPr>
      </w:pPr>
    </w:p>
    <w:p w14:paraId="432451B2" w14:textId="77777777" w:rsidR="00E11167" w:rsidRPr="00B25400" w:rsidRDefault="00E11167" w:rsidP="00E11167">
      <w:pPr>
        <w:jc w:val="center"/>
        <w:rPr>
          <w:rFonts w:asciiTheme="minorHAnsi" w:hAnsiTheme="minorHAnsi" w:cstheme="minorHAnsi"/>
          <w:sz w:val="56"/>
          <w:szCs w:val="56"/>
          <w:lang w:val="en-US"/>
        </w:rPr>
      </w:pPr>
      <w:r w:rsidRPr="00B25400">
        <w:rPr>
          <w:rFonts w:asciiTheme="minorHAnsi" w:hAnsiTheme="minorHAnsi" w:cstheme="minorHAnsi"/>
          <w:sz w:val="56"/>
          <w:szCs w:val="56"/>
          <w:lang w:val="en-US"/>
        </w:rPr>
        <w:t>FINANCIAL RESULTS</w:t>
      </w:r>
    </w:p>
    <w:p w14:paraId="635EEE68" w14:textId="2C58B131" w:rsidR="00E11167" w:rsidRPr="00B25400" w:rsidRDefault="008C3B17" w:rsidP="00E11167">
      <w:pPr>
        <w:jc w:val="center"/>
        <w:rPr>
          <w:rFonts w:asciiTheme="minorHAnsi" w:hAnsiTheme="minorHAnsi" w:cstheme="minorHAnsi"/>
          <w:sz w:val="56"/>
          <w:szCs w:val="56"/>
          <w:lang w:val="en-US"/>
        </w:rPr>
      </w:pPr>
      <w:r>
        <w:rPr>
          <w:rFonts w:asciiTheme="minorHAnsi" w:hAnsiTheme="minorHAnsi" w:cstheme="minorHAnsi"/>
          <w:sz w:val="56"/>
          <w:szCs w:val="56"/>
          <w:lang w:val="en-US"/>
        </w:rPr>
        <w:t>H</w:t>
      </w:r>
      <w:r w:rsidR="0081499E">
        <w:rPr>
          <w:rFonts w:asciiTheme="minorHAnsi" w:hAnsiTheme="minorHAnsi" w:cstheme="minorHAnsi"/>
          <w:sz w:val="56"/>
          <w:szCs w:val="56"/>
          <w:lang w:val="en-US"/>
        </w:rPr>
        <w:t>1 2019</w:t>
      </w:r>
    </w:p>
    <w:p w14:paraId="4BECF654" w14:textId="77777777" w:rsidR="00E11167" w:rsidRPr="00B25400" w:rsidRDefault="00E11167" w:rsidP="00E11167">
      <w:pPr>
        <w:jc w:val="center"/>
        <w:rPr>
          <w:rFonts w:asciiTheme="minorHAnsi" w:hAnsiTheme="minorHAnsi" w:cstheme="minorHAnsi"/>
          <w:sz w:val="56"/>
          <w:szCs w:val="56"/>
          <w:lang w:val="en-US"/>
        </w:rPr>
      </w:pPr>
    </w:p>
    <w:p w14:paraId="5CB2D998" w14:textId="77777777" w:rsidR="00E11167" w:rsidRPr="00B25400" w:rsidRDefault="00E11167" w:rsidP="00E11167">
      <w:pPr>
        <w:rPr>
          <w:rFonts w:asciiTheme="minorHAnsi" w:hAnsiTheme="minorHAnsi" w:cstheme="minorHAnsi"/>
          <w:lang w:val="en-US"/>
        </w:rPr>
      </w:pPr>
    </w:p>
    <w:p w14:paraId="54527755" w14:textId="77777777" w:rsidR="00E11167" w:rsidRPr="00B25400" w:rsidRDefault="00E11167" w:rsidP="00E11167">
      <w:pPr>
        <w:rPr>
          <w:rFonts w:asciiTheme="minorHAnsi" w:hAnsiTheme="minorHAnsi" w:cstheme="minorHAnsi"/>
          <w:lang w:val="en-US"/>
        </w:rPr>
      </w:pPr>
    </w:p>
    <w:p w14:paraId="7AB8CCEB" w14:textId="77777777" w:rsidR="00E11167" w:rsidRPr="00B25400" w:rsidRDefault="00E11167" w:rsidP="00E11167">
      <w:pPr>
        <w:rPr>
          <w:rFonts w:asciiTheme="minorHAnsi" w:hAnsiTheme="minorHAnsi" w:cstheme="minorHAnsi"/>
          <w:lang w:val="en-US"/>
        </w:rPr>
      </w:pPr>
    </w:p>
    <w:p w14:paraId="1E9A59CB" w14:textId="77777777" w:rsidR="00E11167" w:rsidRPr="00B25400" w:rsidRDefault="00E11167" w:rsidP="00E11167">
      <w:pPr>
        <w:rPr>
          <w:rFonts w:asciiTheme="minorHAnsi" w:hAnsiTheme="minorHAnsi" w:cstheme="minorHAnsi"/>
          <w:lang w:val="en-US"/>
        </w:rPr>
      </w:pPr>
    </w:p>
    <w:p w14:paraId="2273957E" w14:textId="77777777" w:rsidR="00E11167" w:rsidRPr="00B25400" w:rsidRDefault="00E11167" w:rsidP="00E11167">
      <w:pPr>
        <w:rPr>
          <w:rFonts w:asciiTheme="minorHAnsi" w:hAnsiTheme="minorHAnsi" w:cstheme="minorHAnsi"/>
          <w:lang w:val="en-US"/>
        </w:rPr>
      </w:pPr>
    </w:p>
    <w:p w14:paraId="473AC6F5" w14:textId="77777777" w:rsidR="00E11167" w:rsidRPr="00B25400" w:rsidRDefault="00E11167" w:rsidP="00E11167">
      <w:pPr>
        <w:rPr>
          <w:rFonts w:asciiTheme="minorHAnsi" w:hAnsiTheme="minorHAnsi" w:cstheme="minorHAnsi"/>
          <w:sz w:val="20"/>
          <w:szCs w:val="20"/>
          <w:lang w:val="en-US"/>
        </w:rPr>
      </w:pPr>
    </w:p>
    <w:p w14:paraId="34EF8A15" w14:textId="77777777" w:rsidR="00E11167" w:rsidRPr="00B25400" w:rsidRDefault="00E11167" w:rsidP="00E11167">
      <w:pPr>
        <w:rPr>
          <w:rFonts w:asciiTheme="minorHAnsi" w:hAnsiTheme="minorHAnsi" w:cstheme="minorHAnsi"/>
          <w:sz w:val="20"/>
          <w:szCs w:val="20"/>
          <w:lang w:val="en-US"/>
        </w:rPr>
      </w:pPr>
    </w:p>
    <w:p w14:paraId="649122BD" w14:textId="77777777" w:rsidR="00E11167" w:rsidRPr="00B25400" w:rsidRDefault="00E11167" w:rsidP="00E11167">
      <w:pPr>
        <w:rPr>
          <w:rFonts w:asciiTheme="minorHAnsi" w:hAnsiTheme="minorHAnsi" w:cstheme="minorHAnsi"/>
          <w:sz w:val="20"/>
          <w:szCs w:val="20"/>
          <w:lang w:val="en-US"/>
        </w:rPr>
      </w:pPr>
    </w:p>
    <w:p w14:paraId="2EEEA812" w14:textId="77777777" w:rsidR="00E11167" w:rsidRPr="00B25400" w:rsidRDefault="00E11167" w:rsidP="00E11167">
      <w:pPr>
        <w:rPr>
          <w:rFonts w:asciiTheme="minorHAnsi" w:hAnsiTheme="minorHAnsi" w:cstheme="minorHAnsi"/>
          <w:sz w:val="20"/>
          <w:szCs w:val="20"/>
          <w:lang w:val="en-US"/>
        </w:rPr>
      </w:pPr>
    </w:p>
    <w:p w14:paraId="14B2743D" w14:textId="77777777" w:rsidR="00E11167" w:rsidRPr="00B25400" w:rsidRDefault="00E11167" w:rsidP="00E11167">
      <w:pPr>
        <w:rPr>
          <w:rFonts w:asciiTheme="minorHAnsi" w:hAnsiTheme="minorHAnsi" w:cstheme="minorHAnsi"/>
          <w:sz w:val="20"/>
          <w:szCs w:val="20"/>
          <w:lang w:val="en-US"/>
        </w:rPr>
      </w:pPr>
    </w:p>
    <w:p w14:paraId="1D21F665" w14:textId="77777777" w:rsidR="00E11167" w:rsidRPr="00B25400" w:rsidRDefault="00E11167" w:rsidP="00E11167">
      <w:pPr>
        <w:rPr>
          <w:rFonts w:asciiTheme="minorHAnsi" w:hAnsiTheme="minorHAnsi" w:cstheme="minorHAnsi"/>
          <w:sz w:val="20"/>
          <w:szCs w:val="20"/>
          <w:lang w:val="en-US"/>
        </w:rPr>
      </w:pPr>
    </w:p>
    <w:p w14:paraId="3AF636F1" w14:textId="77777777" w:rsidR="00E11167" w:rsidRPr="00B25400" w:rsidRDefault="00E11167" w:rsidP="00E11167">
      <w:pPr>
        <w:rPr>
          <w:rFonts w:asciiTheme="minorHAnsi" w:hAnsiTheme="minorHAnsi" w:cstheme="minorHAnsi"/>
          <w:sz w:val="20"/>
          <w:szCs w:val="20"/>
          <w:lang w:val="en-US"/>
        </w:rPr>
      </w:pPr>
    </w:p>
    <w:p w14:paraId="12A68283" w14:textId="77777777" w:rsidR="00E11167" w:rsidRPr="00B25400" w:rsidRDefault="00E11167" w:rsidP="00E11167">
      <w:pPr>
        <w:rPr>
          <w:rFonts w:asciiTheme="minorHAnsi" w:hAnsiTheme="minorHAnsi" w:cstheme="minorHAnsi"/>
          <w:sz w:val="20"/>
          <w:szCs w:val="20"/>
          <w:lang w:val="en-US"/>
        </w:rPr>
      </w:pPr>
    </w:p>
    <w:p w14:paraId="18E98F98" w14:textId="77777777" w:rsidR="00E11167" w:rsidRPr="00B25400" w:rsidRDefault="00E11167" w:rsidP="00E11167">
      <w:pPr>
        <w:rPr>
          <w:rFonts w:asciiTheme="minorHAnsi" w:hAnsiTheme="minorHAnsi" w:cstheme="minorHAnsi"/>
          <w:sz w:val="20"/>
          <w:szCs w:val="20"/>
          <w:lang w:val="en-US"/>
        </w:rPr>
      </w:pPr>
    </w:p>
    <w:p w14:paraId="53366FF1" w14:textId="77777777" w:rsidR="00E11167" w:rsidRPr="00B25400" w:rsidRDefault="00E11167" w:rsidP="00E11167">
      <w:pPr>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Contact:</w:t>
      </w:r>
    </w:p>
    <w:p w14:paraId="6A715374" w14:textId="77777777" w:rsidR="00E11167" w:rsidRPr="00B25400" w:rsidRDefault="00E11167" w:rsidP="00E11167">
      <w:pPr>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INA</w:t>
      </w:r>
    </w:p>
    <w:p w14:paraId="189B805B" w14:textId="77777777" w:rsidR="00E11167" w:rsidRPr="00B25400" w:rsidRDefault="00E11167" w:rsidP="00E11167">
      <w:pPr>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Corporate Communications</w:t>
      </w:r>
    </w:p>
    <w:p w14:paraId="2097D629" w14:textId="77777777" w:rsidR="00E11167" w:rsidRPr="00B25400" w:rsidRDefault="00E11167" w:rsidP="00E11167">
      <w:pPr>
        <w:rPr>
          <w:rFonts w:asciiTheme="minorHAnsi" w:hAnsiTheme="minorHAnsi" w:cstheme="minorHAnsi"/>
          <w:color w:val="808080" w:themeColor="background1" w:themeShade="80"/>
          <w:sz w:val="20"/>
          <w:szCs w:val="20"/>
          <w:lang w:val="en-US"/>
        </w:rPr>
      </w:pPr>
      <w:proofErr w:type="spellStart"/>
      <w:r w:rsidRPr="00B25400">
        <w:rPr>
          <w:rFonts w:asciiTheme="minorHAnsi" w:hAnsiTheme="minorHAnsi" w:cstheme="minorHAnsi"/>
          <w:color w:val="808080" w:themeColor="background1" w:themeShade="80"/>
          <w:sz w:val="20"/>
          <w:szCs w:val="20"/>
          <w:lang w:val="en-US"/>
        </w:rPr>
        <w:t>Avenija</w:t>
      </w:r>
      <w:proofErr w:type="spellEnd"/>
      <w:r w:rsidRPr="00B25400">
        <w:rPr>
          <w:rFonts w:asciiTheme="minorHAnsi" w:hAnsiTheme="minorHAnsi" w:cstheme="minorHAnsi"/>
          <w:color w:val="808080" w:themeColor="background1" w:themeShade="80"/>
          <w:sz w:val="20"/>
          <w:szCs w:val="20"/>
          <w:lang w:val="en-US"/>
        </w:rPr>
        <w:t xml:space="preserve"> </w:t>
      </w:r>
      <w:proofErr w:type="spellStart"/>
      <w:r w:rsidRPr="00B25400">
        <w:rPr>
          <w:rFonts w:asciiTheme="minorHAnsi" w:hAnsiTheme="minorHAnsi" w:cstheme="minorHAnsi"/>
          <w:color w:val="808080" w:themeColor="background1" w:themeShade="80"/>
          <w:sz w:val="20"/>
          <w:szCs w:val="20"/>
          <w:lang w:val="en-US"/>
        </w:rPr>
        <w:t>Veceslava</w:t>
      </w:r>
      <w:proofErr w:type="spellEnd"/>
      <w:r w:rsidRPr="00B25400">
        <w:rPr>
          <w:rFonts w:asciiTheme="minorHAnsi" w:hAnsiTheme="minorHAnsi" w:cstheme="minorHAnsi"/>
          <w:color w:val="808080" w:themeColor="background1" w:themeShade="80"/>
          <w:sz w:val="20"/>
          <w:szCs w:val="20"/>
          <w:lang w:val="en-US"/>
        </w:rPr>
        <w:t xml:space="preserve"> </w:t>
      </w:r>
      <w:proofErr w:type="spellStart"/>
      <w:r w:rsidRPr="00B25400">
        <w:rPr>
          <w:rFonts w:asciiTheme="minorHAnsi" w:hAnsiTheme="minorHAnsi" w:cstheme="minorHAnsi"/>
          <w:color w:val="808080" w:themeColor="background1" w:themeShade="80"/>
          <w:sz w:val="20"/>
          <w:szCs w:val="20"/>
          <w:lang w:val="en-US"/>
        </w:rPr>
        <w:t>Holjevca</w:t>
      </w:r>
      <w:proofErr w:type="spellEnd"/>
      <w:r w:rsidRPr="00B25400">
        <w:rPr>
          <w:rFonts w:asciiTheme="minorHAnsi" w:hAnsiTheme="minorHAnsi" w:cstheme="minorHAnsi"/>
          <w:color w:val="808080" w:themeColor="background1" w:themeShade="80"/>
          <w:sz w:val="20"/>
          <w:szCs w:val="20"/>
          <w:lang w:val="en-US"/>
        </w:rPr>
        <w:t xml:space="preserve"> 10, Zagreb</w:t>
      </w:r>
    </w:p>
    <w:p w14:paraId="7BFFB816" w14:textId="77777777" w:rsidR="00E11167" w:rsidRPr="00B25400" w:rsidRDefault="00E11167" w:rsidP="00E11167">
      <w:pPr>
        <w:rPr>
          <w:rFonts w:asciiTheme="minorHAnsi" w:hAnsiTheme="minorHAnsi" w:cstheme="minorHAnsi"/>
          <w:color w:val="808080" w:themeColor="background1" w:themeShade="80"/>
          <w:sz w:val="20"/>
          <w:szCs w:val="20"/>
          <w:lang w:val="en-US"/>
        </w:rPr>
      </w:pPr>
    </w:p>
    <w:p w14:paraId="1C4611FD" w14:textId="77777777" w:rsidR="00E11167" w:rsidRPr="00B25400" w:rsidRDefault="00E11167" w:rsidP="00E11167">
      <w:pPr>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Public Relations</w:t>
      </w:r>
    </w:p>
    <w:p w14:paraId="472CE343" w14:textId="77777777" w:rsidR="00E11167" w:rsidRPr="00B25400" w:rsidRDefault="00E11167" w:rsidP="00E11167">
      <w:pPr>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 xml:space="preserve">E-mail:  </w:t>
      </w:r>
      <w:hyperlink r:id="rId8" w:history="1">
        <w:r w:rsidRPr="00B25400">
          <w:rPr>
            <w:rStyle w:val="Hyperlink"/>
            <w:rFonts w:asciiTheme="minorHAnsi" w:hAnsiTheme="minorHAnsi" w:cstheme="minorHAnsi"/>
            <w:color w:val="808080" w:themeColor="background1" w:themeShade="80"/>
            <w:lang w:val="en-US"/>
          </w:rPr>
          <w:t>PR@ina.hr</w:t>
        </w:r>
      </w:hyperlink>
    </w:p>
    <w:p w14:paraId="20175EB4" w14:textId="77777777" w:rsidR="00E11167" w:rsidRPr="00B25400" w:rsidRDefault="00E11167" w:rsidP="00E11167">
      <w:pPr>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 xml:space="preserve">Press Centre at </w:t>
      </w:r>
      <w:hyperlink r:id="rId9" w:history="1">
        <w:r w:rsidRPr="00B25400">
          <w:rPr>
            <w:rStyle w:val="Hyperlink"/>
            <w:rFonts w:asciiTheme="minorHAnsi" w:hAnsiTheme="minorHAnsi" w:cstheme="minorHAnsi"/>
            <w:color w:val="808080" w:themeColor="background1" w:themeShade="80"/>
            <w:lang w:val="en-US"/>
          </w:rPr>
          <w:t>www.ina.hr</w:t>
        </w:r>
      </w:hyperlink>
      <w:r w:rsidRPr="00B25400">
        <w:rPr>
          <w:rFonts w:asciiTheme="minorHAnsi" w:hAnsiTheme="minorHAnsi" w:cstheme="minorHAnsi"/>
          <w:color w:val="808080" w:themeColor="background1" w:themeShade="80"/>
          <w:sz w:val="20"/>
          <w:szCs w:val="20"/>
          <w:lang w:val="en-US"/>
        </w:rPr>
        <w:t xml:space="preserve"> </w:t>
      </w:r>
    </w:p>
    <w:p w14:paraId="3B98DF4E" w14:textId="77777777" w:rsidR="00E11167" w:rsidRPr="00B25400" w:rsidRDefault="00E11167" w:rsidP="00E11167">
      <w:pPr>
        <w:rPr>
          <w:rFonts w:asciiTheme="minorHAnsi" w:hAnsiTheme="minorHAnsi" w:cstheme="minorHAnsi"/>
          <w:lang w:val="en-US"/>
        </w:rPr>
        <w:sectPr w:rsidR="00E11167" w:rsidRPr="00B25400" w:rsidSect="0039152A">
          <w:headerReference w:type="default" r:id="rId10"/>
          <w:footerReference w:type="default" r:id="rId11"/>
          <w:pgSz w:w="11906" w:h="16838" w:code="9"/>
          <w:pgMar w:top="3402" w:right="1134" w:bottom="1843" w:left="1418" w:header="851" w:footer="459" w:gutter="0"/>
          <w:cols w:space="708"/>
          <w:docGrid w:linePitch="360"/>
        </w:sectPr>
      </w:pPr>
    </w:p>
    <w:p w14:paraId="72BB8AD9" w14:textId="77777777" w:rsidR="00F8747C" w:rsidRPr="00B25400" w:rsidRDefault="00F8747C" w:rsidP="00F8747C">
      <w:pPr>
        <w:jc w:val="center"/>
        <w:rPr>
          <w:rFonts w:asciiTheme="minorHAnsi" w:hAnsiTheme="minorHAnsi" w:cstheme="minorHAnsi"/>
          <w:b/>
          <w:sz w:val="28"/>
          <w:szCs w:val="28"/>
          <w:lang w:val="en-US"/>
        </w:rPr>
      </w:pPr>
      <w:bookmarkStart w:id="1" w:name="OLE_LINK1"/>
    </w:p>
    <w:p w14:paraId="1FCAAD08" w14:textId="77777777" w:rsidR="00CA2024" w:rsidRPr="00B25400" w:rsidRDefault="00CA2024" w:rsidP="00F8747C">
      <w:pPr>
        <w:jc w:val="center"/>
        <w:rPr>
          <w:rFonts w:asciiTheme="minorHAnsi" w:hAnsiTheme="minorHAnsi" w:cstheme="minorHAnsi"/>
          <w:b/>
          <w:sz w:val="28"/>
          <w:szCs w:val="28"/>
          <w:lang w:val="en-US"/>
        </w:rPr>
      </w:pPr>
    </w:p>
    <w:p w14:paraId="3D5CCBAC" w14:textId="75149765" w:rsidR="00E11167" w:rsidRPr="00B25400" w:rsidRDefault="00CD0E33" w:rsidP="00F8747C">
      <w:pPr>
        <w:jc w:val="center"/>
        <w:rPr>
          <w:rFonts w:asciiTheme="minorHAnsi" w:hAnsiTheme="minorHAnsi" w:cstheme="minorHAnsi"/>
          <w:b/>
          <w:color w:val="FF0000"/>
          <w:sz w:val="28"/>
          <w:szCs w:val="28"/>
          <w:lang w:val="en-US"/>
        </w:rPr>
      </w:pPr>
      <w:r>
        <w:rPr>
          <w:rFonts w:asciiTheme="minorHAnsi" w:hAnsiTheme="minorHAnsi" w:cstheme="minorHAnsi"/>
          <w:b/>
          <w:sz w:val="28"/>
          <w:szCs w:val="28"/>
          <w:lang w:val="en-US"/>
        </w:rPr>
        <w:t>INA has doubled its investments in Croatia in H1 2019</w:t>
      </w:r>
    </w:p>
    <w:p w14:paraId="2BFE4F11" w14:textId="77777777" w:rsidR="00CA2024" w:rsidRPr="00B25400" w:rsidRDefault="00CA2024" w:rsidP="00F8747C">
      <w:pPr>
        <w:jc w:val="center"/>
        <w:rPr>
          <w:rFonts w:asciiTheme="minorHAnsi" w:hAnsiTheme="minorHAnsi" w:cstheme="minorHAnsi"/>
          <w:b/>
          <w:sz w:val="28"/>
          <w:szCs w:val="28"/>
          <w:lang w:val="en-US"/>
        </w:rPr>
      </w:pPr>
    </w:p>
    <w:p w14:paraId="562C00E3" w14:textId="77777777" w:rsidR="00E11167" w:rsidRPr="00B25400" w:rsidRDefault="00E11167" w:rsidP="00E11167">
      <w:pPr>
        <w:rPr>
          <w:rFonts w:asciiTheme="minorHAnsi" w:hAnsiTheme="minorHAnsi" w:cstheme="minorHAnsi"/>
          <w:lang w:val="en-US"/>
        </w:rPr>
      </w:pPr>
    </w:p>
    <w:p w14:paraId="712AE9C4" w14:textId="77777777" w:rsidR="00E11167" w:rsidRPr="00B25400" w:rsidRDefault="00E11167" w:rsidP="00E11167">
      <w:pPr>
        <w:spacing w:line="360" w:lineRule="auto"/>
        <w:rPr>
          <w:rFonts w:asciiTheme="minorHAnsi" w:hAnsiTheme="minorHAnsi" w:cstheme="minorHAnsi"/>
          <w:b/>
          <w:lang w:val="en-US"/>
        </w:rPr>
      </w:pPr>
      <w:r w:rsidRPr="00B25400">
        <w:rPr>
          <w:rFonts w:asciiTheme="minorHAnsi" w:hAnsiTheme="minorHAnsi" w:cstheme="minorHAnsi"/>
          <w:b/>
          <w:lang w:val="en-US"/>
        </w:rPr>
        <w:t>Key achievements</w:t>
      </w:r>
    </w:p>
    <w:p w14:paraId="1656F439" w14:textId="77E037F1" w:rsidR="00E11167" w:rsidRPr="00B25400" w:rsidRDefault="00E11167" w:rsidP="003B716D">
      <w:pPr>
        <w:pStyle w:val="ListParagraph"/>
        <w:numPr>
          <w:ilvl w:val="0"/>
          <w:numId w:val="1"/>
        </w:numPr>
        <w:spacing w:line="360" w:lineRule="auto"/>
        <w:rPr>
          <w:rFonts w:asciiTheme="minorHAnsi" w:hAnsiTheme="minorHAnsi" w:cstheme="minorHAnsi"/>
          <w:lang w:val="en-US"/>
        </w:rPr>
      </w:pPr>
      <w:r w:rsidRPr="00B25400">
        <w:rPr>
          <w:rFonts w:asciiTheme="minorHAnsi" w:hAnsiTheme="minorHAnsi" w:cstheme="minorHAnsi"/>
          <w:lang w:val="en-US"/>
        </w:rPr>
        <w:t xml:space="preserve">INA Group’s </w:t>
      </w:r>
      <w:r w:rsidR="003B716D" w:rsidRPr="00B25400">
        <w:rPr>
          <w:rFonts w:asciiTheme="minorHAnsi" w:hAnsiTheme="minorHAnsi" w:cstheme="minorHAnsi"/>
          <w:lang w:val="en-US"/>
        </w:rPr>
        <w:t>EBITDA</w:t>
      </w:r>
      <w:r w:rsidR="003B716D" w:rsidRPr="00B25400">
        <w:rPr>
          <w:rStyle w:val="FootnoteReference"/>
          <w:rFonts w:asciiTheme="minorHAnsi" w:hAnsiTheme="minorHAnsi" w:cstheme="minorHAnsi"/>
          <w:lang w:val="en-US"/>
        </w:rPr>
        <w:footnoteReference w:id="1"/>
      </w:r>
      <w:r w:rsidR="003B716D" w:rsidRPr="00B25400">
        <w:rPr>
          <w:rFonts w:asciiTheme="minorHAnsi" w:hAnsiTheme="minorHAnsi" w:cstheme="minorHAnsi"/>
          <w:lang w:val="en-US"/>
        </w:rPr>
        <w:t xml:space="preserve"> </w:t>
      </w:r>
      <w:r w:rsidR="00FD52FC" w:rsidRPr="00B25400">
        <w:rPr>
          <w:rFonts w:asciiTheme="minorHAnsi" w:hAnsiTheme="minorHAnsi" w:cstheme="minorHAnsi"/>
          <w:lang w:val="en-US"/>
        </w:rPr>
        <w:t xml:space="preserve">amounted to HRK </w:t>
      </w:r>
      <w:r w:rsidR="00EE069F">
        <w:rPr>
          <w:rFonts w:asciiTheme="minorHAnsi" w:hAnsiTheme="minorHAnsi" w:cstheme="minorHAnsi"/>
          <w:lang w:val="en-US"/>
        </w:rPr>
        <w:t>1,122</w:t>
      </w:r>
      <w:r w:rsidR="002D204D">
        <w:rPr>
          <w:rFonts w:asciiTheme="minorHAnsi" w:hAnsiTheme="minorHAnsi" w:cstheme="minorHAnsi"/>
          <w:lang w:val="en-US"/>
        </w:rPr>
        <w:t xml:space="preserve"> </w:t>
      </w:r>
      <w:r w:rsidR="002E5D23" w:rsidRPr="00B25400">
        <w:rPr>
          <w:rFonts w:asciiTheme="minorHAnsi" w:hAnsiTheme="minorHAnsi" w:cstheme="minorHAnsi"/>
          <w:lang w:val="en-US"/>
        </w:rPr>
        <w:t>million</w:t>
      </w:r>
    </w:p>
    <w:p w14:paraId="20E3F777" w14:textId="66AC61BA" w:rsidR="00843EF9" w:rsidRPr="00B25400" w:rsidRDefault="00B93F58" w:rsidP="00843EF9">
      <w:pPr>
        <w:pStyle w:val="ListParagraph"/>
        <w:numPr>
          <w:ilvl w:val="0"/>
          <w:numId w:val="1"/>
        </w:numPr>
        <w:spacing w:line="360" w:lineRule="auto"/>
        <w:rPr>
          <w:rFonts w:asciiTheme="minorHAnsi" w:hAnsiTheme="minorHAnsi" w:cstheme="minorHAnsi"/>
          <w:lang w:val="en-US"/>
        </w:rPr>
      </w:pPr>
      <w:r w:rsidRPr="00B25400">
        <w:rPr>
          <w:rFonts w:asciiTheme="minorHAnsi" w:hAnsiTheme="minorHAnsi" w:cstheme="minorHAnsi"/>
          <w:lang w:val="en-US"/>
        </w:rPr>
        <w:t xml:space="preserve">Net </w:t>
      </w:r>
      <w:r w:rsidR="00EB698C" w:rsidRPr="00B25400">
        <w:rPr>
          <w:rFonts w:asciiTheme="minorHAnsi" w:hAnsiTheme="minorHAnsi" w:cstheme="minorHAnsi"/>
          <w:lang w:val="en-US"/>
        </w:rPr>
        <w:t xml:space="preserve">sales revenues increased by </w:t>
      </w:r>
      <w:r w:rsidR="00EE069F">
        <w:rPr>
          <w:rFonts w:asciiTheme="minorHAnsi" w:hAnsiTheme="minorHAnsi" w:cstheme="minorHAnsi"/>
          <w:lang w:val="en-US"/>
        </w:rPr>
        <w:t>3</w:t>
      </w:r>
      <w:r w:rsidR="00EB698C" w:rsidRPr="00B25400">
        <w:rPr>
          <w:rFonts w:asciiTheme="minorHAnsi" w:hAnsiTheme="minorHAnsi" w:cstheme="minorHAnsi"/>
          <w:lang w:val="en-US"/>
        </w:rPr>
        <w:t xml:space="preserve">% and amounted to HRK </w:t>
      </w:r>
      <w:r w:rsidR="00EE069F">
        <w:rPr>
          <w:rFonts w:asciiTheme="minorHAnsi" w:hAnsiTheme="minorHAnsi" w:cstheme="minorHAnsi"/>
          <w:lang w:val="en-US"/>
        </w:rPr>
        <w:t>9,794</w:t>
      </w:r>
      <w:r w:rsidR="00EB698C" w:rsidRPr="00B25400">
        <w:rPr>
          <w:rFonts w:asciiTheme="minorHAnsi" w:hAnsiTheme="minorHAnsi" w:cstheme="minorHAnsi"/>
          <w:lang w:val="en-US"/>
        </w:rPr>
        <w:t xml:space="preserve"> million</w:t>
      </w:r>
    </w:p>
    <w:p w14:paraId="64995204" w14:textId="47B6764D" w:rsidR="00843EF9" w:rsidRPr="00B25400" w:rsidRDefault="00843EF9" w:rsidP="008A4B71">
      <w:pPr>
        <w:pStyle w:val="ListParagraph"/>
        <w:numPr>
          <w:ilvl w:val="0"/>
          <w:numId w:val="1"/>
        </w:numPr>
        <w:spacing w:line="360" w:lineRule="auto"/>
        <w:rPr>
          <w:rFonts w:asciiTheme="minorHAnsi" w:hAnsiTheme="minorHAnsi" w:cstheme="minorHAnsi"/>
          <w:lang w:val="en-US"/>
        </w:rPr>
      </w:pPr>
      <w:r w:rsidRPr="00B25400">
        <w:rPr>
          <w:rFonts w:asciiTheme="minorHAnsi" w:hAnsiTheme="minorHAnsi" w:cstheme="minorHAnsi"/>
          <w:lang w:val="en-US"/>
        </w:rPr>
        <w:t xml:space="preserve">CAPEX amounted to HRK </w:t>
      </w:r>
      <w:r w:rsidR="00EE069F">
        <w:rPr>
          <w:rFonts w:asciiTheme="minorHAnsi" w:hAnsiTheme="minorHAnsi" w:cstheme="minorHAnsi"/>
          <w:lang w:val="en-US"/>
        </w:rPr>
        <w:t>1,183</w:t>
      </w:r>
      <w:r w:rsidR="00215F7B">
        <w:rPr>
          <w:rFonts w:asciiTheme="minorHAnsi" w:hAnsiTheme="minorHAnsi" w:cstheme="minorHAnsi"/>
          <w:lang w:val="en-US"/>
        </w:rPr>
        <w:t xml:space="preserve"> </w:t>
      </w:r>
      <w:r w:rsidRPr="00B25400">
        <w:rPr>
          <w:rFonts w:asciiTheme="minorHAnsi" w:hAnsiTheme="minorHAnsi" w:cstheme="minorHAnsi"/>
          <w:lang w:val="en-US"/>
        </w:rPr>
        <w:t>million</w:t>
      </w:r>
      <w:r w:rsidR="00EE069F">
        <w:rPr>
          <w:rFonts w:asciiTheme="minorHAnsi" w:hAnsiTheme="minorHAnsi" w:cstheme="minorHAnsi"/>
          <w:lang w:val="en-US"/>
        </w:rPr>
        <w:t xml:space="preserve"> and increased by 128%</w:t>
      </w:r>
    </w:p>
    <w:p w14:paraId="68EC4FB9" w14:textId="69AF8694" w:rsidR="00E61264" w:rsidRDefault="00E61264" w:rsidP="00843EF9">
      <w:pPr>
        <w:pStyle w:val="ListParagraph"/>
        <w:numPr>
          <w:ilvl w:val="0"/>
          <w:numId w:val="1"/>
        </w:numPr>
        <w:spacing w:line="360" w:lineRule="auto"/>
        <w:rPr>
          <w:rFonts w:asciiTheme="minorHAnsi" w:hAnsiTheme="minorHAnsi" w:cstheme="minorHAnsi"/>
          <w:lang w:val="en-US"/>
        </w:rPr>
      </w:pPr>
      <w:r w:rsidRPr="00B25400">
        <w:rPr>
          <w:rFonts w:asciiTheme="minorHAnsi" w:hAnsiTheme="minorHAnsi" w:cstheme="minorHAnsi"/>
          <w:lang w:val="en-US"/>
        </w:rPr>
        <w:t xml:space="preserve">Operating cash flow </w:t>
      </w:r>
      <w:r w:rsidR="00EE069F">
        <w:rPr>
          <w:rFonts w:asciiTheme="minorHAnsi" w:hAnsiTheme="minorHAnsi" w:cstheme="minorHAnsi"/>
          <w:lang w:val="en-US"/>
        </w:rPr>
        <w:t xml:space="preserve">amounted </w:t>
      </w:r>
      <w:r w:rsidR="008E67D1" w:rsidRPr="00B25400">
        <w:rPr>
          <w:rFonts w:asciiTheme="minorHAnsi" w:hAnsiTheme="minorHAnsi" w:cstheme="minorHAnsi"/>
          <w:lang w:val="en-US"/>
        </w:rPr>
        <w:t xml:space="preserve">HRK </w:t>
      </w:r>
      <w:r w:rsidR="00EE069F">
        <w:rPr>
          <w:rFonts w:asciiTheme="minorHAnsi" w:hAnsiTheme="minorHAnsi" w:cstheme="minorHAnsi"/>
          <w:lang w:val="en-US"/>
        </w:rPr>
        <w:t>1,009</w:t>
      </w:r>
      <w:r w:rsidR="008E67D1" w:rsidRPr="008E67D1">
        <w:rPr>
          <w:rFonts w:asciiTheme="minorHAnsi" w:hAnsiTheme="minorHAnsi" w:cstheme="minorHAnsi"/>
          <w:lang w:val="en-US"/>
        </w:rPr>
        <w:t xml:space="preserve"> </w:t>
      </w:r>
      <w:r w:rsidR="008E67D1" w:rsidRPr="00B25400">
        <w:rPr>
          <w:rFonts w:asciiTheme="minorHAnsi" w:hAnsiTheme="minorHAnsi" w:cstheme="minorHAnsi"/>
          <w:lang w:val="en-US"/>
        </w:rPr>
        <w:t>million</w:t>
      </w:r>
    </w:p>
    <w:p w14:paraId="4CBB581A" w14:textId="77777777" w:rsidR="00E11167" w:rsidRPr="00B25400" w:rsidRDefault="00E11167" w:rsidP="00E11167">
      <w:pPr>
        <w:spacing w:line="360" w:lineRule="auto"/>
        <w:rPr>
          <w:rFonts w:asciiTheme="minorHAnsi" w:hAnsiTheme="minorHAnsi" w:cstheme="minorHAnsi"/>
          <w:b/>
          <w:lang w:val="en-US"/>
        </w:rPr>
      </w:pPr>
    </w:p>
    <w:p w14:paraId="52BAD7DB" w14:textId="779DF0BC" w:rsidR="005A4C7C" w:rsidRPr="0002383E" w:rsidRDefault="00E11167" w:rsidP="005A4C7C">
      <w:pPr>
        <w:spacing w:line="360" w:lineRule="auto"/>
        <w:jc w:val="both"/>
        <w:rPr>
          <w:rFonts w:asciiTheme="minorHAnsi" w:hAnsiTheme="minorHAnsi" w:cstheme="minorHAnsi"/>
          <w:b/>
          <w:lang w:val="en-US"/>
        </w:rPr>
      </w:pPr>
      <w:r w:rsidRPr="00B25400">
        <w:rPr>
          <w:rFonts w:asciiTheme="minorHAnsi" w:hAnsiTheme="minorHAnsi" w:cstheme="minorHAnsi"/>
          <w:b/>
          <w:lang w:val="en-US"/>
        </w:rPr>
        <w:t xml:space="preserve">Zagreb, </w:t>
      </w:r>
      <w:r w:rsidR="0002383E">
        <w:rPr>
          <w:rFonts w:asciiTheme="minorHAnsi" w:hAnsiTheme="minorHAnsi" w:cstheme="minorHAnsi"/>
          <w:b/>
          <w:lang w:val="en-US"/>
        </w:rPr>
        <w:t>July</w:t>
      </w:r>
      <w:r w:rsidR="00F92454">
        <w:rPr>
          <w:rFonts w:asciiTheme="minorHAnsi" w:hAnsiTheme="minorHAnsi" w:cstheme="minorHAnsi"/>
          <w:b/>
          <w:lang w:val="en-US"/>
        </w:rPr>
        <w:t xml:space="preserve"> </w:t>
      </w:r>
      <w:r w:rsidR="0002383E">
        <w:rPr>
          <w:rFonts w:asciiTheme="minorHAnsi" w:hAnsiTheme="minorHAnsi" w:cstheme="minorHAnsi"/>
          <w:b/>
          <w:lang w:val="en-US"/>
        </w:rPr>
        <w:t>26</w:t>
      </w:r>
      <w:r w:rsidR="00B5179A" w:rsidRPr="00B25400">
        <w:rPr>
          <w:rFonts w:asciiTheme="minorHAnsi" w:hAnsiTheme="minorHAnsi" w:cstheme="minorHAnsi"/>
          <w:b/>
          <w:lang w:val="en-US"/>
        </w:rPr>
        <w:t>, 201</w:t>
      </w:r>
      <w:r w:rsidR="00EB698C" w:rsidRPr="00B25400">
        <w:rPr>
          <w:rFonts w:asciiTheme="minorHAnsi" w:hAnsiTheme="minorHAnsi" w:cstheme="minorHAnsi"/>
          <w:b/>
          <w:lang w:val="en-US"/>
        </w:rPr>
        <w:t>9</w:t>
      </w:r>
      <w:r w:rsidRPr="00B25400">
        <w:rPr>
          <w:rFonts w:asciiTheme="minorHAnsi" w:hAnsiTheme="minorHAnsi" w:cstheme="minorHAnsi"/>
          <w:b/>
          <w:lang w:val="en-US"/>
        </w:rPr>
        <w:t xml:space="preserve"> –</w:t>
      </w:r>
      <w:r w:rsidR="00EB698C" w:rsidRPr="00B25400">
        <w:rPr>
          <w:rFonts w:asciiTheme="minorHAnsi" w:hAnsiTheme="minorHAnsi" w:cstheme="minorHAnsi"/>
          <w:b/>
          <w:lang w:val="en-US"/>
        </w:rPr>
        <w:t xml:space="preserve"> In </w:t>
      </w:r>
      <w:r w:rsidR="0002383E">
        <w:rPr>
          <w:rFonts w:asciiTheme="minorHAnsi" w:hAnsiTheme="minorHAnsi" w:cstheme="minorHAnsi"/>
          <w:b/>
          <w:lang w:val="en-US"/>
        </w:rPr>
        <w:t>H</w:t>
      </w:r>
      <w:r w:rsidR="00215F7B">
        <w:rPr>
          <w:rFonts w:asciiTheme="minorHAnsi" w:hAnsiTheme="minorHAnsi" w:cstheme="minorHAnsi"/>
          <w:b/>
          <w:lang w:val="en-US"/>
        </w:rPr>
        <w:t>1 2019</w:t>
      </w:r>
      <w:r w:rsidR="00EB698C" w:rsidRPr="00B25400">
        <w:rPr>
          <w:rFonts w:asciiTheme="minorHAnsi" w:hAnsiTheme="minorHAnsi" w:cstheme="minorHAnsi"/>
          <w:b/>
          <w:lang w:val="en-US"/>
        </w:rPr>
        <w:t xml:space="preserve">, INA Group </w:t>
      </w:r>
      <w:r w:rsidR="00FE13BE">
        <w:rPr>
          <w:rFonts w:asciiTheme="minorHAnsi" w:hAnsiTheme="minorHAnsi" w:cstheme="minorHAnsi"/>
          <w:b/>
          <w:lang w:val="en-US"/>
        </w:rPr>
        <w:t>r</w:t>
      </w:r>
      <w:r w:rsidR="00FE13BE" w:rsidRPr="00FE13BE">
        <w:rPr>
          <w:rFonts w:asciiTheme="minorHAnsi" w:hAnsiTheme="minorHAnsi" w:cstheme="minorHAnsi"/>
          <w:b/>
          <w:lang w:val="en-US"/>
        </w:rPr>
        <w:t>evenues totaled at HRK 9,794 million while CCS EBITDA excluding special items amounted to HRK 1,175 million</w:t>
      </w:r>
      <w:r w:rsidR="00880A65">
        <w:rPr>
          <w:rFonts w:asciiTheme="minorHAnsi" w:hAnsiTheme="minorHAnsi" w:cstheme="minorHAnsi"/>
          <w:b/>
          <w:lang w:val="en-US"/>
        </w:rPr>
        <w:t>. P</w:t>
      </w:r>
      <w:r w:rsidR="004F4688">
        <w:rPr>
          <w:rFonts w:asciiTheme="minorHAnsi" w:hAnsiTheme="minorHAnsi" w:cstheme="minorHAnsi"/>
          <w:b/>
          <w:lang w:val="en-US"/>
        </w:rPr>
        <w:t>rofit</w:t>
      </w:r>
      <w:r w:rsidR="004F4688">
        <w:rPr>
          <w:rStyle w:val="FootnoteReference"/>
          <w:rFonts w:asciiTheme="minorHAnsi" w:hAnsiTheme="minorHAnsi" w:cstheme="minorHAnsi"/>
          <w:b/>
          <w:lang w:val="en-US"/>
        </w:rPr>
        <w:footnoteReference w:id="2"/>
      </w:r>
      <w:r w:rsidR="004F4688">
        <w:rPr>
          <w:rFonts w:asciiTheme="minorHAnsi" w:hAnsiTheme="minorHAnsi" w:cstheme="minorHAnsi"/>
          <w:b/>
          <w:lang w:val="en-US"/>
        </w:rPr>
        <w:t xml:space="preserve"> </w:t>
      </w:r>
      <w:r w:rsidR="005050F3">
        <w:rPr>
          <w:rFonts w:asciiTheme="minorHAnsi" w:hAnsiTheme="minorHAnsi" w:cstheme="minorHAnsi"/>
          <w:b/>
          <w:lang w:val="en-US"/>
        </w:rPr>
        <w:t>reached</w:t>
      </w:r>
      <w:r w:rsidR="00FE13BE" w:rsidRPr="00FE13BE">
        <w:rPr>
          <w:rFonts w:asciiTheme="minorHAnsi" w:hAnsiTheme="minorHAnsi" w:cstheme="minorHAnsi"/>
          <w:b/>
          <w:lang w:val="en-US"/>
        </w:rPr>
        <w:t xml:space="preserve"> HRK 188 million, driven mainly by lower refining margin environment. </w:t>
      </w:r>
    </w:p>
    <w:p w14:paraId="21218BD3" w14:textId="2396D1BE" w:rsidR="00EF42CF" w:rsidRDefault="0002383E" w:rsidP="005A4C7C">
      <w:pPr>
        <w:spacing w:line="360" w:lineRule="auto"/>
        <w:jc w:val="both"/>
        <w:rPr>
          <w:rFonts w:asciiTheme="minorHAnsi" w:hAnsiTheme="minorHAnsi" w:cstheme="minorHAnsi"/>
          <w:lang w:val="en-US"/>
        </w:rPr>
      </w:pPr>
      <w:r w:rsidRPr="0002383E">
        <w:rPr>
          <w:rFonts w:asciiTheme="minorHAnsi" w:hAnsiTheme="minorHAnsi" w:cstheme="minorHAnsi"/>
          <w:lang w:val="en-US"/>
        </w:rPr>
        <w:t xml:space="preserve">Exploration and Production EBITDA decreased by 14% to HRK 1,238 million on the back of lower hydrocarbon price </w:t>
      </w:r>
      <w:r>
        <w:rPr>
          <w:rFonts w:asciiTheme="minorHAnsi" w:hAnsiTheme="minorHAnsi" w:cstheme="minorHAnsi"/>
          <w:lang w:val="en-US"/>
        </w:rPr>
        <w:t xml:space="preserve">and </w:t>
      </w:r>
      <w:r w:rsidR="00EF42CF">
        <w:rPr>
          <w:rFonts w:asciiTheme="minorHAnsi" w:hAnsiTheme="minorHAnsi" w:cstheme="minorHAnsi"/>
          <w:lang w:val="en-US"/>
        </w:rPr>
        <w:t>slight decrease in</w:t>
      </w:r>
      <w:r w:rsidR="00EF42CF" w:rsidRPr="0002383E">
        <w:rPr>
          <w:rFonts w:asciiTheme="minorHAnsi" w:hAnsiTheme="minorHAnsi" w:cstheme="minorHAnsi"/>
          <w:lang w:val="en-US"/>
        </w:rPr>
        <w:t xml:space="preserve"> hydrocarbon </w:t>
      </w:r>
      <w:r w:rsidRPr="0002383E">
        <w:rPr>
          <w:rFonts w:asciiTheme="minorHAnsi" w:hAnsiTheme="minorHAnsi" w:cstheme="minorHAnsi"/>
          <w:lang w:val="en-US"/>
        </w:rPr>
        <w:t>production.</w:t>
      </w:r>
      <w:r w:rsidR="00EF42CF">
        <w:rPr>
          <w:rFonts w:asciiTheme="minorHAnsi" w:hAnsiTheme="minorHAnsi" w:cstheme="minorHAnsi"/>
          <w:lang w:val="en-US"/>
        </w:rPr>
        <w:t xml:space="preserve"> However, c</w:t>
      </w:r>
      <w:r w:rsidRPr="0002383E">
        <w:rPr>
          <w:rFonts w:asciiTheme="minorHAnsi" w:hAnsiTheme="minorHAnsi" w:cstheme="minorHAnsi"/>
          <w:lang w:val="en-US"/>
        </w:rPr>
        <w:t xml:space="preserve">rude oil production was higher in Croatia and Egypt, driven by increased development activities and higher investments. </w:t>
      </w:r>
    </w:p>
    <w:p w14:paraId="624A4DEE" w14:textId="1AFABFCC" w:rsidR="0002383E" w:rsidRDefault="0002383E" w:rsidP="005A4C7C">
      <w:pPr>
        <w:spacing w:line="360" w:lineRule="auto"/>
        <w:jc w:val="both"/>
        <w:rPr>
          <w:rFonts w:asciiTheme="minorHAnsi" w:hAnsiTheme="minorHAnsi" w:cstheme="minorHAnsi"/>
          <w:lang w:val="en-US"/>
        </w:rPr>
      </w:pPr>
      <w:r w:rsidRPr="0002383E">
        <w:rPr>
          <w:rFonts w:asciiTheme="minorHAnsi" w:hAnsiTheme="minorHAnsi" w:cstheme="minorHAnsi"/>
          <w:lang w:val="en-US"/>
        </w:rPr>
        <w:t xml:space="preserve">Refining and Marketing including Consumer Services and Retail CCS EBITDA excluding special items </w:t>
      </w:r>
      <w:r w:rsidR="00FE13BE">
        <w:rPr>
          <w:rFonts w:asciiTheme="minorHAnsi" w:hAnsiTheme="minorHAnsi" w:cstheme="minorHAnsi"/>
          <w:lang w:val="en-US"/>
        </w:rPr>
        <w:t>turned to negative</w:t>
      </w:r>
      <w:r w:rsidR="00FE13BE" w:rsidRPr="00FE13BE">
        <w:rPr>
          <w:rFonts w:asciiTheme="minorHAnsi" w:hAnsiTheme="minorHAnsi" w:cstheme="minorHAnsi"/>
          <w:lang w:val="en-US"/>
        </w:rPr>
        <w:t xml:space="preserve"> HRK (10) </w:t>
      </w:r>
      <w:r w:rsidR="001D7564" w:rsidRPr="00FE13BE">
        <w:rPr>
          <w:rFonts w:asciiTheme="minorHAnsi" w:hAnsiTheme="minorHAnsi" w:cstheme="minorHAnsi"/>
          <w:lang w:val="en-US"/>
        </w:rPr>
        <w:t>million</w:t>
      </w:r>
      <w:r w:rsidRPr="0002383E">
        <w:rPr>
          <w:rFonts w:asciiTheme="minorHAnsi" w:hAnsiTheme="minorHAnsi" w:cstheme="minorHAnsi"/>
          <w:lang w:val="en-US"/>
        </w:rPr>
        <w:t xml:space="preserve">. The main result driver was the </w:t>
      </w:r>
      <w:r w:rsidR="00FE13BE" w:rsidRPr="00FE13BE">
        <w:rPr>
          <w:rFonts w:asciiTheme="minorHAnsi" w:hAnsiTheme="minorHAnsi" w:cstheme="minorHAnsi"/>
          <w:lang w:val="en-US"/>
        </w:rPr>
        <w:t>deteriorated refining environment</w:t>
      </w:r>
      <w:r w:rsidRPr="0002383E">
        <w:rPr>
          <w:rFonts w:asciiTheme="minorHAnsi" w:hAnsiTheme="minorHAnsi" w:cstheme="minorHAnsi"/>
          <w:lang w:val="en-US"/>
        </w:rPr>
        <w:t>. Retail volumes increased by 4% as a result of better performance in Croatia and network expansion in Montenegro.</w:t>
      </w:r>
    </w:p>
    <w:p w14:paraId="7C612FF8" w14:textId="37A59584" w:rsidR="0002383E" w:rsidRDefault="000F28F5" w:rsidP="005A4C7C">
      <w:pPr>
        <w:spacing w:line="360" w:lineRule="auto"/>
        <w:jc w:val="both"/>
        <w:rPr>
          <w:rFonts w:asciiTheme="minorHAnsi" w:hAnsiTheme="minorHAnsi" w:cstheme="minorHAnsi"/>
          <w:lang w:val="en-US"/>
        </w:rPr>
      </w:pPr>
      <w:r>
        <w:rPr>
          <w:rFonts w:asciiTheme="minorHAnsi" w:hAnsiTheme="minorHAnsi" w:cstheme="minorHAnsi"/>
          <w:lang w:val="en-US"/>
        </w:rPr>
        <w:t>Nevertheless</w:t>
      </w:r>
      <w:r w:rsidR="0002383E">
        <w:rPr>
          <w:rFonts w:asciiTheme="minorHAnsi" w:hAnsiTheme="minorHAnsi" w:cstheme="minorHAnsi"/>
          <w:lang w:val="en-US"/>
        </w:rPr>
        <w:t xml:space="preserve">, H1 2019 was </w:t>
      </w:r>
      <w:r w:rsidR="00EF42CF">
        <w:rPr>
          <w:rFonts w:asciiTheme="minorHAnsi" w:hAnsiTheme="minorHAnsi" w:cstheme="minorHAnsi"/>
          <w:lang w:val="en-US"/>
        </w:rPr>
        <w:t xml:space="preserve">an </w:t>
      </w:r>
      <w:r w:rsidR="0002383E">
        <w:rPr>
          <w:rFonts w:asciiTheme="minorHAnsi" w:hAnsiTheme="minorHAnsi" w:cstheme="minorHAnsi"/>
          <w:lang w:val="en-US"/>
        </w:rPr>
        <w:t xml:space="preserve">investment intensive period. </w:t>
      </w:r>
      <w:r w:rsidR="0002383E" w:rsidRPr="0002383E">
        <w:rPr>
          <w:rFonts w:asciiTheme="minorHAnsi" w:hAnsiTheme="minorHAnsi" w:cstheme="minorHAnsi"/>
          <w:lang w:val="en-US"/>
        </w:rPr>
        <w:t xml:space="preserve">CAPEX more than doubled </w:t>
      </w:r>
      <w:r>
        <w:rPr>
          <w:rFonts w:asciiTheme="minorHAnsi" w:hAnsiTheme="minorHAnsi" w:cstheme="minorHAnsi"/>
          <w:lang w:val="en-US"/>
        </w:rPr>
        <w:t xml:space="preserve">compared to the same period last year </w:t>
      </w:r>
      <w:r w:rsidR="0002383E" w:rsidRPr="0002383E">
        <w:rPr>
          <w:rFonts w:asciiTheme="minorHAnsi" w:hAnsiTheme="minorHAnsi" w:cstheme="minorHAnsi"/>
          <w:lang w:val="en-US"/>
        </w:rPr>
        <w:t>and amounted to HRK 1,</w:t>
      </w:r>
      <w:r w:rsidR="00880A65" w:rsidRPr="0002383E">
        <w:rPr>
          <w:rFonts w:asciiTheme="minorHAnsi" w:hAnsiTheme="minorHAnsi" w:cstheme="minorHAnsi"/>
          <w:lang w:val="en-US"/>
        </w:rPr>
        <w:t>18</w:t>
      </w:r>
      <w:r w:rsidR="00880A65">
        <w:rPr>
          <w:rFonts w:asciiTheme="minorHAnsi" w:hAnsiTheme="minorHAnsi" w:cstheme="minorHAnsi"/>
          <w:lang w:val="en-US"/>
        </w:rPr>
        <w:t>3</w:t>
      </w:r>
      <w:r w:rsidR="00880A65" w:rsidRPr="0002383E">
        <w:rPr>
          <w:rFonts w:asciiTheme="minorHAnsi" w:hAnsiTheme="minorHAnsi" w:cstheme="minorHAnsi"/>
          <w:lang w:val="en-US"/>
        </w:rPr>
        <w:t xml:space="preserve"> </w:t>
      </w:r>
      <w:r w:rsidR="0002383E" w:rsidRPr="0002383E">
        <w:rPr>
          <w:rFonts w:asciiTheme="minorHAnsi" w:hAnsiTheme="minorHAnsi" w:cstheme="minorHAnsi"/>
          <w:lang w:val="en-US"/>
        </w:rPr>
        <w:t xml:space="preserve">million, mainly driven by </w:t>
      </w:r>
      <w:r w:rsidR="0002383E" w:rsidRPr="0002383E">
        <w:rPr>
          <w:rFonts w:asciiTheme="minorHAnsi" w:hAnsiTheme="minorHAnsi" w:cstheme="minorHAnsi"/>
          <w:lang w:val="en-US"/>
        </w:rPr>
        <w:lastRenderedPageBreak/>
        <w:t xml:space="preserve">refining investments. </w:t>
      </w:r>
      <w:r w:rsidR="00CD0E33">
        <w:rPr>
          <w:rFonts w:asciiTheme="minorHAnsi" w:hAnsiTheme="minorHAnsi" w:cstheme="minorHAnsi"/>
          <w:lang w:val="en-US"/>
        </w:rPr>
        <w:t xml:space="preserve">Investments in Croatia amounted to HRK 992 </w:t>
      </w:r>
      <w:r w:rsidR="00CD0E33" w:rsidRPr="0002383E">
        <w:rPr>
          <w:rFonts w:asciiTheme="minorHAnsi" w:hAnsiTheme="minorHAnsi" w:cstheme="minorHAnsi"/>
          <w:lang w:val="en-US"/>
        </w:rPr>
        <w:t>million</w:t>
      </w:r>
      <w:r w:rsidR="00CD0E33">
        <w:rPr>
          <w:rFonts w:asciiTheme="minorHAnsi" w:hAnsiTheme="minorHAnsi" w:cstheme="minorHAnsi"/>
          <w:lang w:val="en-US"/>
        </w:rPr>
        <w:t xml:space="preserve">, more than double compared to the same period last year. </w:t>
      </w:r>
      <w:r w:rsidR="008D08AA" w:rsidRPr="00B25400">
        <w:rPr>
          <w:rFonts w:asciiTheme="minorHAnsi" w:hAnsiTheme="minorHAnsi" w:cstheme="minorHAnsi"/>
          <w:lang w:val="en-US"/>
        </w:rPr>
        <w:t xml:space="preserve">Net gearing amounted to </w:t>
      </w:r>
      <w:r w:rsidR="008D08AA">
        <w:rPr>
          <w:rFonts w:asciiTheme="minorHAnsi" w:hAnsiTheme="minorHAnsi" w:cstheme="minorHAnsi"/>
          <w:lang w:val="en-US"/>
        </w:rPr>
        <w:t>14</w:t>
      </w:r>
      <w:r w:rsidR="008D08AA" w:rsidRPr="00B25400">
        <w:rPr>
          <w:rFonts w:asciiTheme="minorHAnsi" w:hAnsiTheme="minorHAnsi" w:cstheme="minorHAnsi"/>
          <w:lang w:val="en-US"/>
        </w:rPr>
        <w:t xml:space="preserve">%, whilst </w:t>
      </w:r>
      <w:r w:rsidR="008D08AA">
        <w:rPr>
          <w:rFonts w:asciiTheme="minorHAnsi" w:hAnsiTheme="minorHAnsi" w:cstheme="minorHAnsi"/>
          <w:lang w:val="en-US"/>
        </w:rPr>
        <w:t>n</w:t>
      </w:r>
      <w:r w:rsidR="0002383E" w:rsidRPr="0002383E">
        <w:rPr>
          <w:rFonts w:asciiTheme="minorHAnsi" w:hAnsiTheme="minorHAnsi" w:cstheme="minorHAnsi"/>
          <w:lang w:val="en-US"/>
        </w:rPr>
        <w:t xml:space="preserve">et debt </w:t>
      </w:r>
      <w:r w:rsidR="005221C0">
        <w:rPr>
          <w:rFonts w:asciiTheme="minorHAnsi" w:hAnsiTheme="minorHAnsi" w:cstheme="minorHAnsi"/>
          <w:lang w:val="en-US"/>
        </w:rPr>
        <w:t xml:space="preserve">is </w:t>
      </w:r>
      <w:r w:rsidR="0002383E" w:rsidRPr="0002383E">
        <w:rPr>
          <w:rFonts w:asciiTheme="minorHAnsi" w:hAnsiTheme="minorHAnsi" w:cstheme="minorHAnsi"/>
          <w:lang w:val="en-US"/>
        </w:rPr>
        <w:t>at HRK 1,763 million, reflecting a very strong balance sheet.</w:t>
      </w:r>
    </w:p>
    <w:p w14:paraId="25CB84A5" w14:textId="77777777" w:rsidR="00EB698C" w:rsidRPr="00B25400" w:rsidRDefault="00EB698C" w:rsidP="00EB698C">
      <w:pPr>
        <w:spacing w:line="360" w:lineRule="auto"/>
        <w:jc w:val="both"/>
        <w:rPr>
          <w:rFonts w:asciiTheme="minorHAnsi" w:hAnsiTheme="minorHAnsi" w:cstheme="minorHAnsi"/>
          <w:lang w:val="en-US"/>
        </w:rPr>
      </w:pPr>
    </w:p>
    <w:p w14:paraId="7814CC54" w14:textId="07F640CC" w:rsidR="00FD26FE" w:rsidRPr="004D5CEC" w:rsidRDefault="009A1267" w:rsidP="009A1267">
      <w:pPr>
        <w:spacing w:line="360" w:lineRule="auto"/>
        <w:jc w:val="both"/>
        <w:rPr>
          <w:rFonts w:asciiTheme="minorHAnsi" w:hAnsiTheme="minorHAnsi" w:cstheme="minorHAnsi"/>
          <w:b/>
          <w:lang w:val="en-US"/>
        </w:rPr>
      </w:pPr>
      <w:r w:rsidRPr="004D5CEC">
        <w:rPr>
          <w:rFonts w:asciiTheme="minorHAnsi" w:hAnsiTheme="minorHAnsi" w:cstheme="minorHAnsi"/>
          <w:b/>
          <w:lang w:val="en-US"/>
        </w:rPr>
        <w:t xml:space="preserve">Statement of Mr. </w:t>
      </w:r>
      <w:r w:rsidR="00CA4958" w:rsidRPr="004D5CEC">
        <w:rPr>
          <w:rFonts w:asciiTheme="minorHAnsi" w:hAnsiTheme="minorHAnsi" w:cstheme="minorHAnsi"/>
          <w:b/>
          <w:lang w:val="en-US"/>
        </w:rPr>
        <w:t>Sándor Fasimon</w:t>
      </w:r>
      <w:r w:rsidRPr="004D5CEC">
        <w:rPr>
          <w:rFonts w:asciiTheme="minorHAnsi" w:hAnsiTheme="minorHAnsi" w:cstheme="minorHAnsi"/>
          <w:b/>
          <w:lang w:val="en-US"/>
        </w:rPr>
        <w:t xml:space="preserve">, </w:t>
      </w:r>
      <w:r w:rsidR="00024352" w:rsidRPr="004D5CEC">
        <w:rPr>
          <w:rFonts w:asciiTheme="minorHAnsi" w:hAnsiTheme="minorHAnsi" w:cstheme="minorHAnsi"/>
          <w:b/>
          <w:lang w:val="en-US"/>
        </w:rPr>
        <w:t xml:space="preserve">President of the Management Board of INA: </w:t>
      </w:r>
    </w:p>
    <w:p w14:paraId="450D2D37" w14:textId="2727E15C" w:rsidR="004D5CEC" w:rsidRPr="004D5CEC" w:rsidRDefault="00D07BA0" w:rsidP="004D5CEC">
      <w:pPr>
        <w:spacing w:line="360" w:lineRule="auto"/>
        <w:jc w:val="both"/>
        <w:rPr>
          <w:rFonts w:asciiTheme="minorHAnsi" w:hAnsiTheme="minorHAnsi" w:cstheme="minorHAnsi"/>
          <w:lang w:val="en-US"/>
        </w:rPr>
      </w:pPr>
      <w:r w:rsidRPr="004D5CEC">
        <w:rPr>
          <w:rFonts w:asciiTheme="minorHAnsi" w:hAnsiTheme="minorHAnsi" w:cstheme="minorHAnsi"/>
          <w:lang w:val="en-US"/>
        </w:rPr>
        <w:t>“</w:t>
      </w:r>
      <w:r w:rsidR="004D5CEC" w:rsidRPr="004D5CEC">
        <w:rPr>
          <w:rFonts w:asciiTheme="minorHAnsi" w:hAnsiTheme="minorHAnsi" w:cstheme="minorHAnsi"/>
          <w:lang w:val="en-US"/>
        </w:rPr>
        <w:t xml:space="preserve">First half of 2019 was a period of intensive investment for INA. Total investments reached almost HRK 1.2 billion, majority of which was spent domestically. Refining capital expenditures more than tripled compared to the same period last year, to more than HRK 800 million, mainly related to the Rijeka Refinery turnover, one of the largest ones in the company’s history. During this turnover, the main column on Crude Distillation Unit has been replaced, as well as numerous other works were completed, with the aim of sustainable and efficient refining operations. This investment shows INA’s commitment to further development of its refining segment, together with additional activities in INA's Downstream </w:t>
      </w:r>
      <w:r w:rsidR="00567A49">
        <w:rPr>
          <w:rFonts w:asciiTheme="minorHAnsi" w:hAnsiTheme="minorHAnsi" w:cstheme="minorHAnsi"/>
          <w:lang w:val="en-US"/>
        </w:rPr>
        <w:t xml:space="preserve">2023 </w:t>
      </w:r>
      <w:r w:rsidR="004D5CEC" w:rsidRPr="004D5CEC">
        <w:rPr>
          <w:rFonts w:asciiTheme="minorHAnsi" w:hAnsiTheme="minorHAnsi" w:cstheme="minorHAnsi"/>
          <w:lang w:val="en-US"/>
        </w:rPr>
        <w:t xml:space="preserve">New Course program.  </w:t>
      </w:r>
    </w:p>
    <w:p w14:paraId="258C71A5" w14:textId="77777777" w:rsidR="004D5CEC" w:rsidRPr="004D5CEC" w:rsidRDefault="004D5CEC" w:rsidP="004D5CEC">
      <w:pPr>
        <w:spacing w:line="360" w:lineRule="auto"/>
        <w:jc w:val="both"/>
        <w:rPr>
          <w:rFonts w:asciiTheme="minorHAnsi" w:hAnsiTheme="minorHAnsi" w:cstheme="minorHAnsi"/>
          <w:lang w:val="en-US"/>
        </w:rPr>
      </w:pPr>
      <w:r w:rsidRPr="004D5CEC">
        <w:rPr>
          <w:rFonts w:asciiTheme="minorHAnsi" w:hAnsiTheme="minorHAnsi" w:cstheme="minorHAnsi"/>
          <w:lang w:val="en-US"/>
        </w:rPr>
        <w:t xml:space="preserve">Less favorable external environment, had negatively impacted the results, but INA still managed to capture higher demand both domestically and in Bosnia and Herzegovina. </w:t>
      </w:r>
    </w:p>
    <w:p w14:paraId="0418B88F" w14:textId="25528C47" w:rsidR="004D5CEC" w:rsidRPr="004D5CEC" w:rsidRDefault="004D5CEC" w:rsidP="004D5CEC">
      <w:pPr>
        <w:spacing w:line="360" w:lineRule="auto"/>
        <w:jc w:val="both"/>
        <w:rPr>
          <w:rFonts w:asciiTheme="minorHAnsi" w:hAnsiTheme="minorHAnsi" w:cstheme="minorHAnsi"/>
          <w:lang w:val="en-US"/>
        </w:rPr>
      </w:pPr>
      <w:r w:rsidRPr="004D5CEC">
        <w:rPr>
          <w:rFonts w:asciiTheme="minorHAnsi" w:hAnsiTheme="minorHAnsi" w:cstheme="minorHAnsi"/>
          <w:lang w:val="en-US"/>
        </w:rPr>
        <w:t>Retail continued its growth in non-fuel segment, but also benefited from the expanded Montenegro network, demonstrating the strength of INA brand as customers’ first choice th</w:t>
      </w:r>
      <w:r>
        <w:rPr>
          <w:rFonts w:asciiTheme="minorHAnsi" w:hAnsiTheme="minorHAnsi" w:cstheme="minorHAnsi"/>
          <w:lang w:val="en-US"/>
        </w:rPr>
        <w:t xml:space="preserve">roughout the regional markets. </w:t>
      </w:r>
      <w:r w:rsidRPr="004D5CEC">
        <w:rPr>
          <w:rFonts w:asciiTheme="minorHAnsi" w:hAnsiTheme="minorHAnsi" w:cstheme="minorHAnsi"/>
          <w:lang w:val="en-US"/>
        </w:rPr>
        <w:t>As for Upstream, crude production increase partially offset the lower natural gas production. Overall crude production increase continues to be driven by not just domestic oil production increase, but also by additional production in Egypt, coming from increased investments. Still, the Brent price decrease of 7</w:t>
      </w:r>
      <w:r w:rsidR="00FE27FA">
        <w:rPr>
          <w:rFonts w:asciiTheme="minorHAnsi" w:hAnsiTheme="minorHAnsi" w:cstheme="minorHAnsi"/>
          <w:lang w:val="en-US"/>
        </w:rPr>
        <w:t xml:space="preserve"> </w:t>
      </w:r>
      <w:r w:rsidRPr="004D5CEC">
        <w:rPr>
          <w:rFonts w:asciiTheme="minorHAnsi" w:hAnsiTheme="minorHAnsi" w:cstheme="minorHAnsi"/>
          <w:lang w:val="en-US"/>
        </w:rPr>
        <w:t>% lowered the segment results compared to the same period of 2018. Despite the challenging environment INA Group total revenues recorded a 3% increase, amounting to almost HRK 10 billion.</w:t>
      </w:r>
    </w:p>
    <w:p w14:paraId="314EC46B" w14:textId="458A2934" w:rsidR="00097626" w:rsidRDefault="004D5CEC" w:rsidP="004D5CEC">
      <w:pPr>
        <w:spacing w:line="360" w:lineRule="auto"/>
        <w:jc w:val="both"/>
        <w:rPr>
          <w:rFonts w:asciiTheme="minorHAnsi" w:hAnsiTheme="minorHAnsi" w:cstheme="minorHAnsi"/>
          <w:lang w:val="en-US"/>
        </w:rPr>
      </w:pPr>
      <w:r w:rsidRPr="004D5CEC">
        <w:rPr>
          <w:rFonts w:asciiTheme="minorHAnsi" w:hAnsiTheme="minorHAnsi" w:cstheme="minorHAnsi"/>
          <w:lang w:val="en-US"/>
        </w:rPr>
        <w:t>INA’s financial position stays strong with a positive outlook for H2 2019.</w:t>
      </w:r>
      <w:r w:rsidR="00D07BA0" w:rsidRPr="004D5CEC">
        <w:rPr>
          <w:rFonts w:asciiTheme="minorHAnsi" w:hAnsiTheme="minorHAnsi" w:cstheme="minorHAnsi"/>
          <w:lang w:val="en-US"/>
        </w:rPr>
        <w:t>”</w:t>
      </w:r>
    </w:p>
    <w:p w14:paraId="190C5146" w14:textId="77777777" w:rsidR="00D07BA0" w:rsidRPr="00B25400" w:rsidRDefault="00D07BA0" w:rsidP="009C17FA">
      <w:pPr>
        <w:spacing w:line="360" w:lineRule="auto"/>
        <w:jc w:val="both"/>
        <w:rPr>
          <w:rFonts w:asciiTheme="minorHAnsi" w:hAnsiTheme="minorHAnsi" w:cstheme="minorHAnsi"/>
          <w:lang w:val="en-US"/>
        </w:rPr>
      </w:pPr>
    </w:p>
    <w:p w14:paraId="67A63806" w14:textId="77777777" w:rsidR="006F1D47" w:rsidRPr="00B25400" w:rsidRDefault="006F1D47" w:rsidP="006F1D47">
      <w:pPr>
        <w:spacing w:line="360" w:lineRule="auto"/>
        <w:rPr>
          <w:rFonts w:asciiTheme="minorHAnsi" w:hAnsiTheme="minorHAnsi" w:cstheme="minorHAnsi"/>
          <w:lang w:val="en-US"/>
        </w:rPr>
      </w:pPr>
    </w:p>
    <w:p w14:paraId="0BBD7520" w14:textId="34BA5FA5" w:rsidR="006F1D47" w:rsidRPr="009F4534" w:rsidRDefault="009F4534" w:rsidP="009F4534">
      <w:pPr>
        <w:spacing w:line="360" w:lineRule="auto"/>
        <w:jc w:val="center"/>
        <w:rPr>
          <w:noProof/>
          <w:highlight w:val="yellow"/>
          <w:lang w:eastAsia="hr-HR"/>
        </w:rPr>
      </w:pPr>
      <w:r w:rsidRPr="009F4534">
        <w:rPr>
          <w:noProof/>
          <w:lang w:eastAsia="hr-HR"/>
        </w:rPr>
        <w:drawing>
          <wp:inline distT="0" distB="0" distL="0" distR="0" wp14:anchorId="4F94513F" wp14:editId="3E41DF3C">
            <wp:extent cx="2987040" cy="2127885"/>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2127885"/>
                    </a:xfrm>
                    <a:prstGeom prst="rect">
                      <a:avLst/>
                    </a:prstGeom>
                    <a:noFill/>
                  </pic:spPr>
                </pic:pic>
              </a:graphicData>
            </a:graphic>
          </wp:inline>
        </w:drawing>
      </w:r>
    </w:p>
    <w:p w14:paraId="7E42F9E1" w14:textId="77777777" w:rsidR="006F1D47" w:rsidRDefault="006F1D47" w:rsidP="006F1D47">
      <w:pPr>
        <w:spacing w:line="360" w:lineRule="auto"/>
        <w:jc w:val="center"/>
        <w:rPr>
          <w:rFonts w:asciiTheme="minorHAnsi" w:hAnsiTheme="minorHAnsi" w:cstheme="minorHAnsi"/>
          <w:highlight w:val="yellow"/>
          <w:lang w:val="en-US"/>
        </w:rPr>
      </w:pPr>
    </w:p>
    <w:p w14:paraId="6CF412EB" w14:textId="77777777" w:rsidR="009F4534" w:rsidRPr="0002383E" w:rsidRDefault="009F4534" w:rsidP="006F1D47">
      <w:pPr>
        <w:spacing w:line="360" w:lineRule="auto"/>
        <w:jc w:val="center"/>
        <w:rPr>
          <w:rFonts w:asciiTheme="minorHAnsi" w:hAnsiTheme="minorHAnsi" w:cstheme="minorHAnsi"/>
          <w:highlight w:val="yellow"/>
          <w:lang w:val="en-US"/>
        </w:rPr>
      </w:pPr>
    </w:p>
    <w:p w14:paraId="6A7921D9" w14:textId="007E9A06" w:rsidR="006F1D47" w:rsidRPr="0002383E" w:rsidRDefault="009F4534" w:rsidP="006F1D47">
      <w:pPr>
        <w:spacing w:line="360" w:lineRule="auto"/>
        <w:jc w:val="center"/>
        <w:rPr>
          <w:rFonts w:asciiTheme="minorHAnsi" w:hAnsiTheme="minorHAnsi" w:cstheme="minorHAnsi"/>
          <w:highlight w:val="yellow"/>
          <w:lang w:val="en-US"/>
        </w:rPr>
      </w:pPr>
      <w:r w:rsidRPr="009F4534">
        <w:rPr>
          <w:rFonts w:asciiTheme="minorHAnsi" w:hAnsiTheme="minorHAnsi" w:cstheme="minorHAnsi"/>
          <w:noProof/>
          <w:lang w:eastAsia="hr-HR"/>
        </w:rPr>
        <w:drawing>
          <wp:inline distT="0" distB="0" distL="0" distR="0" wp14:anchorId="356EA54B" wp14:editId="049919C7">
            <wp:extent cx="2987040" cy="2316480"/>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7040" cy="2316480"/>
                    </a:xfrm>
                    <a:prstGeom prst="rect">
                      <a:avLst/>
                    </a:prstGeom>
                    <a:noFill/>
                  </pic:spPr>
                </pic:pic>
              </a:graphicData>
            </a:graphic>
          </wp:inline>
        </w:drawing>
      </w:r>
    </w:p>
    <w:p w14:paraId="44147E70" w14:textId="77777777" w:rsidR="006F1D47" w:rsidRPr="0002383E" w:rsidRDefault="006F1D47" w:rsidP="006F1D47">
      <w:pPr>
        <w:spacing w:line="360" w:lineRule="auto"/>
        <w:jc w:val="center"/>
        <w:rPr>
          <w:rFonts w:asciiTheme="minorHAnsi" w:hAnsiTheme="minorHAnsi" w:cstheme="minorHAnsi"/>
          <w:highlight w:val="yellow"/>
          <w:lang w:val="en-US"/>
        </w:rPr>
      </w:pPr>
    </w:p>
    <w:p w14:paraId="61436B26" w14:textId="26A534C8" w:rsidR="006F1D47" w:rsidRPr="00B25400" w:rsidRDefault="009F4534" w:rsidP="006F1D47">
      <w:pPr>
        <w:spacing w:line="360" w:lineRule="auto"/>
        <w:jc w:val="center"/>
        <w:rPr>
          <w:rFonts w:asciiTheme="minorHAnsi" w:hAnsiTheme="minorHAnsi" w:cstheme="minorHAnsi"/>
          <w:lang w:val="en-US"/>
        </w:rPr>
      </w:pPr>
      <w:r w:rsidRPr="009F4534">
        <w:rPr>
          <w:rFonts w:asciiTheme="minorHAnsi" w:hAnsiTheme="minorHAnsi" w:cstheme="minorHAnsi"/>
          <w:noProof/>
          <w:lang w:eastAsia="hr-HR"/>
        </w:rPr>
        <w:lastRenderedPageBreak/>
        <w:drawing>
          <wp:inline distT="0" distB="0" distL="0" distR="0" wp14:anchorId="10882371" wp14:editId="00967222">
            <wp:extent cx="2987040" cy="212153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7040" cy="2121535"/>
                    </a:xfrm>
                    <a:prstGeom prst="rect">
                      <a:avLst/>
                    </a:prstGeom>
                    <a:noFill/>
                  </pic:spPr>
                </pic:pic>
              </a:graphicData>
            </a:graphic>
          </wp:inline>
        </w:drawing>
      </w:r>
    </w:p>
    <w:p w14:paraId="72727030" w14:textId="77777777" w:rsidR="006F1D47" w:rsidRPr="00B25400" w:rsidRDefault="006F1D47" w:rsidP="00CA4958">
      <w:pPr>
        <w:jc w:val="center"/>
        <w:rPr>
          <w:rFonts w:asciiTheme="minorHAnsi" w:hAnsiTheme="minorHAnsi" w:cstheme="minorHAnsi"/>
          <w:noProof/>
          <w:lang w:eastAsia="hr-HR"/>
        </w:rPr>
      </w:pPr>
    </w:p>
    <w:p w14:paraId="2B46C40B" w14:textId="77777777" w:rsidR="000A1EBF" w:rsidRPr="00B25400" w:rsidRDefault="000A1EBF" w:rsidP="000401B5">
      <w:pPr>
        <w:spacing w:line="360" w:lineRule="auto"/>
        <w:rPr>
          <w:rFonts w:asciiTheme="minorHAnsi" w:hAnsiTheme="minorHAnsi" w:cstheme="minorHAnsi"/>
          <w:lang w:val="en-US"/>
        </w:rPr>
      </w:pPr>
    </w:p>
    <w:p w14:paraId="475E0DCA" w14:textId="29A5E472" w:rsidR="006F1D47" w:rsidRPr="004D5CEC" w:rsidRDefault="00E11167" w:rsidP="004D5CEC">
      <w:pPr>
        <w:spacing w:line="360" w:lineRule="auto"/>
        <w:jc w:val="both"/>
        <w:rPr>
          <w:rFonts w:asciiTheme="minorHAnsi" w:hAnsiTheme="minorHAnsi" w:cstheme="minorHAnsi"/>
          <w:lang w:val="en-US"/>
        </w:rPr>
      </w:pPr>
      <w:r w:rsidRPr="00B25400">
        <w:rPr>
          <w:rFonts w:asciiTheme="minorHAnsi" w:hAnsiTheme="minorHAnsi" w:cstheme="minorHAnsi"/>
          <w:b/>
          <w:lang w:val="en-US"/>
        </w:rPr>
        <w:t>Exploration and Production</w:t>
      </w:r>
      <w:r w:rsidR="00746587" w:rsidRPr="00B25400">
        <w:rPr>
          <w:rFonts w:asciiTheme="minorHAnsi" w:hAnsiTheme="minorHAnsi" w:cstheme="minorHAnsi"/>
          <w:b/>
          <w:lang w:val="en-US"/>
        </w:rPr>
        <w:t xml:space="preserve"> –</w:t>
      </w:r>
      <w:r w:rsidRPr="00B25400">
        <w:rPr>
          <w:rFonts w:asciiTheme="minorHAnsi" w:hAnsiTheme="minorHAnsi" w:cstheme="minorHAnsi"/>
          <w:lang w:val="en-US"/>
        </w:rPr>
        <w:t xml:space="preserve"> </w:t>
      </w:r>
      <w:r w:rsidR="006F736D" w:rsidRPr="00B25400">
        <w:rPr>
          <w:rFonts w:asciiTheme="minorHAnsi" w:hAnsiTheme="minorHAnsi" w:cstheme="minorHAnsi"/>
          <w:lang w:val="en-US"/>
        </w:rPr>
        <w:t xml:space="preserve">In </w:t>
      </w:r>
      <w:r w:rsidR="00981CC4">
        <w:rPr>
          <w:rFonts w:asciiTheme="minorHAnsi" w:hAnsiTheme="minorHAnsi" w:cstheme="minorHAnsi"/>
          <w:lang w:val="en-US"/>
        </w:rPr>
        <w:t>Q1 2019</w:t>
      </w:r>
      <w:r w:rsidR="006F736D" w:rsidRPr="00B25400">
        <w:rPr>
          <w:rFonts w:asciiTheme="minorHAnsi" w:hAnsiTheme="minorHAnsi" w:cstheme="minorHAnsi"/>
          <w:lang w:val="en-US"/>
        </w:rPr>
        <w:t xml:space="preserve">, </w:t>
      </w:r>
      <w:r w:rsidR="009B7F2A">
        <w:rPr>
          <w:rFonts w:asciiTheme="minorHAnsi" w:hAnsiTheme="minorHAnsi" w:cstheme="minorHAnsi"/>
          <w:lang w:val="en-US"/>
        </w:rPr>
        <w:t xml:space="preserve">net sales revenues </w:t>
      </w:r>
      <w:r w:rsidR="000F28F5">
        <w:rPr>
          <w:rFonts w:asciiTheme="minorHAnsi" w:hAnsiTheme="minorHAnsi" w:cstheme="minorHAnsi"/>
          <w:lang w:val="en-US"/>
        </w:rPr>
        <w:t xml:space="preserve">slightly </w:t>
      </w:r>
      <w:r w:rsidR="009B7F2A">
        <w:rPr>
          <w:rFonts w:asciiTheme="minorHAnsi" w:hAnsiTheme="minorHAnsi" w:cstheme="minorHAnsi"/>
          <w:lang w:val="en-US"/>
        </w:rPr>
        <w:t xml:space="preserve">increased </w:t>
      </w:r>
      <w:r w:rsidR="000F28F5">
        <w:rPr>
          <w:rFonts w:asciiTheme="minorHAnsi" w:hAnsiTheme="minorHAnsi" w:cstheme="minorHAnsi"/>
          <w:lang w:val="en-US"/>
        </w:rPr>
        <w:t xml:space="preserve">and amounted </w:t>
      </w:r>
      <w:r w:rsidR="00097B72">
        <w:rPr>
          <w:rFonts w:asciiTheme="minorHAnsi" w:hAnsiTheme="minorHAnsi" w:cstheme="minorHAnsi"/>
          <w:lang w:val="en-US"/>
        </w:rPr>
        <w:t xml:space="preserve">to </w:t>
      </w:r>
      <w:r w:rsidR="000F28F5">
        <w:rPr>
          <w:rFonts w:asciiTheme="minorHAnsi" w:hAnsiTheme="minorHAnsi" w:cstheme="minorHAnsi"/>
          <w:lang w:val="en-US"/>
        </w:rPr>
        <w:t>HRK 1,985 million, despite t</w:t>
      </w:r>
      <w:r w:rsidR="001C4991" w:rsidRPr="00B25400">
        <w:rPr>
          <w:rFonts w:asciiTheme="minorHAnsi" w:hAnsiTheme="minorHAnsi" w:cstheme="minorHAnsi"/>
          <w:lang w:val="en-US"/>
        </w:rPr>
        <w:t xml:space="preserve">he </w:t>
      </w:r>
      <w:r w:rsidR="000F28F5">
        <w:rPr>
          <w:rFonts w:asciiTheme="minorHAnsi" w:hAnsiTheme="minorHAnsi" w:cstheme="minorHAnsi"/>
          <w:lang w:val="en-US"/>
        </w:rPr>
        <w:t>7</w:t>
      </w:r>
      <w:r w:rsidR="001C4991" w:rsidRPr="00B25400">
        <w:rPr>
          <w:rFonts w:asciiTheme="minorHAnsi" w:hAnsiTheme="minorHAnsi" w:cstheme="minorHAnsi"/>
          <w:lang w:val="en-US"/>
        </w:rPr>
        <w:t xml:space="preserve">% </w:t>
      </w:r>
      <w:r w:rsidR="00981CC4">
        <w:rPr>
          <w:rFonts w:asciiTheme="minorHAnsi" w:hAnsiTheme="minorHAnsi" w:cstheme="minorHAnsi"/>
          <w:lang w:val="en-US"/>
        </w:rPr>
        <w:t>lower</w:t>
      </w:r>
      <w:r w:rsidR="001C4991" w:rsidRPr="00B25400">
        <w:rPr>
          <w:rFonts w:asciiTheme="minorHAnsi" w:hAnsiTheme="minorHAnsi" w:cstheme="minorHAnsi"/>
          <w:lang w:val="en-US"/>
        </w:rPr>
        <w:t xml:space="preserve"> Brent price</w:t>
      </w:r>
      <w:r w:rsidR="000F28F5">
        <w:rPr>
          <w:rFonts w:asciiTheme="minorHAnsi" w:hAnsiTheme="minorHAnsi" w:cstheme="minorHAnsi"/>
          <w:lang w:val="en-US"/>
        </w:rPr>
        <w:t xml:space="preserve"> which</w:t>
      </w:r>
      <w:r w:rsidR="001C4991" w:rsidRPr="00B25400">
        <w:rPr>
          <w:rFonts w:asciiTheme="minorHAnsi" w:hAnsiTheme="minorHAnsi" w:cstheme="minorHAnsi"/>
          <w:lang w:val="en-US"/>
        </w:rPr>
        <w:t xml:space="preserve"> had a </w:t>
      </w:r>
      <w:r w:rsidR="00981CC4">
        <w:rPr>
          <w:rFonts w:asciiTheme="minorHAnsi" w:hAnsiTheme="minorHAnsi" w:cstheme="minorHAnsi"/>
          <w:lang w:val="en-US"/>
        </w:rPr>
        <w:t>negative</w:t>
      </w:r>
      <w:r w:rsidR="001C4991" w:rsidRPr="00B25400">
        <w:rPr>
          <w:rFonts w:asciiTheme="minorHAnsi" w:hAnsiTheme="minorHAnsi" w:cstheme="minorHAnsi"/>
          <w:lang w:val="en-US"/>
        </w:rPr>
        <w:t xml:space="preserve"> effect on </w:t>
      </w:r>
      <w:r w:rsidR="009B4A1B" w:rsidRPr="00B25400">
        <w:rPr>
          <w:rFonts w:asciiTheme="minorHAnsi" w:hAnsiTheme="minorHAnsi" w:cstheme="minorHAnsi"/>
          <w:lang w:val="en-US"/>
        </w:rPr>
        <w:t xml:space="preserve">crude </w:t>
      </w:r>
      <w:r w:rsidR="001C4991" w:rsidRPr="00B25400">
        <w:rPr>
          <w:rFonts w:asciiTheme="minorHAnsi" w:hAnsiTheme="minorHAnsi" w:cstheme="minorHAnsi"/>
          <w:lang w:val="en-US"/>
        </w:rPr>
        <w:t>oi</w:t>
      </w:r>
      <w:r w:rsidR="000F28F5">
        <w:rPr>
          <w:rFonts w:asciiTheme="minorHAnsi" w:hAnsiTheme="minorHAnsi" w:cstheme="minorHAnsi"/>
          <w:lang w:val="en-US"/>
        </w:rPr>
        <w:t>l</w:t>
      </w:r>
      <w:r w:rsidR="001C4991" w:rsidRPr="00B25400">
        <w:rPr>
          <w:rFonts w:asciiTheme="minorHAnsi" w:hAnsiTheme="minorHAnsi" w:cstheme="minorHAnsi"/>
          <w:lang w:val="en-US"/>
        </w:rPr>
        <w:t xml:space="preserve">. Domestic crude oil production </w:t>
      </w:r>
      <w:r w:rsidR="0079115C" w:rsidRPr="00B25400">
        <w:rPr>
          <w:rFonts w:asciiTheme="minorHAnsi" w:hAnsiTheme="minorHAnsi" w:cstheme="minorHAnsi"/>
          <w:lang w:val="en-US"/>
        </w:rPr>
        <w:t>is</w:t>
      </w:r>
      <w:r w:rsidR="00CA4958" w:rsidRPr="00B25400">
        <w:rPr>
          <w:rFonts w:asciiTheme="minorHAnsi" w:hAnsiTheme="minorHAnsi" w:cstheme="minorHAnsi"/>
          <w:lang w:val="en-US"/>
        </w:rPr>
        <w:t xml:space="preserve"> slightly</w:t>
      </w:r>
      <w:r w:rsidR="0079115C" w:rsidRPr="00B25400">
        <w:rPr>
          <w:rFonts w:asciiTheme="minorHAnsi" w:hAnsiTheme="minorHAnsi" w:cstheme="minorHAnsi"/>
          <w:lang w:val="en-US"/>
        </w:rPr>
        <w:t xml:space="preserve"> higher </w:t>
      </w:r>
      <w:r w:rsidR="000719BA" w:rsidRPr="00B25400">
        <w:rPr>
          <w:rFonts w:asciiTheme="minorHAnsi" w:hAnsiTheme="minorHAnsi" w:cstheme="minorHAnsi"/>
          <w:lang w:val="en-US"/>
        </w:rPr>
        <w:t xml:space="preserve">as a result of </w:t>
      </w:r>
      <w:r w:rsidR="000F28F5" w:rsidRPr="000F28F5">
        <w:rPr>
          <w:rFonts w:asciiTheme="minorHAnsi" w:hAnsiTheme="minorHAnsi" w:cstheme="minorHAnsi"/>
          <w:lang w:val="en-US"/>
        </w:rPr>
        <w:t xml:space="preserve">performed well </w:t>
      </w:r>
      <w:proofErr w:type="spellStart"/>
      <w:r w:rsidR="000F28F5" w:rsidRPr="000F28F5">
        <w:rPr>
          <w:rFonts w:asciiTheme="minorHAnsi" w:hAnsiTheme="minorHAnsi" w:cstheme="minorHAnsi"/>
          <w:lang w:val="en-US"/>
        </w:rPr>
        <w:t>workovers</w:t>
      </w:r>
      <w:proofErr w:type="spellEnd"/>
      <w:r w:rsidR="000F28F5" w:rsidRPr="000F28F5">
        <w:rPr>
          <w:rFonts w:asciiTheme="minorHAnsi" w:hAnsiTheme="minorHAnsi" w:cstheme="minorHAnsi"/>
          <w:lang w:val="en-US"/>
        </w:rPr>
        <w:t xml:space="preserve">, well </w:t>
      </w:r>
      <w:r w:rsidR="00B50735" w:rsidRPr="000F28F5">
        <w:rPr>
          <w:rFonts w:asciiTheme="minorHAnsi" w:hAnsiTheme="minorHAnsi" w:cstheme="minorHAnsi"/>
          <w:lang w:val="en-US"/>
        </w:rPr>
        <w:t>optimization</w:t>
      </w:r>
      <w:r w:rsidR="000F28F5" w:rsidRPr="000F28F5">
        <w:rPr>
          <w:rFonts w:asciiTheme="minorHAnsi" w:hAnsiTheme="minorHAnsi" w:cstheme="minorHAnsi"/>
          <w:lang w:val="en-US"/>
        </w:rPr>
        <w:t xml:space="preserve"> and more </w:t>
      </w:r>
      <w:r w:rsidR="00B50735" w:rsidRPr="000F28F5">
        <w:rPr>
          <w:rFonts w:asciiTheme="minorHAnsi" w:hAnsiTheme="minorHAnsi" w:cstheme="minorHAnsi"/>
          <w:lang w:val="en-US"/>
        </w:rPr>
        <w:t>favorable</w:t>
      </w:r>
      <w:r w:rsidR="000F28F5" w:rsidRPr="000F28F5">
        <w:rPr>
          <w:rFonts w:asciiTheme="minorHAnsi" w:hAnsiTheme="minorHAnsi" w:cstheme="minorHAnsi"/>
          <w:lang w:val="en-US"/>
        </w:rPr>
        <w:t xml:space="preserve"> EOR project increment on </w:t>
      </w:r>
      <w:proofErr w:type="spellStart"/>
      <w:r w:rsidR="000F28F5" w:rsidRPr="000F28F5">
        <w:rPr>
          <w:rFonts w:asciiTheme="minorHAnsi" w:hAnsiTheme="minorHAnsi" w:cstheme="minorHAnsi"/>
          <w:lang w:val="en-US"/>
        </w:rPr>
        <w:t>Ivanić</w:t>
      </w:r>
      <w:proofErr w:type="spellEnd"/>
      <w:r w:rsidR="000F28F5" w:rsidRPr="000F28F5">
        <w:rPr>
          <w:rFonts w:asciiTheme="minorHAnsi" w:hAnsiTheme="minorHAnsi" w:cstheme="minorHAnsi"/>
          <w:lang w:val="en-US"/>
        </w:rPr>
        <w:t xml:space="preserve"> field</w:t>
      </w:r>
      <w:r w:rsidR="00981CC4">
        <w:rPr>
          <w:rFonts w:asciiTheme="minorHAnsi" w:hAnsiTheme="minorHAnsi" w:cstheme="minorHAnsi"/>
          <w:lang w:val="en-US"/>
        </w:rPr>
        <w:t>.</w:t>
      </w:r>
      <w:r w:rsidR="001C4991" w:rsidRPr="00B25400">
        <w:rPr>
          <w:rFonts w:asciiTheme="minorHAnsi" w:hAnsiTheme="minorHAnsi" w:cstheme="minorHAnsi"/>
          <w:lang w:val="en-US"/>
        </w:rPr>
        <w:t xml:space="preserve"> </w:t>
      </w:r>
      <w:r w:rsidR="003C04B6" w:rsidRPr="00B25400">
        <w:rPr>
          <w:rFonts w:asciiTheme="minorHAnsi" w:hAnsiTheme="minorHAnsi" w:cstheme="minorHAnsi"/>
          <w:lang w:val="en-US"/>
        </w:rPr>
        <w:t xml:space="preserve">CAPEX </w:t>
      </w:r>
      <w:r w:rsidR="00B81810">
        <w:rPr>
          <w:rFonts w:asciiTheme="minorHAnsi" w:hAnsiTheme="minorHAnsi" w:cstheme="minorHAnsi"/>
          <w:lang w:val="en-US"/>
        </w:rPr>
        <w:t xml:space="preserve">increased by </w:t>
      </w:r>
      <w:r w:rsidR="000F28F5">
        <w:rPr>
          <w:rFonts w:asciiTheme="minorHAnsi" w:hAnsiTheme="minorHAnsi" w:cstheme="minorHAnsi"/>
          <w:lang w:val="en-US"/>
        </w:rPr>
        <w:t>10</w:t>
      </w:r>
      <w:r w:rsidR="00CA4958" w:rsidRPr="00B25400">
        <w:rPr>
          <w:rFonts w:asciiTheme="minorHAnsi" w:hAnsiTheme="minorHAnsi" w:cstheme="minorHAnsi"/>
          <w:lang w:val="en-US"/>
        </w:rPr>
        <w:t xml:space="preserve">% and </w:t>
      </w:r>
      <w:r w:rsidR="003C04B6" w:rsidRPr="00B25400">
        <w:rPr>
          <w:rFonts w:asciiTheme="minorHAnsi" w:hAnsiTheme="minorHAnsi" w:cstheme="minorHAnsi"/>
          <w:lang w:val="en-US"/>
        </w:rPr>
        <w:t xml:space="preserve">amounted to HRK </w:t>
      </w:r>
      <w:r w:rsidR="000F28F5">
        <w:rPr>
          <w:rFonts w:asciiTheme="minorHAnsi" w:hAnsiTheme="minorHAnsi" w:cstheme="minorHAnsi"/>
          <w:lang w:val="en-US"/>
        </w:rPr>
        <w:t>306</w:t>
      </w:r>
      <w:r w:rsidR="003C04B6" w:rsidRPr="00B25400">
        <w:rPr>
          <w:rFonts w:asciiTheme="minorHAnsi" w:hAnsiTheme="minorHAnsi" w:cstheme="minorHAnsi"/>
          <w:lang w:val="en-US"/>
        </w:rPr>
        <w:t xml:space="preserve"> million, out of which HRK </w:t>
      </w:r>
      <w:r w:rsidR="000F28F5">
        <w:rPr>
          <w:rFonts w:asciiTheme="minorHAnsi" w:hAnsiTheme="minorHAnsi" w:cstheme="minorHAnsi"/>
          <w:lang w:val="en-US"/>
        </w:rPr>
        <w:t>204</w:t>
      </w:r>
      <w:r w:rsidR="003C04B6" w:rsidRPr="00B25400">
        <w:rPr>
          <w:rFonts w:asciiTheme="minorHAnsi" w:hAnsiTheme="minorHAnsi" w:cstheme="minorHAnsi"/>
          <w:lang w:val="en-US"/>
        </w:rPr>
        <w:t xml:space="preserve"> million in Croatia.</w:t>
      </w:r>
      <w:r w:rsidR="00B50735">
        <w:rPr>
          <w:rFonts w:asciiTheme="minorHAnsi" w:hAnsiTheme="minorHAnsi" w:cstheme="minorHAnsi"/>
          <w:lang w:val="en-US"/>
        </w:rPr>
        <w:t xml:space="preserve"> </w:t>
      </w:r>
      <w:r w:rsidR="00B50735" w:rsidRPr="00B50735">
        <w:rPr>
          <w:rFonts w:asciiTheme="minorHAnsi" w:hAnsiTheme="minorHAnsi" w:cstheme="minorHAnsi"/>
          <w:lang w:val="en-US"/>
        </w:rPr>
        <w:t xml:space="preserve">Higher investment level </w:t>
      </w:r>
      <w:r w:rsidR="00B90BA8">
        <w:rPr>
          <w:rFonts w:asciiTheme="minorHAnsi" w:hAnsiTheme="minorHAnsi" w:cstheme="minorHAnsi"/>
          <w:lang w:val="en-US"/>
        </w:rPr>
        <w:t>is</w:t>
      </w:r>
      <w:r w:rsidR="00B50735">
        <w:rPr>
          <w:rFonts w:asciiTheme="minorHAnsi" w:hAnsiTheme="minorHAnsi" w:cstheme="minorHAnsi"/>
          <w:lang w:val="en-US"/>
        </w:rPr>
        <w:t xml:space="preserve"> realized mostly due to</w:t>
      </w:r>
      <w:r w:rsidR="00B50735" w:rsidRPr="00B50735">
        <w:rPr>
          <w:rFonts w:asciiTheme="minorHAnsi" w:hAnsiTheme="minorHAnsi" w:cstheme="minorHAnsi"/>
          <w:lang w:val="en-US"/>
        </w:rPr>
        <w:t xml:space="preserve"> exploration drilling and development activities in Egypt</w:t>
      </w:r>
      <w:r w:rsidR="00645D0D">
        <w:rPr>
          <w:rFonts w:asciiTheme="minorHAnsi" w:hAnsiTheme="minorHAnsi" w:cstheme="minorHAnsi"/>
          <w:lang w:val="en-US"/>
        </w:rPr>
        <w:t xml:space="preserve"> and</w:t>
      </w:r>
      <w:r w:rsidR="00B50735">
        <w:rPr>
          <w:rFonts w:asciiTheme="minorHAnsi" w:hAnsiTheme="minorHAnsi" w:cstheme="minorHAnsi"/>
          <w:lang w:val="en-US"/>
        </w:rPr>
        <w:t xml:space="preserve"> well </w:t>
      </w:r>
      <w:proofErr w:type="spellStart"/>
      <w:r w:rsidR="00B50735">
        <w:rPr>
          <w:rFonts w:asciiTheme="minorHAnsi" w:hAnsiTheme="minorHAnsi" w:cstheme="minorHAnsi"/>
          <w:lang w:val="en-US"/>
        </w:rPr>
        <w:t>workovers</w:t>
      </w:r>
      <w:proofErr w:type="spellEnd"/>
      <w:r w:rsidR="00B50735">
        <w:rPr>
          <w:rFonts w:asciiTheme="minorHAnsi" w:hAnsiTheme="minorHAnsi" w:cstheme="minorHAnsi"/>
          <w:lang w:val="en-US"/>
        </w:rPr>
        <w:t xml:space="preserve"> performed in Croatia.</w:t>
      </w:r>
    </w:p>
    <w:p w14:paraId="7E43D43F" w14:textId="71FFD96B" w:rsidR="006F1D47" w:rsidRPr="00B50735" w:rsidRDefault="009F4534" w:rsidP="006F1D47">
      <w:pPr>
        <w:spacing w:line="360" w:lineRule="auto"/>
        <w:jc w:val="center"/>
        <w:rPr>
          <w:rFonts w:asciiTheme="minorHAnsi" w:hAnsiTheme="minorHAnsi" w:cstheme="minorHAnsi"/>
          <w:b/>
          <w:highlight w:val="yellow"/>
          <w:lang w:val="en-US"/>
        </w:rPr>
      </w:pPr>
      <w:r w:rsidRPr="009F4534">
        <w:rPr>
          <w:rFonts w:asciiTheme="minorHAnsi" w:hAnsiTheme="minorHAnsi" w:cstheme="minorHAnsi"/>
          <w:b/>
          <w:noProof/>
          <w:lang w:eastAsia="hr-HR"/>
        </w:rPr>
        <w:drawing>
          <wp:inline distT="0" distB="0" distL="0" distR="0" wp14:anchorId="630FA054" wp14:editId="578DB259">
            <wp:extent cx="2987040" cy="2322830"/>
            <wp:effectExtent l="0" t="0" r="381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040" cy="2322830"/>
                    </a:xfrm>
                    <a:prstGeom prst="rect">
                      <a:avLst/>
                    </a:prstGeom>
                    <a:noFill/>
                  </pic:spPr>
                </pic:pic>
              </a:graphicData>
            </a:graphic>
          </wp:inline>
        </w:drawing>
      </w:r>
    </w:p>
    <w:p w14:paraId="0B327B3D" w14:textId="77777777" w:rsidR="006F1D47" w:rsidRPr="00B50735" w:rsidRDefault="006F1D47" w:rsidP="006F1D47">
      <w:pPr>
        <w:spacing w:line="360" w:lineRule="auto"/>
        <w:jc w:val="center"/>
        <w:rPr>
          <w:rFonts w:asciiTheme="minorHAnsi" w:hAnsiTheme="minorHAnsi" w:cstheme="minorHAnsi"/>
          <w:b/>
          <w:highlight w:val="yellow"/>
          <w:lang w:val="en-US"/>
        </w:rPr>
      </w:pPr>
    </w:p>
    <w:p w14:paraId="2AAE7A80" w14:textId="522EE293" w:rsidR="006F1D47" w:rsidRPr="00B50735" w:rsidRDefault="009F4534" w:rsidP="006F1D47">
      <w:pPr>
        <w:spacing w:line="360" w:lineRule="auto"/>
        <w:jc w:val="center"/>
        <w:rPr>
          <w:rFonts w:asciiTheme="minorHAnsi" w:hAnsiTheme="minorHAnsi" w:cstheme="minorHAnsi"/>
          <w:b/>
          <w:highlight w:val="yellow"/>
          <w:lang w:val="en-US"/>
        </w:rPr>
      </w:pPr>
      <w:r w:rsidRPr="009F4534">
        <w:rPr>
          <w:rFonts w:asciiTheme="minorHAnsi" w:hAnsiTheme="minorHAnsi" w:cstheme="minorHAnsi"/>
          <w:b/>
          <w:noProof/>
          <w:lang w:eastAsia="hr-HR"/>
        </w:rPr>
        <w:drawing>
          <wp:inline distT="0" distB="0" distL="0" distR="0" wp14:anchorId="5AF55533" wp14:editId="5F4AC330">
            <wp:extent cx="2987040" cy="2322830"/>
            <wp:effectExtent l="0" t="0" r="381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040" cy="2322830"/>
                    </a:xfrm>
                    <a:prstGeom prst="rect">
                      <a:avLst/>
                    </a:prstGeom>
                    <a:noFill/>
                  </pic:spPr>
                </pic:pic>
              </a:graphicData>
            </a:graphic>
          </wp:inline>
        </w:drawing>
      </w:r>
    </w:p>
    <w:p w14:paraId="0AD373F1" w14:textId="77777777" w:rsidR="006C15D2" w:rsidRPr="00B25400" w:rsidRDefault="006C15D2" w:rsidP="004D5CEC">
      <w:pPr>
        <w:spacing w:line="360" w:lineRule="auto"/>
        <w:rPr>
          <w:rFonts w:asciiTheme="minorHAnsi" w:hAnsiTheme="minorHAnsi" w:cstheme="minorHAnsi"/>
          <w:b/>
          <w:lang w:val="en-US"/>
        </w:rPr>
      </w:pPr>
    </w:p>
    <w:p w14:paraId="6D139BFC" w14:textId="77777777" w:rsidR="006D374D" w:rsidRPr="00B25400" w:rsidRDefault="006D374D" w:rsidP="00C87E06">
      <w:pPr>
        <w:spacing w:line="360" w:lineRule="auto"/>
        <w:jc w:val="center"/>
        <w:rPr>
          <w:rFonts w:asciiTheme="minorHAnsi" w:hAnsiTheme="minorHAnsi" w:cstheme="minorHAnsi"/>
          <w:b/>
          <w:lang w:val="en-US"/>
        </w:rPr>
      </w:pPr>
    </w:p>
    <w:p w14:paraId="697F7825" w14:textId="6665B0BB" w:rsidR="0095296E" w:rsidRDefault="00E11167" w:rsidP="00294AD2">
      <w:pPr>
        <w:spacing w:line="360" w:lineRule="auto"/>
        <w:jc w:val="both"/>
        <w:rPr>
          <w:rFonts w:asciiTheme="minorHAnsi" w:hAnsiTheme="minorHAnsi" w:cstheme="minorHAnsi"/>
          <w:lang w:val="en-US"/>
        </w:rPr>
      </w:pPr>
      <w:r w:rsidRPr="003C403F">
        <w:rPr>
          <w:rFonts w:asciiTheme="minorHAnsi" w:hAnsiTheme="minorHAnsi" w:cstheme="minorHAnsi"/>
          <w:b/>
          <w:lang w:val="en-US"/>
        </w:rPr>
        <w:t xml:space="preserve">Refining and Marketing, including </w:t>
      </w:r>
      <w:r w:rsidR="00FD13E8">
        <w:rPr>
          <w:rFonts w:asciiTheme="minorHAnsi" w:hAnsiTheme="minorHAnsi" w:cstheme="minorHAnsi"/>
          <w:b/>
          <w:lang w:val="en-US"/>
        </w:rPr>
        <w:t>Consumer Services and Retail</w:t>
      </w:r>
      <w:r w:rsidR="00FD13E8" w:rsidRPr="003C403F">
        <w:rPr>
          <w:rFonts w:asciiTheme="minorHAnsi" w:hAnsiTheme="minorHAnsi" w:cstheme="minorHAnsi"/>
          <w:b/>
          <w:lang w:val="en-US"/>
        </w:rPr>
        <w:t xml:space="preserve"> </w:t>
      </w:r>
      <w:r w:rsidR="00746587" w:rsidRPr="003C403F">
        <w:rPr>
          <w:rFonts w:asciiTheme="minorHAnsi" w:hAnsiTheme="minorHAnsi" w:cstheme="minorHAnsi"/>
          <w:b/>
          <w:lang w:val="en-US"/>
        </w:rPr>
        <w:t>–</w:t>
      </w:r>
      <w:r w:rsidR="00DA3448" w:rsidRPr="003C403F">
        <w:rPr>
          <w:rFonts w:asciiTheme="minorHAnsi" w:hAnsiTheme="minorHAnsi" w:cstheme="minorHAnsi"/>
          <w:lang w:val="en-US"/>
        </w:rPr>
        <w:t xml:space="preserve"> </w:t>
      </w:r>
      <w:r w:rsidR="001E21E7" w:rsidRPr="003C403F">
        <w:rPr>
          <w:rFonts w:asciiTheme="minorHAnsi" w:hAnsiTheme="minorHAnsi" w:cstheme="minorHAnsi"/>
          <w:lang w:val="en-US"/>
        </w:rPr>
        <w:t>In</w:t>
      </w:r>
      <w:r w:rsidR="006D374D" w:rsidRPr="003C403F">
        <w:rPr>
          <w:rFonts w:asciiTheme="minorHAnsi" w:hAnsiTheme="minorHAnsi" w:cstheme="minorHAnsi"/>
          <w:lang w:val="en-US"/>
        </w:rPr>
        <w:t xml:space="preserve"> </w:t>
      </w:r>
      <w:r w:rsidR="00B90BA8">
        <w:rPr>
          <w:rFonts w:asciiTheme="minorHAnsi" w:hAnsiTheme="minorHAnsi" w:cstheme="minorHAnsi"/>
          <w:lang w:val="en-US"/>
        </w:rPr>
        <w:t>H</w:t>
      </w:r>
      <w:r w:rsidR="008D7C62" w:rsidRPr="003C403F">
        <w:rPr>
          <w:rFonts w:asciiTheme="minorHAnsi" w:hAnsiTheme="minorHAnsi" w:cstheme="minorHAnsi"/>
          <w:lang w:val="en-US"/>
        </w:rPr>
        <w:t>1 2019</w:t>
      </w:r>
      <w:r w:rsidR="004E3A45" w:rsidRPr="003C403F">
        <w:rPr>
          <w:rFonts w:asciiTheme="minorHAnsi" w:hAnsiTheme="minorHAnsi" w:cstheme="minorHAnsi"/>
          <w:lang w:val="en-US"/>
        </w:rPr>
        <w:t xml:space="preserve"> </w:t>
      </w:r>
      <w:r w:rsidR="00A82D0E">
        <w:rPr>
          <w:rFonts w:asciiTheme="minorHAnsi" w:hAnsiTheme="minorHAnsi" w:cstheme="minorHAnsi"/>
          <w:lang w:val="en-US"/>
        </w:rPr>
        <w:t xml:space="preserve">net sales </w:t>
      </w:r>
      <w:r w:rsidR="005B138F" w:rsidRPr="003C403F">
        <w:rPr>
          <w:rFonts w:asciiTheme="minorHAnsi" w:hAnsiTheme="minorHAnsi" w:cstheme="minorHAnsi"/>
          <w:lang w:val="en-US"/>
        </w:rPr>
        <w:t>r</w:t>
      </w:r>
      <w:r w:rsidR="003C04B6" w:rsidRPr="003C403F">
        <w:rPr>
          <w:rFonts w:asciiTheme="minorHAnsi" w:hAnsiTheme="minorHAnsi" w:cstheme="minorHAnsi"/>
          <w:lang w:val="en-US"/>
        </w:rPr>
        <w:t xml:space="preserve">evenues </w:t>
      </w:r>
      <w:r w:rsidR="00B90BA8">
        <w:rPr>
          <w:rFonts w:asciiTheme="minorHAnsi" w:hAnsiTheme="minorHAnsi" w:cstheme="minorHAnsi"/>
          <w:lang w:val="en-US"/>
        </w:rPr>
        <w:t xml:space="preserve">slightly increased and </w:t>
      </w:r>
      <w:r w:rsidR="003C04B6" w:rsidRPr="003C403F">
        <w:rPr>
          <w:rFonts w:asciiTheme="minorHAnsi" w:hAnsiTheme="minorHAnsi" w:cstheme="minorHAnsi"/>
          <w:lang w:val="en-US"/>
        </w:rPr>
        <w:t xml:space="preserve">amounted to HRK </w:t>
      </w:r>
      <w:r w:rsidR="00B90BA8">
        <w:rPr>
          <w:rFonts w:asciiTheme="minorHAnsi" w:hAnsiTheme="minorHAnsi" w:cstheme="minorHAnsi"/>
          <w:lang w:val="en-US"/>
        </w:rPr>
        <w:t>9,286 million</w:t>
      </w:r>
      <w:r w:rsidR="006D374D" w:rsidRPr="003C403F">
        <w:rPr>
          <w:rFonts w:asciiTheme="minorHAnsi" w:hAnsiTheme="minorHAnsi" w:cstheme="minorHAnsi"/>
          <w:lang w:val="en-US"/>
        </w:rPr>
        <w:t>.</w:t>
      </w:r>
      <w:r w:rsidR="003C04B6" w:rsidRPr="003C403F">
        <w:rPr>
          <w:rFonts w:asciiTheme="minorHAnsi" w:hAnsiTheme="minorHAnsi" w:cstheme="minorHAnsi"/>
          <w:lang w:val="en-US"/>
        </w:rPr>
        <w:t xml:space="preserve"> </w:t>
      </w:r>
      <w:r w:rsidR="003C403F" w:rsidRPr="003C403F">
        <w:rPr>
          <w:rFonts w:asciiTheme="minorHAnsi" w:hAnsiTheme="minorHAnsi" w:cstheme="minorHAnsi"/>
          <w:lang w:val="en-US"/>
        </w:rPr>
        <w:t>T</w:t>
      </w:r>
      <w:r w:rsidR="00DA7D79" w:rsidRPr="003C403F">
        <w:rPr>
          <w:rFonts w:asciiTheme="minorHAnsi" w:hAnsiTheme="minorHAnsi" w:cstheme="minorHAnsi"/>
          <w:lang w:val="en-US"/>
        </w:rPr>
        <w:t xml:space="preserve">he </w:t>
      </w:r>
      <w:r w:rsidR="00637175">
        <w:rPr>
          <w:rFonts w:asciiTheme="minorHAnsi" w:hAnsiTheme="minorHAnsi" w:cstheme="minorHAnsi"/>
          <w:lang w:val="en-US"/>
        </w:rPr>
        <w:t>result was</w:t>
      </w:r>
      <w:r w:rsidR="00DA7D79" w:rsidRPr="003C403F">
        <w:rPr>
          <w:rFonts w:asciiTheme="minorHAnsi" w:hAnsiTheme="minorHAnsi" w:cstheme="minorHAnsi"/>
          <w:lang w:val="en-US"/>
        </w:rPr>
        <w:t xml:space="preserve"> driven</w:t>
      </w:r>
      <w:r w:rsidR="004D45B1" w:rsidRPr="003C403F">
        <w:rPr>
          <w:rFonts w:asciiTheme="minorHAnsi" w:hAnsiTheme="minorHAnsi" w:cstheme="minorHAnsi"/>
          <w:lang w:val="en-US"/>
        </w:rPr>
        <w:t xml:space="preserve"> by a number of factors:</w:t>
      </w:r>
      <w:r w:rsidR="004E3A45" w:rsidRPr="003C403F">
        <w:rPr>
          <w:rFonts w:asciiTheme="minorHAnsi" w:hAnsiTheme="minorHAnsi" w:cstheme="minorHAnsi"/>
          <w:lang w:val="en-US"/>
        </w:rPr>
        <w:t xml:space="preserve"> </w:t>
      </w:r>
      <w:r w:rsidR="003C403F" w:rsidRPr="003C403F">
        <w:rPr>
          <w:rFonts w:asciiTheme="minorHAnsi" w:hAnsiTheme="minorHAnsi" w:cstheme="minorHAnsi"/>
          <w:lang w:val="en-US"/>
        </w:rPr>
        <w:t>lower</w:t>
      </w:r>
      <w:r w:rsidR="00EC2899" w:rsidRPr="003C403F">
        <w:rPr>
          <w:rFonts w:asciiTheme="minorHAnsi" w:hAnsiTheme="minorHAnsi" w:cstheme="minorHAnsi"/>
          <w:lang w:val="en-US"/>
        </w:rPr>
        <w:t xml:space="preserve"> Brent price, </w:t>
      </w:r>
      <w:r w:rsidR="00637175">
        <w:rPr>
          <w:rFonts w:asciiTheme="minorHAnsi" w:hAnsiTheme="minorHAnsi" w:cstheme="minorHAnsi"/>
          <w:lang w:val="en-US"/>
        </w:rPr>
        <w:t>decreased gasoline and LPG crack spreads and slightly higher diesel crack spread.</w:t>
      </w:r>
      <w:r w:rsidR="005B138F" w:rsidRPr="00605A54">
        <w:rPr>
          <w:rFonts w:asciiTheme="minorHAnsi" w:hAnsiTheme="minorHAnsi" w:cstheme="minorHAnsi"/>
          <w:lang w:val="en-US"/>
        </w:rPr>
        <w:t xml:space="preserve"> </w:t>
      </w:r>
      <w:r w:rsidR="009C7DE1">
        <w:rPr>
          <w:rFonts w:asciiTheme="minorHAnsi" w:hAnsiTheme="minorHAnsi" w:cstheme="minorHAnsi"/>
          <w:lang w:val="en-US"/>
        </w:rPr>
        <w:t>Furthermore, l</w:t>
      </w:r>
      <w:r w:rsidR="009C7DE1" w:rsidRPr="009C7DE1">
        <w:rPr>
          <w:rFonts w:asciiTheme="minorHAnsi" w:hAnsiTheme="minorHAnsi" w:cstheme="minorHAnsi"/>
          <w:lang w:val="en-US"/>
        </w:rPr>
        <w:t>ower process</w:t>
      </w:r>
      <w:r w:rsidR="009C7DE1">
        <w:rPr>
          <w:rFonts w:asciiTheme="minorHAnsi" w:hAnsiTheme="minorHAnsi" w:cstheme="minorHAnsi"/>
          <w:lang w:val="en-US"/>
        </w:rPr>
        <w:t>ing due to the Rijeka Refinery t</w:t>
      </w:r>
      <w:r w:rsidR="009C7DE1" w:rsidRPr="009C7DE1">
        <w:rPr>
          <w:rFonts w:asciiTheme="minorHAnsi" w:hAnsiTheme="minorHAnsi" w:cstheme="minorHAnsi"/>
          <w:lang w:val="en-US"/>
        </w:rPr>
        <w:t>urnaround</w:t>
      </w:r>
      <w:r w:rsidR="009C7DE1">
        <w:rPr>
          <w:rFonts w:asciiTheme="minorHAnsi" w:hAnsiTheme="minorHAnsi" w:cstheme="minorHAnsi"/>
          <w:lang w:val="en-US"/>
        </w:rPr>
        <w:t>, increased wholesale volumes and decreased sales of fuel oil on export markets also affected the result.</w:t>
      </w:r>
      <w:r w:rsidR="009C7DE1" w:rsidRPr="009C7DE1">
        <w:rPr>
          <w:rFonts w:asciiTheme="minorHAnsi" w:hAnsiTheme="minorHAnsi" w:cstheme="minorHAnsi"/>
          <w:lang w:val="en-US"/>
        </w:rPr>
        <w:t xml:space="preserve"> </w:t>
      </w:r>
      <w:r w:rsidR="005B138F" w:rsidRPr="00605A54">
        <w:rPr>
          <w:rFonts w:asciiTheme="minorHAnsi" w:hAnsiTheme="minorHAnsi" w:cstheme="minorHAnsi"/>
          <w:lang w:val="en-US"/>
        </w:rPr>
        <w:t>T</w:t>
      </w:r>
      <w:r w:rsidR="00EC2899" w:rsidRPr="00605A54">
        <w:rPr>
          <w:rFonts w:asciiTheme="minorHAnsi" w:hAnsiTheme="minorHAnsi" w:cstheme="minorHAnsi"/>
          <w:lang w:val="en-US"/>
        </w:rPr>
        <w:t>otal retail sales volumes</w:t>
      </w:r>
      <w:r w:rsidR="00830AFD" w:rsidRPr="00605A54">
        <w:rPr>
          <w:rFonts w:asciiTheme="minorHAnsi" w:hAnsiTheme="minorHAnsi" w:cstheme="minorHAnsi"/>
          <w:lang w:val="en-US"/>
        </w:rPr>
        <w:t xml:space="preserve"> </w:t>
      </w:r>
      <w:r w:rsidR="00433EFF" w:rsidRPr="00605A54">
        <w:rPr>
          <w:rFonts w:asciiTheme="minorHAnsi" w:hAnsiTheme="minorHAnsi" w:cstheme="minorHAnsi"/>
          <w:lang w:val="en-US"/>
        </w:rPr>
        <w:t xml:space="preserve">at </w:t>
      </w:r>
      <w:r w:rsidR="00637175">
        <w:rPr>
          <w:rFonts w:asciiTheme="minorHAnsi" w:hAnsiTheme="minorHAnsi" w:cstheme="minorHAnsi"/>
          <w:lang w:val="en-US"/>
        </w:rPr>
        <w:t>502</w:t>
      </w:r>
      <w:r w:rsidR="00433EFF" w:rsidRPr="00605A54">
        <w:rPr>
          <w:rFonts w:asciiTheme="minorHAnsi" w:hAnsiTheme="minorHAnsi" w:cstheme="minorHAnsi"/>
          <w:lang w:val="en-US"/>
        </w:rPr>
        <w:t xml:space="preserve"> </w:t>
      </w:r>
      <w:proofErr w:type="spellStart"/>
      <w:r w:rsidR="00433EFF" w:rsidRPr="00605A54">
        <w:rPr>
          <w:rFonts w:asciiTheme="minorHAnsi" w:hAnsiTheme="minorHAnsi" w:cstheme="minorHAnsi"/>
          <w:lang w:val="en-US"/>
        </w:rPr>
        <w:t>kt</w:t>
      </w:r>
      <w:proofErr w:type="spellEnd"/>
      <w:r w:rsidR="00770339" w:rsidRPr="00605A54">
        <w:rPr>
          <w:rFonts w:asciiTheme="minorHAnsi" w:hAnsiTheme="minorHAnsi" w:cstheme="minorHAnsi"/>
          <w:lang w:val="en-US"/>
        </w:rPr>
        <w:t xml:space="preserve"> </w:t>
      </w:r>
      <w:r w:rsidR="00433EFF" w:rsidRPr="00605A54">
        <w:rPr>
          <w:rFonts w:asciiTheme="minorHAnsi" w:hAnsiTheme="minorHAnsi" w:cstheme="minorHAnsi"/>
          <w:lang w:val="en-US"/>
        </w:rPr>
        <w:t>improved</w:t>
      </w:r>
      <w:r w:rsidR="00770339" w:rsidRPr="00605A54">
        <w:rPr>
          <w:rFonts w:asciiTheme="minorHAnsi" w:hAnsiTheme="minorHAnsi" w:cstheme="minorHAnsi"/>
          <w:lang w:val="en-US"/>
        </w:rPr>
        <w:t xml:space="preserve"> </w:t>
      </w:r>
      <w:r w:rsidR="00637175">
        <w:rPr>
          <w:rFonts w:asciiTheme="minorHAnsi" w:hAnsiTheme="minorHAnsi" w:cstheme="minorHAnsi"/>
          <w:lang w:val="en-US"/>
        </w:rPr>
        <w:t>by 4</w:t>
      </w:r>
      <w:r w:rsidR="008A4B71">
        <w:rPr>
          <w:rFonts w:asciiTheme="minorHAnsi" w:hAnsiTheme="minorHAnsi" w:cstheme="minorHAnsi"/>
          <w:lang w:val="en-US"/>
        </w:rPr>
        <w:t xml:space="preserve">% </w:t>
      </w:r>
      <w:r w:rsidR="00770339" w:rsidRPr="00605A54">
        <w:rPr>
          <w:rFonts w:asciiTheme="minorHAnsi" w:hAnsiTheme="minorHAnsi" w:cstheme="minorHAnsi"/>
          <w:lang w:val="en-US"/>
        </w:rPr>
        <w:t>compared to the same period in 201</w:t>
      </w:r>
      <w:r w:rsidR="00605A54" w:rsidRPr="00605A54">
        <w:rPr>
          <w:rFonts w:asciiTheme="minorHAnsi" w:hAnsiTheme="minorHAnsi" w:cstheme="minorHAnsi"/>
          <w:lang w:val="en-US"/>
        </w:rPr>
        <w:t>8</w:t>
      </w:r>
      <w:r w:rsidR="00EC2899" w:rsidRPr="00605A54">
        <w:rPr>
          <w:rFonts w:asciiTheme="minorHAnsi" w:hAnsiTheme="minorHAnsi" w:cstheme="minorHAnsi"/>
          <w:lang w:val="en-US"/>
        </w:rPr>
        <w:t xml:space="preserve">, </w:t>
      </w:r>
      <w:r w:rsidR="006D3051" w:rsidRPr="00605A54">
        <w:rPr>
          <w:rFonts w:asciiTheme="minorHAnsi" w:hAnsiTheme="minorHAnsi" w:cstheme="minorHAnsi"/>
          <w:lang w:val="en-US"/>
        </w:rPr>
        <w:t xml:space="preserve">with a significant contribution </w:t>
      </w:r>
      <w:r w:rsidR="0095296E">
        <w:rPr>
          <w:rFonts w:asciiTheme="minorHAnsi" w:hAnsiTheme="minorHAnsi" w:cstheme="minorHAnsi"/>
          <w:lang w:val="en-US"/>
        </w:rPr>
        <w:t xml:space="preserve">from Croatian and </w:t>
      </w:r>
      <w:r w:rsidR="00CB5090">
        <w:rPr>
          <w:rFonts w:asciiTheme="minorHAnsi" w:hAnsiTheme="minorHAnsi" w:cstheme="minorHAnsi"/>
          <w:lang w:val="en-US"/>
        </w:rPr>
        <w:t xml:space="preserve">Montenegrin </w:t>
      </w:r>
      <w:r w:rsidR="0095296E">
        <w:rPr>
          <w:rFonts w:asciiTheme="minorHAnsi" w:hAnsiTheme="minorHAnsi" w:cstheme="minorHAnsi"/>
          <w:lang w:val="en-US"/>
        </w:rPr>
        <w:t>markets</w:t>
      </w:r>
      <w:r w:rsidR="006D3051" w:rsidRPr="00605A54">
        <w:rPr>
          <w:rFonts w:asciiTheme="minorHAnsi" w:hAnsiTheme="minorHAnsi" w:cstheme="minorHAnsi"/>
          <w:lang w:val="en-US"/>
        </w:rPr>
        <w:t xml:space="preserve">. </w:t>
      </w:r>
    </w:p>
    <w:p w14:paraId="4A714DA9" w14:textId="2D53627D" w:rsidR="00A82D0E" w:rsidRDefault="003C04B6" w:rsidP="00294AD2">
      <w:pPr>
        <w:spacing w:line="360" w:lineRule="auto"/>
        <w:jc w:val="both"/>
        <w:rPr>
          <w:rFonts w:asciiTheme="minorHAnsi" w:hAnsiTheme="minorHAnsi" w:cstheme="minorHAnsi"/>
          <w:lang w:val="en-US"/>
        </w:rPr>
      </w:pPr>
      <w:r w:rsidRPr="00605A54">
        <w:rPr>
          <w:rFonts w:asciiTheme="minorHAnsi" w:hAnsiTheme="minorHAnsi" w:cstheme="minorHAnsi"/>
          <w:lang w:val="en-US"/>
        </w:rPr>
        <w:t xml:space="preserve">Total CAPEX </w:t>
      </w:r>
      <w:r w:rsidR="0095296E">
        <w:rPr>
          <w:rFonts w:asciiTheme="minorHAnsi" w:hAnsiTheme="minorHAnsi" w:cstheme="minorHAnsi"/>
          <w:lang w:val="en-US"/>
        </w:rPr>
        <w:t xml:space="preserve">increased by 261% and </w:t>
      </w:r>
      <w:r w:rsidRPr="00605A54">
        <w:rPr>
          <w:rFonts w:asciiTheme="minorHAnsi" w:hAnsiTheme="minorHAnsi" w:cstheme="minorHAnsi"/>
          <w:lang w:val="en-US"/>
        </w:rPr>
        <w:t xml:space="preserve">amounted to HRK </w:t>
      </w:r>
      <w:r w:rsidR="0095296E">
        <w:rPr>
          <w:rFonts w:asciiTheme="minorHAnsi" w:hAnsiTheme="minorHAnsi" w:cstheme="minorHAnsi"/>
          <w:lang w:val="en-US"/>
        </w:rPr>
        <w:t>845</w:t>
      </w:r>
      <w:r w:rsidRPr="00605A54">
        <w:rPr>
          <w:rFonts w:asciiTheme="minorHAnsi" w:hAnsiTheme="minorHAnsi" w:cstheme="minorHAnsi"/>
          <w:lang w:val="en-US"/>
        </w:rPr>
        <w:t xml:space="preserve"> million</w:t>
      </w:r>
      <w:r w:rsidR="00605A54" w:rsidRPr="00605A54">
        <w:rPr>
          <w:rFonts w:asciiTheme="minorHAnsi" w:hAnsiTheme="minorHAnsi" w:cstheme="minorHAnsi"/>
          <w:lang w:val="en-US"/>
        </w:rPr>
        <w:t xml:space="preserve">; </w:t>
      </w:r>
      <w:r w:rsidRPr="00605A54">
        <w:rPr>
          <w:rFonts w:asciiTheme="minorHAnsi" w:hAnsiTheme="minorHAnsi" w:cstheme="minorHAnsi"/>
          <w:lang w:val="en-US"/>
        </w:rPr>
        <w:t xml:space="preserve">HRK </w:t>
      </w:r>
      <w:r w:rsidR="0095296E">
        <w:rPr>
          <w:rFonts w:asciiTheme="minorHAnsi" w:hAnsiTheme="minorHAnsi" w:cstheme="minorHAnsi"/>
          <w:lang w:val="en-US"/>
        </w:rPr>
        <w:t>722</w:t>
      </w:r>
      <w:r w:rsidR="00A15FE3" w:rsidRPr="00605A54">
        <w:rPr>
          <w:rFonts w:asciiTheme="minorHAnsi" w:hAnsiTheme="minorHAnsi" w:cstheme="minorHAnsi"/>
          <w:lang w:val="en-US"/>
        </w:rPr>
        <w:t xml:space="preserve"> </w:t>
      </w:r>
      <w:r w:rsidRPr="00605A54">
        <w:rPr>
          <w:rFonts w:asciiTheme="minorHAnsi" w:hAnsiTheme="minorHAnsi" w:cstheme="minorHAnsi"/>
          <w:lang w:val="en-US"/>
        </w:rPr>
        <w:t>million in R&amp;M</w:t>
      </w:r>
      <w:r w:rsidR="00605A54" w:rsidRPr="00605A54">
        <w:rPr>
          <w:rFonts w:asciiTheme="minorHAnsi" w:hAnsiTheme="minorHAnsi" w:cstheme="minorHAnsi"/>
          <w:lang w:val="en-US"/>
        </w:rPr>
        <w:t>, mainly driven by Rijeka Refinery turnaround,</w:t>
      </w:r>
      <w:r w:rsidRPr="00605A54">
        <w:rPr>
          <w:rFonts w:asciiTheme="minorHAnsi" w:hAnsiTheme="minorHAnsi" w:cstheme="minorHAnsi"/>
          <w:lang w:val="en-US"/>
        </w:rPr>
        <w:t xml:space="preserve"> and HRK </w:t>
      </w:r>
      <w:r w:rsidR="0095296E">
        <w:rPr>
          <w:rFonts w:asciiTheme="minorHAnsi" w:hAnsiTheme="minorHAnsi" w:cstheme="minorHAnsi"/>
          <w:lang w:val="en-US"/>
        </w:rPr>
        <w:t>123</w:t>
      </w:r>
      <w:r w:rsidR="00A15FE3" w:rsidRPr="00605A54">
        <w:rPr>
          <w:rFonts w:asciiTheme="minorHAnsi" w:hAnsiTheme="minorHAnsi" w:cstheme="minorHAnsi"/>
          <w:lang w:val="en-US"/>
        </w:rPr>
        <w:t xml:space="preserve"> </w:t>
      </w:r>
      <w:r w:rsidRPr="00605A54">
        <w:rPr>
          <w:rFonts w:asciiTheme="minorHAnsi" w:hAnsiTheme="minorHAnsi" w:cstheme="minorHAnsi"/>
          <w:lang w:val="en-US"/>
        </w:rPr>
        <w:t xml:space="preserve">million in </w:t>
      </w:r>
      <w:r w:rsidR="00FD13E8">
        <w:rPr>
          <w:rFonts w:asciiTheme="minorHAnsi" w:hAnsiTheme="minorHAnsi" w:cstheme="minorHAnsi"/>
          <w:lang w:val="en-US"/>
        </w:rPr>
        <w:t>Consumer Services and Retail</w:t>
      </w:r>
      <w:r w:rsidR="009C7DE1">
        <w:rPr>
          <w:rFonts w:asciiTheme="minorHAnsi" w:hAnsiTheme="minorHAnsi" w:cstheme="minorHAnsi"/>
          <w:lang w:val="en-US"/>
        </w:rPr>
        <w:t xml:space="preserve"> driven by various investment projects</w:t>
      </w:r>
      <w:r w:rsidR="00071178">
        <w:rPr>
          <w:rFonts w:asciiTheme="minorHAnsi" w:hAnsiTheme="minorHAnsi" w:cstheme="minorHAnsi"/>
          <w:lang w:val="en-US"/>
        </w:rPr>
        <w:t xml:space="preserve"> and expanding the non-fuel offer in line with the Fresh </w:t>
      </w:r>
      <w:r w:rsidR="005F73E4">
        <w:rPr>
          <w:rFonts w:asciiTheme="minorHAnsi" w:hAnsiTheme="minorHAnsi" w:cstheme="minorHAnsi"/>
          <w:lang w:val="en-US"/>
        </w:rPr>
        <w:t>C</w:t>
      </w:r>
      <w:r w:rsidR="00071178">
        <w:rPr>
          <w:rFonts w:asciiTheme="minorHAnsi" w:hAnsiTheme="minorHAnsi" w:cstheme="minorHAnsi"/>
          <w:lang w:val="en-US"/>
        </w:rPr>
        <w:t>orner concept</w:t>
      </w:r>
      <w:r w:rsidR="0095296E">
        <w:rPr>
          <w:rFonts w:asciiTheme="minorHAnsi" w:hAnsiTheme="minorHAnsi" w:cstheme="minorHAnsi"/>
          <w:lang w:val="en-US"/>
        </w:rPr>
        <w:t xml:space="preserve">. </w:t>
      </w:r>
    </w:p>
    <w:p w14:paraId="48783459" w14:textId="77BD36B7" w:rsidR="003C04B6" w:rsidRPr="00B25400" w:rsidRDefault="0095296E" w:rsidP="00294AD2">
      <w:pPr>
        <w:spacing w:line="360" w:lineRule="auto"/>
        <w:jc w:val="both"/>
        <w:rPr>
          <w:rFonts w:asciiTheme="minorHAnsi" w:hAnsiTheme="minorHAnsi" w:cstheme="minorHAnsi"/>
          <w:lang w:val="en-US"/>
        </w:rPr>
      </w:pPr>
      <w:r>
        <w:rPr>
          <w:rFonts w:asciiTheme="minorHAnsi" w:hAnsiTheme="minorHAnsi" w:cstheme="minorHAnsi"/>
          <w:lang w:val="en-US"/>
        </w:rPr>
        <w:t>On June</w:t>
      </w:r>
      <w:r w:rsidR="003C04B6" w:rsidRPr="00605A54">
        <w:rPr>
          <w:rFonts w:asciiTheme="minorHAnsi" w:hAnsiTheme="minorHAnsi" w:cstheme="minorHAnsi"/>
          <w:lang w:val="en-US"/>
        </w:rPr>
        <w:t xml:space="preserve"> 3</w:t>
      </w:r>
      <w:r>
        <w:rPr>
          <w:rFonts w:asciiTheme="minorHAnsi" w:hAnsiTheme="minorHAnsi" w:cstheme="minorHAnsi"/>
          <w:lang w:val="en-US"/>
        </w:rPr>
        <w:t>0</w:t>
      </w:r>
      <w:r w:rsidR="003C04B6" w:rsidRPr="00605A54">
        <w:rPr>
          <w:rFonts w:asciiTheme="minorHAnsi" w:hAnsiTheme="minorHAnsi" w:cstheme="minorHAnsi"/>
          <w:lang w:val="en-US"/>
        </w:rPr>
        <w:t>, 201</w:t>
      </w:r>
      <w:r w:rsidR="00605A54" w:rsidRPr="00605A54">
        <w:rPr>
          <w:rFonts w:asciiTheme="minorHAnsi" w:hAnsiTheme="minorHAnsi" w:cstheme="minorHAnsi"/>
          <w:lang w:val="en-US"/>
        </w:rPr>
        <w:t>9</w:t>
      </w:r>
      <w:r w:rsidR="003C04B6" w:rsidRPr="00605A54">
        <w:rPr>
          <w:rFonts w:asciiTheme="minorHAnsi" w:hAnsiTheme="minorHAnsi" w:cstheme="minorHAnsi"/>
          <w:lang w:val="en-US"/>
        </w:rPr>
        <w:t xml:space="preserve">, INA Group operated a network of </w:t>
      </w:r>
      <w:r>
        <w:rPr>
          <w:rFonts w:asciiTheme="minorHAnsi" w:hAnsiTheme="minorHAnsi" w:cstheme="minorHAnsi"/>
          <w:lang w:val="en-US"/>
        </w:rPr>
        <w:t>507</w:t>
      </w:r>
      <w:r w:rsidR="003C04B6" w:rsidRPr="00605A54">
        <w:rPr>
          <w:rFonts w:asciiTheme="minorHAnsi" w:hAnsiTheme="minorHAnsi" w:cstheme="minorHAnsi"/>
          <w:lang w:val="en-US"/>
        </w:rPr>
        <w:t xml:space="preserve"> </w:t>
      </w:r>
      <w:r w:rsidR="004B4119" w:rsidRPr="00605A54">
        <w:rPr>
          <w:rFonts w:asciiTheme="minorHAnsi" w:hAnsiTheme="minorHAnsi" w:cstheme="minorHAnsi"/>
          <w:lang w:val="en-US"/>
        </w:rPr>
        <w:t>service stations</w:t>
      </w:r>
      <w:r w:rsidR="003C04B6" w:rsidRPr="00605A54">
        <w:rPr>
          <w:rFonts w:asciiTheme="minorHAnsi" w:hAnsiTheme="minorHAnsi" w:cstheme="minorHAnsi"/>
          <w:lang w:val="en-US"/>
        </w:rPr>
        <w:t>.</w:t>
      </w:r>
    </w:p>
    <w:p w14:paraId="481F8649" w14:textId="77777777" w:rsidR="003811E1" w:rsidRPr="00B25400" w:rsidRDefault="003811E1" w:rsidP="0063068C">
      <w:pPr>
        <w:spacing w:line="360" w:lineRule="auto"/>
        <w:rPr>
          <w:rFonts w:asciiTheme="minorHAnsi" w:hAnsiTheme="minorHAnsi" w:cstheme="minorHAnsi"/>
          <w:lang w:val="en-US"/>
        </w:rPr>
      </w:pPr>
    </w:p>
    <w:p w14:paraId="1908E8C7" w14:textId="77777777" w:rsidR="00B234FD" w:rsidRDefault="00B234FD" w:rsidP="00770339">
      <w:pPr>
        <w:spacing w:line="360" w:lineRule="auto"/>
        <w:jc w:val="center"/>
        <w:rPr>
          <w:rFonts w:asciiTheme="minorHAnsi" w:hAnsiTheme="minorHAnsi" w:cstheme="minorHAnsi"/>
          <w:noProof/>
          <w:lang w:eastAsia="hr-HR"/>
        </w:rPr>
      </w:pPr>
    </w:p>
    <w:p w14:paraId="7C6F732F" w14:textId="3D3680AC" w:rsidR="006F1D47" w:rsidRPr="0095296E" w:rsidRDefault="00FC5DF2" w:rsidP="00770339">
      <w:pPr>
        <w:spacing w:line="360" w:lineRule="auto"/>
        <w:jc w:val="center"/>
        <w:rPr>
          <w:rFonts w:asciiTheme="minorHAnsi" w:hAnsiTheme="minorHAnsi" w:cstheme="minorHAnsi"/>
          <w:noProof/>
          <w:highlight w:val="yellow"/>
          <w:lang w:eastAsia="hr-HR"/>
        </w:rPr>
      </w:pPr>
      <w:r w:rsidRPr="00FC5DF2">
        <w:rPr>
          <w:noProof/>
          <w:lang w:eastAsia="hr-HR"/>
        </w:rPr>
        <w:t xml:space="preserve"> </w:t>
      </w:r>
      <w:r w:rsidR="009F4534" w:rsidRPr="009F4534">
        <w:rPr>
          <w:noProof/>
          <w:lang w:eastAsia="hr-HR"/>
        </w:rPr>
        <w:drawing>
          <wp:inline distT="0" distB="0" distL="0" distR="0" wp14:anchorId="043C23C9" wp14:editId="0B57AA8C">
            <wp:extent cx="2987040" cy="232918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7040" cy="2329180"/>
                    </a:xfrm>
                    <a:prstGeom prst="rect">
                      <a:avLst/>
                    </a:prstGeom>
                    <a:noFill/>
                  </pic:spPr>
                </pic:pic>
              </a:graphicData>
            </a:graphic>
          </wp:inline>
        </w:drawing>
      </w:r>
    </w:p>
    <w:p w14:paraId="5AA2DC04" w14:textId="77777777" w:rsidR="006F1D47" w:rsidRPr="0095296E" w:rsidRDefault="006F1D47" w:rsidP="00FE27FA">
      <w:pPr>
        <w:spacing w:line="360" w:lineRule="auto"/>
        <w:rPr>
          <w:rFonts w:asciiTheme="minorHAnsi" w:hAnsiTheme="minorHAnsi" w:cstheme="minorHAnsi"/>
          <w:noProof/>
          <w:highlight w:val="yellow"/>
          <w:lang w:eastAsia="hr-HR"/>
        </w:rPr>
      </w:pPr>
    </w:p>
    <w:p w14:paraId="6CBF2CA4" w14:textId="77777777" w:rsidR="00C37C82" w:rsidRPr="0095296E" w:rsidRDefault="00C37C82" w:rsidP="00770339">
      <w:pPr>
        <w:spacing w:line="360" w:lineRule="auto"/>
        <w:jc w:val="center"/>
        <w:rPr>
          <w:rFonts w:asciiTheme="minorHAnsi" w:hAnsiTheme="minorHAnsi" w:cstheme="minorHAnsi"/>
          <w:noProof/>
          <w:highlight w:val="yellow"/>
          <w:lang w:eastAsia="hr-HR"/>
        </w:rPr>
      </w:pPr>
    </w:p>
    <w:p w14:paraId="34DF6EBA" w14:textId="788E0597" w:rsidR="006F1D47" w:rsidRDefault="009F4534" w:rsidP="00770339">
      <w:pPr>
        <w:spacing w:line="360" w:lineRule="auto"/>
        <w:jc w:val="center"/>
        <w:rPr>
          <w:rFonts w:asciiTheme="minorHAnsi" w:hAnsiTheme="minorHAnsi" w:cstheme="minorHAnsi"/>
          <w:noProof/>
          <w:lang w:eastAsia="hr-HR"/>
        </w:rPr>
      </w:pPr>
      <w:r>
        <w:rPr>
          <w:rFonts w:asciiTheme="minorHAnsi" w:hAnsiTheme="minorHAnsi" w:cstheme="minorHAnsi"/>
          <w:noProof/>
          <w:lang w:eastAsia="hr-HR"/>
        </w:rPr>
        <w:drawing>
          <wp:inline distT="0" distB="0" distL="0" distR="0" wp14:anchorId="45180F74" wp14:editId="2E57C785">
            <wp:extent cx="2987040" cy="2334895"/>
            <wp:effectExtent l="0" t="0" r="381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7040" cy="2334895"/>
                    </a:xfrm>
                    <a:prstGeom prst="rect">
                      <a:avLst/>
                    </a:prstGeom>
                    <a:noFill/>
                  </pic:spPr>
                </pic:pic>
              </a:graphicData>
            </a:graphic>
          </wp:inline>
        </w:drawing>
      </w:r>
    </w:p>
    <w:p w14:paraId="553F79DC" w14:textId="77777777" w:rsidR="00C37C82" w:rsidRPr="00B25400" w:rsidRDefault="00C37C82" w:rsidP="00770339">
      <w:pPr>
        <w:spacing w:line="360" w:lineRule="auto"/>
        <w:jc w:val="center"/>
        <w:rPr>
          <w:rFonts w:asciiTheme="minorHAnsi" w:hAnsiTheme="minorHAnsi" w:cstheme="minorHAnsi"/>
          <w:noProof/>
          <w:lang w:eastAsia="hr-HR"/>
        </w:rPr>
      </w:pPr>
    </w:p>
    <w:p w14:paraId="7D207C85" w14:textId="77777777" w:rsidR="00C37C82" w:rsidRPr="00B25400" w:rsidRDefault="00C37C82" w:rsidP="00594C4A">
      <w:pPr>
        <w:spacing w:line="360" w:lineRule="auto"/>
        <w:jc w:val="center"/>
        <w:rPr>
          <w:rFonts w:asciiTheme="minorHAnsi" w:hAnsiTheme="minorHAnsi" w:cstheme="minorHAnsi"/>
          <w:lang w:val="en-US"/>
        </w:rPr>
      </w:pPr>
    </w:p>
    <w:bookmarkEnd w:id="1"/>
    <w:p w14:paraId="173639EA" w14:textId="77777777" w:rsidR="006F1D47" w:rsidRPr="00B25400" w:rsidRDefault="006F1D47" w:rsidP="003811E1">
      <w:pPr>
        <w:spacing w:line="360" w:lineRule="auto"/>
        <w:jc w:val="center"/>
        <w:rPr>
          <w:rFonts w:asciiTheme="minorHAnsi" w:hAnsiTheme="minorHAnsi" w:cstheme="minorHAnsi"/>
          <w:lang w:val="en-US"/>
        </w:rPr>
      </w:pPr>
    </w:p>
    <w:p w14:paraId="402727DA" w14:textId="77777777" w:rsidR="000A1EBF" w:rsidRPr="0009057C" w:rsidRDefault="000A1EBF" w:rsidP="004D5CEC">
      <w:pPr>
        <w:spacing w:line="360" w:lineRule="auto"/>
        <w:rPr>
          <w:rFonts w:asciiTheme="minorHAnsi" w:hAnsiTheme="minorHAnsi" w:cstheme="minorHAnsi"/>
          <w:lang w:val="en-US"/>
        </w:rPr>
      </w:pPr>
    </w:p>
    <w:sectPr w:rsidR="000A1EBF" w:rsidRPr="0009057C" w:rsidSect="004712BC">
      <w:headerReference w:type="default" r:id="rId19"/>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6933" w14:textId="77777777" w:rsidR="00D7491A" w:rsidRDefault="00D7491A" w:rsidP="00E11167">
      <w:r>
        <w:separator/>
      </w:r>
    </w:p>
  </w:endnote>
  <w:endnote w:type="continuationSeparator" w:id="0">
    <w:p w14:paraId="4DFF6FB0" w14:textId="77777777" w:rsidR="00D7491A" w:rsidRDefault="00D7491A"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F0147C" w:rsidRPr="00CD53EE" w14:paraId="3D0F241E" w14:textId="77777777" w:rsidTr="00CF667A">
      <w:trPr>
        <w:cantSplit/>
        <w:trHeight w:val="517"/>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F0147C" w:rsidRPr="00CD53EE" w14:paraId="472D8062" w14:textId="77777777" w:rsidTr="00CF667A">
            <w:trPr>
              <w:cantSplit/>
              <w:trHeight w:val="181"/>
            </w:trPr>
            <w:tc>
              <w:tcPr>
                <w:tcW w:w="1998" w:type="dxa"/>
                <w:vMerge w:val="restart"/>
                <w:tcBorders>
                  <w:top w:val="single" w:sz="4" w:space="0" w:color="auto"/>
                  <w:left w:val="nil"/>
                  <w:right w:val="nil"/>
                </w:tcBorders>
              </w:tcPr>
              <w:p w14:paraId="123A49FD" w14:textId="77777777" w:rsidR="00F0147C" w:rsidRPr="00E22D6A" w:rsidRDefault="00F0147C" w:rsidP="00F0147C">
                <w:pPr>
                  <w:pStyle w:val="Footer"/>
                  <w:spacing w:before="20" w:after="20"/>
                  <w:rPr>
                    <w:rFonts w:cs="Arial"/>
                    <w:b/>
                    <w:bCs/>
                    <w:sz w:val="14"/>
                    <w:szCs w:val="14"/>
                  </w:rPr>
                </w:pPr>
                <w:r w:rsidRPr="00E22D6A">
                  <w:rPr>
                    <w:rFonts w:cs="Arial"/>
                    <w:b/>
                    <w:bCs/>
                    <w:sz w:val="14"/>
                    <w:szCs w:val="14"/>
                  </w:rPr>
                  <w:t>INA, d.d.</w:t>
                </w:r>
              </w:p>
              <w:p w14:paraId="613520E3" w14:textId="77777777" w:rsidR="00F0147C" w:rsidRPr="00126238" w:rsidRDefault="00F0147C" w:rsidP="00F0147C">
                <w:pPr>
                  <w:pStyle w:val="Footer"/>
                  <w:rPr>
                    <w:rFonts w:cs="Arial"/>
                    <w:sz w:val="11"/>
                    <w:szCs w:val="11"/>
                  </w:rPr>
                </w:pPr>
                <w:r w:rsidRPr="00126238">
                  <w:rPr>
                    <w:rFonts w:cs="Arial"/>
                    <w:sz w:val="11"/>
                    <w:szCs w:val="11"/>
                  </w:rPr>
                  <w:t xml:space="preserve">Avenija Većeslava Holjevca 10 </w:t>
                </w:r>
              </w:p>
              <w:p w14:paraId="4E3B8439" w14:textId="77777777" w:rsidR="00F0147C" w:rsidRPr="00126238" w:rsidRDefault="00F0147C" w:rsidP="00F0147C">
                <w:pPr>
                  <w:pStyle w:val="Footer"/>
                  <w:rPr>
                    <w:rFonts w:cs="Arial"/>
                    <w:sz w:val="11"/>
                    <w:szCs w:val="11"/>
                  </w:rPr>
                </w:pPr>
                <w:r>
                  <w:rPr>
                    <w:rFonts w:cs="Arial"/>
                    <w:sz w:val="11"/>
                    <w:szCs w:val="11"/>
                  </w:rPr>
                  <w:t>10 0</w:t>
                </w:r>
                <w:r w:rsidRPr="00126238">
                  <w:rPr>
                    <w:rFonts w:cs="Arial"/>
                    <w:sz w:val="11"/>
                    <w:szCs w:val="11"/>
                  </w:rPr>
                  <w:t>2</w:t>
                </w:r>
                <w:r>
                  <w:rPr>
                    <w:rFonts w:cs="Arial"/>
                    <w:sz w:val="11"/>
                    <w:szCs w:val="11"/>
                  </w:rPr>
                  <w:t>0</w:t>
                </w:r>
                <w:r w:rsidRPr="00126238">
                  <w:rPr>
                    <w:rFonts w:cs="Arial"/>
                    <w:sz w:val="11"/>
                    <w:szCs w:val="11"/>
                  </w:rPr>
                  <w:t xml:space="preserve"> Zagreb    p.p. 555</w:t>
                </w:r>
              </w:p>
              <w:p w14:paraId="5C4C5DCA" w14:textId="77777777" w:rsidR="00F0147C" w:rsidRPr="00126238" w:rsidRDefault="00F0147C" w:rsidP="00F0147C">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78B6FB7A" w14:textId="77777777" w:rsidR="00F0147C" w:rsidRPr="00126238" w:rsidRDefault="00F0147C" w:rsidP="00F0147C">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1EDA6325" w14:textId="77777777" w:rsidR="00F0147C" w:rsidRPr="00CD53EE" w:rsidRDefault="00F0147C" w:rsidP="00F0147C">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3B1A449B" w14:textId="77777777" w:rsidR="00F0147C" w:rsidRPr="00E938AF" w:rsidRDefault="00F0147C" w:rsidP="00F0147C">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79C6B0B1" w14:textId="77777777" w:rsidR="00F0147C" w:rsidRPr="00E938AF" w:rsidRDefault="00F0147C" w:rsidP="00F0147C">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567573F4" w14:textId="77777777" w:rsidR="00F0147C" w:rsidRPr="00E938AF" w:rsidRDefault="00F0147C" w:rsidP="00F0147C">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72EE4901" w14:textId="77777777" w:rsidR="00F0147C" w:rsidRPr="00126238" w:rsidRDefault="00F0147C" w:rsidP="00F0147C">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3A73A4BF" w14:textId="77777777" w:rsidR="00F0147C" w:rsidRPr="00126238" w:rsidRDefault="00F0147C" w:rsidP="00F0147C">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0184171F" w14:textId="77777777" w:rsidR="00F0147C" w:rsidRPr="00126238" w:rsidRDefault="00F0147C" w:rsidP="00F0147C">
                <w:pPr>
                  <w:pStyle w:val="Footer"/>
                  <w:rPr>
                    <w:rFonts w:ascii="Arial Narrow" w:hAnsi="Arial Narrow" w:cs="Arial"/>
                    <w:sz w:val="12"/>
                    <w:szCs w:val="12"/>
                  </w:rPr>
                </w:pPr>
                <w:r w:rsidRPr="00126238">
                  <w:rPr>
                    <w:rFonts w:ascii="Arial Narrow" w:hAnsi="Arial Narrow" w:cs="Arial"/>
                    <w:sz w:val="12"/>
                    <w:szCs w:val="12"/>
                  </w:rPr>
                  <w:t>MBS: 080000604</w:t>
                </w:r>
              </w:p>
              <w:p w14:paraId="4377AAAC" w14:textId="77777777" w:rsidR="00F0147C" w:rsidRPr="00126238" w:rsidRDefault="00F0147C" w:rsidP="00F0147C">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60DB5AFB" w14:textId="77777777" w:rsidR="00F0147C" w:rsidRPr="00126238" w:rsidRDefault="00F0147C" w:rsidP="00F0147C">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5A3E33F6" w14:textId="77777777" w:rsidR="00F0147C" w:rsidRPr="00126238" w:rsidRDefault="00F0147C" w:rsidP="00F0147C">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1F5C49F9" w14:textId="77777777" w:rsidR="00F0147C" w:rsidRPr="00126238" w:rsidRDefault="00F0147C" w:rsidP="00F0147C">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328E949F" w14:textId="77777777" w:rsidR="00F0147C" w:rsidRPr="00126238" w:rsidRDefault="00F0147C" w:rsidP="00F0147C">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22E87653" w14:textId="77777777" w:rsidR="00F0147C" w:rsidRPr="00126238" w:rsidRDefault="00F0147C" w:rsidP="00F0147C">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4B100A78" w14:textId="77777777" w:rsidR="00F0147C" w:rsidRDefault="00F0147C" w:rsidP="00F0147C">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416E7FE6" w14:textId="77777777" w:rsidR="00F0147C" w:rsidRPr="00721675" w:rsidRDefault="00F0147C" w:rsidP="00F0147C">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F0147C" w:rsidRPr="00CD53EE" w14:paraId="42DC4623" w14:textId="77777777" w:rsidTr="00CF667A">
            <w:trPr>
              <w:cantSplit/>
              <w:trHeight w:val="1304"/>
            </w:trPr>
            <w:tc>
              <w:tcPr>
                <w:tcW w:w="1998" w:type="dxa"/>
                <w:vMerge/>
                <w:tcBorders>
                  <w:left w:val="nil"/>
                  <w:bottom w:val="nil"/>
                  <w:right w:val="nil"/>
                </w:tcBorders>
              </w:tcPr>
              <w:p w14:paraId="37A303AC" w14:textId="77777777" w:rsidR="00F0147C" w:rsidRPr="00CD53EE" w:rsidRDefault="00F0147C" w:rsidP="00F0147C">
                <w:pPr>
                  <w:pStyle w:val="Footer"/>
                  <w:rPr>
                    <w:rFonts w:cs="Arial"/>
                    <w:b/>
                    <w:bCs/>
                    <w:sz w:val="11"/>
                    <w:szCs w:val="11"/>
                  </w:rPr>
                </w:pPr>
              </w:p>
            </w:tc>
            <w:tc>
              <w:tcPr>
                <w:tcW w:w="1554" w:type="dxa"/>
                <w:tcBorders>
                  <w:top w:val="nil"/>
                  <w:left w:val="nil"/>
                  <w:bottom w:val="nil"/>
                  <w:right w:val="nil"/>
                </w:tcBorders>
              </w:tcPr>
              <w:p w14:paraId="03D0AFAF" w14:textId="77777777" w:rsidR="00F0147C" w:rsidRPr="00E938AF" w:rsidRDefault="00F0147C" w:rsidP="00F0147C">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77F08A03" w14:textId="77777777" w:rsidR="00F0147C" w:rsidRPr="00E938AF" w:rsidRDefault="00F0147C" w:rsidP="00F0147C">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61EB9331" w14:textId="77777777" w:rsidR="00F0147C" w:rsidRPr="00E938AF" w:rsidRDefault="00F0147C" w:rsidP="00F0147C">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257AB39E" w14:textId="77777777" w:rsidR="00F0147C" w:rsidRPr="00E938AF" w:rsidRDefault="00F0147C" w:rsidP="00F0147C">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6F496EB1" w14:textId="77777777" w:rsidR="00F0147C" w:rsidRPr="00E938AF" w:rsidRDefault="00F0147C" w:rsidP="00F0147C">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6F286247" w14:textId="77777777" w:rsidR="00F0147C" w:rsidRPr="00AC0994" w:rsidRDefault="00F0147C" w:rsidP="00F0147C">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7B4F1FDF" w14:textId="77777777" w:rsidR="00F0147C" w:rsidRDefault="00F0147C" w:rsidP="00F0147C">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2586A560" w14:textId="77777777" w:rsidR="00F0147C" w:rsidRPr="00E938AF" w:rsidRDefault="00F0147C" w:rsidP="00F0147C">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398314FD" w14:textId="77777777" w:rsidR="00F0147C" w:rsidRDefault="00F0147C" w:rsidP="00F0147C">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74C901D4" w14:textId="77777777" w:rsidR="00F0147C" w:rsidRPr="00E938AF" w:rsidRDefault="00F0147C" w:rsidP="00F0147C">
                <w:pPr>
                  <w:pStyle w:val="Footer"/>
                  <w:spacing w:line="216" w:lineRule="auto"/>
                  <w:ind w:left="-108"/>
                  <w:rPr>
                    <w:rFonts w:ascii="Arial Narrow" w:hAnsi="Arial Narrow"/>
                    <w:sz w:val="10"/>
                    <w:szCs w:val="10"/>
                    <w:lang w:bidi="ta-IN"/>
                  </w:rPr>
                </w:pPr>
              </w:p>
              <w:p w14:paraId="5E580CA3" w14:textId="77777777" w:rsidR="00F0147C" w:rsidRDefault="00F0147C" w:rsidP="00F0147C">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72E9B555" w14:textId="77777777" w:rsidR="00F0147C" w:rsidRPr="00E938AF" w:rsidRDefault="00F0147C" w:rsidP="00F0147C">
                <w:pPr>
                  <w:pStyle w:val="Footer"/>
                  <w:spacing w:line="216" w:lineRule="auto"/>
                  <w:ind w:left="-108"/>
                  <w:rPr>
                    <w:rFonts w:ascii="Arial Narrow" w:hAnsi="Arial Narrow"/>
                    <w:sz w:val="10"/>
                    <w:szCs w:val="10"/>
                    <w:lang w:bidi="ta-IN"/>
                  </w:rPr>
                </w:pPr>
              </w:p>
              <w:p w14:paraId="0ADE8235" w14:textId="77777777" w:rsidR="00F0147C" w:rsidRDefault="00F0147C" w:rsidP="00F0147C">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1535D657" w14:textId="77777777" w:rsidR="00F0147C" w:rsidRPr="00E938AF" w:rsidRDefault="00F0147C" w:rsidP="00F0147C">
                <w:pPr>
                  <w:pStyle w:val="Footer"/>
                  <w:spacing w:line="216" w:lineRule="auto"/>
                  <w:ind w:left="-108"/>
                  <w:rPr>
                    <w:rFonts w:ascii="Arial Narrow" w:hAnsi="Arial Narrow"/>
                    <w:sz w:val="10"/>
                    <w:szCs w:val="10"/>
                    <w:lang w:bidi="ta-IN"/>
                  </w:rPr>
                </w:pPr>
              </w:p>
              <w:p w14:paraId="4D6C8C17" w14:textId="77777777" w:rsidR="00F0147C" w:rsidRPr="00126238" w:rsidRDefault="00F0147C" w:rsidP="00F0147C">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584728F1" w14:textId="77777777" w:rsidR="00F0147C" w:rsidRPr="00E938AF" w:rsidRDefault="00F0147C" w:rsidP="00F0147C">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3CFA968B" w14:textId="77777777" w:rsidR="00F0147C" w:rsidRPr="00E938AF" w:rsidRDefault="00F0147C" w:rsidP="00F0147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746E2909" w14:textId="77777777" w:rsidR="00F0147C" w:rsidRPr="00E938AF" w:rsidRDefault="00F0147C" w:rsidP="00F0147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4129369B" w14:textId="77777777" w:rsidR="00F0147C" w:rsidRPr="00E938AF" w:rsidRDefault="00F0147C" w:rsidP="00F0147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6520A75B" w14:textId="77777777" w:rsidR="00F0147C" w:rsidRPr="00E938AF" w:rsidRDefault="00F0147C" w:rsidP="00F0147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30C1401A" w14:textId="77777777" w:rsidR="00F0147C" w:rsidRPr="00AC0994" w:rsidRDefault="00F0147C" w:rsidP="00F0147C">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00C4EA75" w14:textId="77777777" w:rsidR="00F0147C" w:rsidRDefault="00F0147C" w:rsidP="00F0147C">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1D634925" w14:textId="77777777" w:rsidR="00F0147C" w:rsidRDefault="00F0147C" w:rsidP="00F0147C">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04F9E497" w14:textId="77777777" w:rsidR="00F0147C" w:rsidRDefault="00F0147C" w:rsidP="00F0147C">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01C3332A" w14:textId="77777777" w:rsidR="00F0147C" w:rsidRDefault="00F0147C" w:rsidP="00F0147C">
                <w:pPr>
                  <w:pStyle w:val="Footer"/>
                  <w:spacing w:line="216" w:lineRule="auto"/>
                  <w:ind w:left="-108" w:right="-66"/>
                  <w:rPr>
                    <w:rFonts w:ascii="Arial Narrow" w:hAnsi="Arial Narrow"/>
                    <w:sz w:val="10"/>
                    <w:szCs w:val="10"/>
                    <w:lang w:bidi="ta-IN"/>
                  </w:rPr>
                </w:pPr>
              </w:p>
              <w:p w14:paraId="388E73DD" w14:textId="77777777" w:rsidR="00F0147C" w:rsidRDefault="00F0147C" w:rsidP="00F0147C">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4BFFBDD1" w14:textId="77777777" w:rsidR="00F0147C" w:rsidRDefault="00F0147C" w:rsidP="00F0147C">
                <w:pPr>
                  <w:pStyle w:val="Footer"/>
                  <w:spacing w:line="216" w:lineRule="auto"/>
                  <w:ind w:left="-108" w:right="-66"/>
                  <w:rPr>
                    <w:rFonts w:ascii="Arial Narrow" w:hAnsi="Arial Narrow"/>
                    <w:sz w:val="10"/>
                    <w:szCs w:val="10"/>
                    <w:lang w:bidi="ta-IN"/>
                  </w:rPr>
                </w:pPr>
              </w:p>
              <w:p w14:paraId="2D21C987" w14:textId="77777777" w:rsidR="00F0147C" w:rsidRDefault="00F0147C" w:rsidP="00F0147C">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043D0847" w14:textId="77777777" w:rsidR="00F0147C" w:rsidRDefault="00F0147C" w:rsidP="00F0147C">
                <w:pPr>
                  <w:pStyle w:val="Footer"/>
                  <w:spacing w:line="216" w:lineRule="auto"/>
                  <w:ind w:left="-108" w:right="-66"/>
                  <w:rPr>
                    <w:rFonts w:ascii="Arial Narrow" w:hAnsi="Arial Narrow"/>
                    <w:sz w:val="10"/>
                    <w:szCs w:val="10"/>
                    <w:lang w:bidi="ta-IN"/>
                  </w:rPr>
                </w:pPr>
              </w:p>
              <w:p w14:paraId="3473432A" w14:textId="77777777" w:rsidR="00F0147C" w:rsidRPr="00E938AF" w:rsidRDefault="00F0147C" w:rsidP="00F0147C">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44E48503" w14:textId="77777777" w:rsidR="00F0147C" w:rsidRPr="00126238" w:rsidRDefault="00F0147C" w:rsidP="00F0147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0DCFAD5E" w14:textId="77777777" w:rsidR="00F0147C" w:rsidRPr="00126238" w:rsidRDefault="00F0147C" w:rsidP="00F0147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733AAA7D" w14:textId="77777777" w:rsidR="00F0147C" w:rsidRPr="00126238" w:rsidRDefault="00F0147C" w:rsidP="00F0147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2CAB7838" w14:textId="77777777" w:rsidR="00F0147C" w:rsidRPr="00126238" w:rsidRDefault="00F0147C" w:rsidP="00F0147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492FCB18" w14:textId="77777777" w:rsidR="00F0147C" w:rsidRPr="00126238" w:rsidRDefault="00F0147C" w:rsidP="00F0147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498F2DE3" w14:textId="77777777" w:rsidR="00F0147C" w:rsidRPr="00AC0994" w:rsidRDefault="00F0147C" w:rsidP="00F0147C">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14E032F6" w14:textId="77777777" w:rsidR="00F0147C" w:rsidRPr="00126238" w:rsidRDefault="00F0147C" w:rsidP="00F0147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780FC481" w14:textId="77777777" w:rsidR="00F0147C" w:rsidRPr="00126238" w:rsidRDefault="00F0147C" w:rsidP="00F0147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0FF29176" w14:textId="77777777" w:rsidR="00F0147C" w:rsidRPr="00126238" w:rsidRDefault="00F0147C" w:rsidP="00F0147C">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67C31470" w14:textId="77777777" w:rsidR="00F0147C" w:rsidRPr="00126238" w:rsidRDefault="00F0147C" w:rsidP="00F0147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41F3EBD9" w14:textId="77777777" w:rsidR="00F0147C" w:rsidRPr="00126238" w:rsidRDefault="00F0147C" w:rsidP="00F0147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45ABB188" w14:textId="77777777" w:rsidR="00F0147C" w:rsidRPr="00126238" w:rsidRDefault="00F0147C" w:rsidP="00F0147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66C6961B" w14:textId="77777777" w:rsidR="00F0147C" w:rsidRPr="00126238" w:rsidRDefault="00F0147C" w:rsidP="00F0147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6B7972A2" w14:textId="77777777" w:rsidR="00F0147C" w:rsidRPr="00126238" w:rsidRDefault="00F0147C" w:rsidP="00F0147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2D2F8F1D" w14:textId="77777777" w:rsidR="00F0147C" w:rsidRPr="00126238" w:rsidRDefault="00F0147C" w:rsidP="00F0147C">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1492127F" w14:textId="77777777" w:rsidR="00F0147C" w:rsidRPr="00CD53EE" w:rsidRDefault="00F0147C" w:rsidP="00F0147C">
                <w:pPr>
                  <w:pStyle w:val="Footer"/>
                  <w:rPr>
                    <w:rFonts w:cs="Arial"/>
                    <w:sz w:val="11"/>
                    <w:szCs w:val="11"/>
                  </w:rPr>
                </w:pPr>
              </w:p>
            </w:tc>
          </w:tr>
          <w:tr w:rsidR="00F0147C" w:rsidRPr="00CD53EE" w14:paraId="3E4E0F8D" w14:textId="77777777" w:rsidTr="00CF667A">
            <w:trPr>
              <w:cantSplit/>
              <w:trHeight w:val="300"/>
            </w:trPr>
            <w:tc>
              <w:tcPr>
                <w:tcW w:w="7305" w:type="dxa"/>
                <w:gridSpan w:val="4"/>
                <w:tcBorders>
                  <w:top w:val="nil"/>
                  <w:left w:val="nil"/>
                  <w:bottom w:val="nil"/>
                  <w:right w:val="nil"/>
                </w:tcBorders>
                <w:vAlign w:val="bottom"/>
              </w:tcPr>
              <w:p w14:paraId="177B88CE" w14:textId="77777777" w:rsidR="00F0147C" w:rsidRPr="00A17F18" w:rsidRDefault="00F0147C" w:rsidP="00F0147C">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793C0360" w14:textId="77777777" w:rsidR="00F0147C" w:rsidRPr="00A17F18" w:rsidRDefault="00F0147C" w:rsidP="00F0147C">
                <w:pPr>
                  <w:rPr>
                    <w:sz w:val="11"/>
                    <w:szCs w:val="11"/>
                  </w:rPr>
                </w:pPr>
                <w:r w:rsidRPr="00250C6F">
                  <w:rPr>
                    <w:bCs/>
                    <w:sz w:val="11"/>
                    <w:szCs w:val="11"/>
                  </w:rPr>
                  <w:t>Sándor Fasimon</w:t>
                </w:r>
                <w:r w:rsidRPr="00A17F18">
                  <w:rPr>
                    <w:bCs/>
                    <w:sz w:val="11"/>
                    <w:szCs w:val="11"/>
                  </w:rPr>
                  <w:t xml:space="preserve">, </w:t>
                </w:r>
                <w:r>
                  <w:rPr>
                    <w:sz w:val="11"/>
                    <w:szCs w:val="11"/>
                  </w:rPr>
                  <w:t>Niko Dalić</w:t>
                </w:r>
                <w:r w:rsidRPr="00A17F18">
                  <w:rPr>
                    <w:sz w:val="11"/>
                    <w:szCs w:val="11"/>
                  </w:rPr>
                  <w:t>,</w:t>
                </w:r>
                <w:r>
                  <w:t xml:space="preserve"> </w:t>
                </w:r>
                <w:proofErr w:type="spellStart"/>
                <w:r w:rsidRPr="00250C6F">
                  <w:rPr>
                    <w:sz w:val="11"/>
                    <w:szCs w:val="11"/>
                  </w:rPr>
                  <w:t>Ákos</w:t>
                </w:r>
                <w:proofErr w:type="spellEnd"/>
                <w:r w:rsidRPr="00250C6F">
                  <w:rPr>
                    <w:sz w:val="11"/>
                    <w:szCs w:val="11"/>
                  </w:rPr>
                  <w:t xml:space="preserve"> </w:t>
                </w:r>
                <w:proofErr w:type="spellStart"/>
                <w:r w:rsidRPr="00250C6F">
                  <w:rPr>
                    <w:sz w:val="11"/>
                    <w:szCs w:val="11"/>
                  </w:rPr>
                  <w:t>Székely</w:t>
                </w:r>
                <w:proofErr w:type="spellEnd"/>
                <w:r w:rsidRPr="00250C6F">
                  <w:rPr>
                    <w:sz w:val="11"/>
                    <w:szCs w:val="11"/>
                  </w:rPr>
                  <w:t>​</w:t>
                </w:r>
                <w:r>
                  <w:rPr>
                    <w:sz w:val="11"/>
                    <w:szCs w:val="11"/>
                  </w:rPr>
                  <w:t>,</w:t>
                </w:r>
                <w:r w:rsidRPr="00A17F18">
                  <w:rPr>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 xml:space="preserve">Mayer, </w:t>
                </w:r>
                <w:proofErr w:type="spellStart"/>
                <w:r w:rsidRPr="00250C6F">
                  <w:rPr>
                    <w:sz w:val="11"/>
                    <w:szCs w:val="11"/>
                  </w:rPr>
                  <w:t>Zsolt</w:t>
                </w:r>
                <w:proofErr w:type="spellEnd"/>
                <w:r w:rsidRPr="00250C6F">
                  <w:rPr>
                    <w:sz w:val="11"/>
                    <w:szCs w:val="11"/>
                  </w:rPr>
                  <w:t xml:space="preserve"> </w:t>
                </w:r>
                <w:proofErr w:type="spellStart"/>
                <w:r w:rsidRPr="00250C6F">
                  <w:rPr>
                    <w:sz w:val="11"/>
                    <w:szCs w:val="11"/>
                  </w:rPr>
                  <w:t>Pethő</w:t>
                </w:r>
                <w:proofErr w:type="spellEnd"/>
                <w:r w:rsidRPr="00250C6F">
                  <w:rPr>
                    <w:sz w:val="11"/>
                    <w:szCs w:val="11"/>
                  </w:rPr>
                  <w:t>​</w:t>
                </w:r>
              </w:p>
              <w:p w14:paraId="0E5A7117" w14:textId="77777777" w:rsidR="00F0147C" w:rsidRPr="009E4E6F" w:rsidRDefault="00F0147C" w:rsidP="00F0147C">
                <w:pPr>
                  <w:pStyle w:val="Footer"/>
                  <w:spacing w:line="216" w:lineRule="auto"/>
                  <w:ind w:right="-108"/>
                  <w:rPr>
                    <w:rFonts w:cs="Arial"/>
                    <w:sz w:val="4"/>
                    <w:szCs w:val="4"/>
                  </w:rPr>
                </w:pPr>
              </w:p>
              <w:p w14:paraId="3EB13288" w14:textId="77777777" w:rsidR="00F0147C" w:rsidRPr="00CD53EE" w:rsidRDefault="00F0147C" w:rsidP="00F0147C">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 xml:space="preserve">Damir </w:t>
                </w:r>
                <w:proofErr w:type="spellStart"/>
                <w:r>
                  <w:rPr>
                    <w:rFonts w:cs="Arial"/>
                    <w:sz w:val="11"/>
                    <w:szCs w:val="11"/>
                  </w:rPr>
                  <w:t>Vanđelić</w:t>
                </w:r>
                <w:proofErr w:type="spellEnd"/>
              </w:p>
            </w:tc>
            <w:tc>
              <w:tcPr>
                <w:tcW w:w="2159" w:type="dxa"/>
                <w:vMerge/>
                <w:tcBorders>
                  <w:left w:val="nil"/>
                  <w:bottom w:val="nil"/>
                  <w:right w:val="nil"/>
                </w:tcBorders>
              </w:tcPr>
              <w:p w14:paraId="2EEC6792" w14:textId="77777777" w:rsidR="00F0147C" w:rsidRPr="00CD53EE" w:rsidRDefault="00F0147C" w:rsidP="00F0147C">
                <w:pPr>
                  <w:pStyle w:val="Footer"/>
                  <w:rPr>
                    <w:rFonts w:cs="Arial"/>
                    <w:sz w:val="11"/>
                    <w:szCs w:val="11"/>
                  </w:rPr>
                </w:pPr>
              </w:p>
            </w:tc>
          </w:tr>
        </w:tbl>
        <w:p w14:paraId="53B760F3" w14:textId="77777777" w:rsidR="00F0147C" w:rsidRPr="00CD53EE" w:rsidRDefault="00F0147C" w:rsidP="00F0147C">
          <w:pPr>
            <w:pStyle w:val="Footer"/>
            <w:rPr>
              <w:sz w:val="11"/>
              <w:szCs w:val="11"/>
            </w:rPr>
          </w:pPr>
        </w:p>
      </w:tc>
    </w:tr>
    <w:tr w:rsidR="00F0147C" w:rsidRPr="00CD53EE" w14:paraId="7CC40E6D" w14:textId="77777777" w:rsidTr="00CF667A">
      <w:trPr>
        <w:cantSplit/>
        <w:trHeight w:val="710"/>
      </w:trPr>
      <w:tc>
        <w:tcPr>
          <w:tcW w:w="9680" w:type="dxa"/>
          <w:vMerge/>
          <w:tcBorders>
            <w:left w:val="nil"/>
            <w:bottom w:val="nil"/>
            <w:right w:val="nil"/>
          </w:tcBorders>
        </w:tcPr>
        <w:p w14:paraId="08E96493" w14:textId="77777777" w:rsidR="00F0147C" w:rsidRPr="00CD53EE" w:rsidRDefault="00F0147C" w:rsidP="00F0147C">
          <w:pPr>
            <w:pStyle w:val="Footer"/>
            <w:rPr>
              <w:rFonts w:cs="Arial"/>
              <w:b/>
              <w:bCs/>
              <w:sz w:val="11"/>
              <w:szCs w:val="11"/>
            </w:rPr>
          </w:pPr>
        </w:p>
      </w:tc>
    </w:tr>
  </w:tbl>
  <w:p w14:paraId="086A6031" w14:textId="77777777" w:rsidR="00F0147C" w:rsidRDefault="00F0147C" w:rsidP="00F0147C">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F0147C" w:rsidRPr="00374688" w14:paraId="28049F13" w14:textId="77777777" w:rsidTr="00CF667A">
      <w:trPr>
        <w:trHeight w:val="133"/>
        <w:hidden/>
      </w:trPr>
      <w:tc>
        <w:tcPr>
          <w:tcW w:w="2092" w:type="dxa"/>
          <w:tcBorders>
            <w:bottom w:val="nil"/>
          </w:tcBorders>
          <w:shd w:val="clear" w:color="auto" w:fill="auto"/>
          <w:tcMar>
            <w:right w:w="11" w:type="dxa"/>
          </w:tcMar>
        </w:tcPr>
        <w:p w14:paraId="73F8DD30" w14:textId="77777777" w:rsidR="00F0147C" w:rsidRPr="00374688" w:rsidRDefault="00F0147C" w:rsidP="00F0147C">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2D4A6CC8" w14:textId="77777777" w:rsidR="00F0147C" w:rsidRPr="00374688" w:rsidRDefault="00F0147C" w:rsidP="00F0147C">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1B3BEF54" w14:textId="77777777" w:rsidR="00F0147C" w:rsidRPr="00374688" w:rsidRDefault="00F0147C" w:rsidP="00F0147C">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6559259B" w14:textId="77777777" w:rsidR="00F0147C" w:rsidRPr="00374688" w:rsidRDefault="00F0147C" w:rsidP="00F0147C">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714DA1">
            <w:rPr>
              <w:rFonts w:cs="Arial"/>
              <w:noProof/>
              <w:vanish/>
              <w:sz w:val="11"/>
              <w:szCs w:val="11"/>
            </w:rPr>
            <w:t>7</w:t>
          </w:r>
          <w:r w:rsidRPr="00374688">
            <w:rPr>
              <w:rFonts w:cs="Arial"/>
              <w:vanish/>
              <w:sz w:val="11"/>
              <w:szCs w:val="11"/>
            </w:rPr>
            <w:fldChar w:fldCharType="end"/>
          </w:r>
          <w:r w:rsidRPr="00374688">
            <w:rPr>
              <w:rFonts w:cs="Arial"/>
              <w:vanish/>
              <w:sz w:val="11"/>
              <w:szCs w:val="11"/>
            </w:rPr>
            <w:t>/</w:t>
          </w:r>
          <w:fldSimple w:instr=" NUMPAGES   \* MERGEFORMAT ">
            <w:r w:rsidR="00714DA1" w:rsidRPr="00714DA1">
              <w:rPr>
                <w:rFonts w:cs="Arial"/>
                <w:noProof/>
                <w:vanish/>
                <w:sz w:val="11"/>
                <w:szCs w:val="11"/>
              </w:rPr>
              <w:t>7</w:t>
            </w:r>
          </w:fldSimple>
          <w:r w:rsidRPr="00374688">
            <w:rPr>
              <w:rFonts w:cs="Arial"/>
              <w:vanish/>
              <w:sz w:val="11"/>
              <w:szCs w:val="11"/>
            </w:rPr>
            <w:t xml:space="preserve"> </w:t>
          </w:r>
        </w:p>
      </w:tc>
    </w:tr>
    <w:tr w:rsidR="00F0147C" w:rsidRPr="00374688" w14:paraId="21BFEB80" w14:textId="77777777" w:rsidTr="00CF667A">
      <w:trPr>
        <w:trHeight w:val="133"/>
        <w:hidden/>
      </w:trPr>
      <w:tc>
        <w:tcPr>
          <w:tcW w:w="7196" w:type="dxa"/>
          <w:gridSpan w:val="3"/>
          <w:tcBorders>
            <w:top w:val="nil"/>
          </w:tcBorders>
          <w:shd w:val="clear" w:color="auto" w:fill="auto"/>
          <w:tcMar>
            <w:right w:w="11" w:type="dxa"/>
          </w:tcMar>
        </w:tcPr>
        <w:p w14:paraId="545767BB" w14:textId="77777777" w:rsidR="00F0147C" w:rsidRPr="00374688" w:rsidRDefault="00F0147C" w:rsidP="00F0147C">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383343E1" w14:textId="77777777" w:rsidR="00F0147C" w:rsidRPr="00374688" w:rsidRDefault="00F0147C" w:rsidP="00F0147C">
          <w:pPr>
            <w:spacing w:before="20"/>
            <w:jc w:val="right"/>
            <w:rPr>
              <w:rFonts w:cs="Arial"/>
              <w:vanish/>
              <w:sz w:val="11"/>
              <w:szCs w:val="11"/>
            </w:rPr>
          </w:pPr>
        </w:p>
      </w:tc>
    </w:tr>
    <w:tr w:rsidR="00F0147C" w:rsidRPr="00374688" w14:paraId="0F3C9E67" w14:textId="77777777" w:rsidTr="00CF667A">
      <w:trPr>
        <w:trHeight w:val="133"/>
        <w:hidden/>
      </w:trPr>
      <w:tc>
        <w:tcPr>
          <w:tcW w:w="7196" w:type="dxa"/>
          <w:gridSpan w:val="3"/>
          <w:shd w:val="clear" w:color="auto" w:fill="auto"/>
          <w:tcMar>
            <w:right w:w="11" w:type="dxa"/>
          </w:tcMar>
          <w:vAlign w:val="center"/>
        </w:tcPr>
        <w:p w14:paraId="5ABA6264" w14:textId="77777777" w:rsidR="00F0147C" w:rsidRPr="00374688" w:rsidRDefault="00F0147C" w:rsidP="00F0147C">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3B5D8ED0" w14:textId="77777777" w:rsidR="00F0147C" w:rsidRPr="00374688" w:rsidRDefault="00F0147C" w:rsidP="00F0147C">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714DA1">
            <w:rPr>
              <w:rFonts w:cs="Arial"/>
              <w:noProof/>
              <w:vanish/>
              <w:sz w:val="11"/>
              <w:szCs w:val="11"/>
            </w:rPr>
            <w:t>7</w:t>
          </w:r>
          <w:r w:rsidRPr="00374688">
            <w:rPr>
              <w:rFonts w:cs="Arial"/>
              <w:vanish/>
              <w:sz w:val="11"/>
              <w:szCs w:val="11"/>
            </w:rPr>
            <w:fldChar w:fldCharType="end"/>
          </w:r>
          <w:r w:rsidRPr="00374688">
            <w:rPr>
              <w:rFonts w:cs="Arial"/>
              <w:vanish/>
              <w:sz w:val="11"/>
              <w:szCs w:val="11"/>
            </w:rPr>
            <w:t>/</w:t>
          </w:r>
          <w:fldSimple w:instr=" NUMPAGES   \* MERGEFORMAT ">
            <w:r w:rsidR="00714DA1" w:rsidRPr="00714DA1">
              <w:rPr>
                <w:rFonts w:cs="Arial"/>
                <w:noProof/>
                <w:vanish/>
                <w:sz w:val="11"/>
                <w:szCs w:val="11"/>
              </w:rPr>
              <w:t>7</w:t>
            </w:r>
          </w:fldSimple>
          <w:r w:rsidRPr="00374688">
            <w:rPr>
              <w:rFonts w:cs="Arial"/>
              <w:vanish/>
              <w:sz w:val="11"/>
              <w:szCs w:val="11"/>
            </w:rPr>
            <w:t xml:space="preserve"> </w:t>
          </w:r>
        </w:p>
      </w:tc>
    </w:tr>
  </w:tbl>
  <w:p w14:paraId="23958AEB" w14:textId="77777777" w:rsidR="00F0147C" w:rsidRPr="006A6B04" w:rsidRDefault="00F0147C" w:rsidP="00F0147C">
    <w:pPr>
      <w:pStyle w:val="Footer"/>
    </w:pPr>
  </w:p>
  <w:p w14:paraId="3AFF275F" w14:textId="77777777" w:rsidR="00E11167" w:rsidRPr="00F0147C" w:rsidRDefault="00E11167" w:rsidP="00F0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B8764" w14:textId="77777777" w:rsidR="00D7491A" w:rsidRDefault="00D7491A" w:rsidP="00E11167">
      <w:r>
        <w:separator/>
      </w:r>
    </w:p>
  </w:footnote>
  <w:footnote w:type="continuationSeparator" w:id="0">
    <w:p w14:paraId="4BF2F4DB" w14:textId="77777777" w:rsidR="00D7491A" w:rsidRDefault="00D7491A" w:rsidP="00E11167">
      <w:r>
        <w:continuationSeparator/>
      </w:r>
    </w:p>
  </w:footnote>
  <w:footnote w:id="1">
    <w:p w14:paraId="0351F2AC" w14:textId="77777777" w:rsidR="003B716D" w:rsidRPr="00F97CFC" w:rsidRDefault="003B716D">
      <w:pPr>
        <w:pStyle w:val="FootnoteText"/>
        <w:rPr>
          <w:lang w:val="en-US"/>
        </w:rPr>
      </w:pPr>
      <w:r w:rsidRPr="00F97CFC">
        <w:rPr>
          <w:rStyle w:val="FootnoteReference"/>
          <w:lang w:val="en-US"/>
        </w:rPr>
        <w:footnoteRef/>
      </w:r>
      <w:r w:rsidRPr="00F97CFC">
        <w:rPr>
          <w:lang w:val="en-US"/>
        </w:rPr>
        <w:t xml:space="preserve"> </w:t>
      </w:r>
      <w:r w:rsidRPr="00F97CFC">
        <w:rPr>
          <w:rFonts w:asciiTheme="minorHAnsi" w:hAnsiTheme="minorHAnsi"/>
          <w:sz w:val="16"/>
          <w:szCs w:val="16"/>
          <w:lang w:val="en-US"/>
        </w:rPr>
        <w:t xml:space="preserve">EBITDA = </w:t>
      </w:r>
      <w:r w:rsidR="00A014F7" w:rsidRPr="00F97CFC">
        <w:rPr>
          <w:rFonts w:asciiTheme="minorHAnsi" w:hAnsiTheme="minorHAnsi"/>
          <w:sz w:val="16"/>
          <w:szCs w:val="16"/>
          <w:lang w:val="en-US"/>
        </w:rPr>
        <w:t>EBIT + Depreciation, amortization and impairment (net)</w:t>
      </w:r>
    </w:p>
  </w:footnote>
  <w:footnote w:id="2">
    <w:p w14:paraId="799124F1" w14:textId="7755AB3B" w:rsidR="004F4688" w:rsidRDefault="004F4688">
      <w:pPr>
        <w:pStyle w:val="FootnoteText"/>
      </w:pPr>
      <w:r w:rsidRPr="00E65BA6">
        <w:rPr>
          <w:rFonts w:asciiTheme="minorHAnsi" w:hAnsiTheme="minorHAnsi"/>
          <w:sz w:val="16"/>
          <w:szCs w:val="16"/>
          <w:lang w:val="en-US"/>
        </w:rPr>
        <w:footnoteRef/>
      </w:r>
      <w:r w:rsidRPr="00E65BA6">
        <w:rPr>
          <w:rFonts w:asciiTheme="minorHAnsi" w:hAnsiTheme="minorHAnsi"/>
          <w:sz w:val="16"/>
          <w:szCs w:val="16"/>
          <w:lang w:val="en-US"/>
        </w:rPr>
        <w:t xml:space="preserve"> Profit for the period excluding special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301D" w14:textId="77777777" w:rsidR="00E11167" w:rsidRDefault="00E11167">
    <w:pPr>
      <w:pStyle w:val="Header"/>
    </w:pPr>
    <w:r>
      <w:rPr>
        <w:noProof/>
        <w:lang w:eastAsia="hr-HR"/>
      </w:rPr>
      <w:drawing>
        <wp:inline distT="0" distB="0" distL="0" distR="0" wp14:anchorId="3AD0BAC8" wp14:editId="749A501D">
          <wp:extent cx="1213485" cy="451485"/>
          <wp:effectExtent l="0" t="0" r="5715" b="571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inline>
      </w:drawing>
    </w:r>
  </w:p>
  <w:p w14:paraId="2BC3CB96" w14:textId="77777777" w:rsidR="00E11167" w:rsidRDefault="00E111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458C" w14:textId="77777777" w:rsidR="002620FE" w:rsidRDefault="00860C04">
    <w:pPr>
      <w:pStyle w:val="Header"/>
    </w:pPr>
    <w:r>
      <w:rPr>
        <w:noProof/>
        <w:lang w:eastAsia="hr-HR"/>
      </w:rPr>
      <w:drawing>
        <wp:anchor distT="0" distB="0" distL="114300" distR="114300" simplePos="0" relativeHeight="251659264" behindDoc="0" locked="0" layoutInCell="1" allowOverlap="1" wp14:anchorId="5F0050FC" wp14:editId="2A2FB57B">
          <wp:simplePos x="0" y="0"/>
          <wp:positionH relativeFrom="column">
            <wp:posOffset>153035</wp:posOffset>
          </wp:positionH>
          <wp:positionV relativeFrom="paragraph">
            <wp:posOffset>243205</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2578"/>
    <w:multiLevelType w:val="hybridMultilevel"/>
    <w:tmpl w:val="32EAA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F95365"/>
    <w:multiLevelType w:val="hybridMultilevel"/>
    <w:tmpl w:val="6F349EE4"/>
    <w:lvl w:ilvl="0" w:tplc="159A0462">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2EF7D71"/>
    <w:multiLevelType w:val="hybridMultilevel"/>
    <w:tmpl w:val="4E92B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A0013E2"/>
    <w:multiLevelType w:val="hybridMultilevel"/>
    <w:tmpl w:val="FE163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A"/>
    <w:rsid w:val="00001691"/>
    <w:rsid w:val="000051E2"/>
    <w:rsid w:val="000145A6"/>
    <w:rsid w:val="00015C4D"/>
    <w:rsid w:val="0002103D"/>
    <w:rsid w:val="00022EA9"/>
    <w:rsid w:val="0002383E"/>
    <w:rsid w:val="00024352"/>
    <w:rsid w:val="00035243"/>
    <w:rsid w:val="000355D2"/>
    <w:rsid w:val="00037C43"/>
    <w:rsid w:val="000401B5"/>
    <w:rsid w:val="00044D71"/>
    <w:rsid w:val="00045916"/>
    <w:rsid w:val="000568ED"/>
    <w:rsid w:val="000620E4"/>
    <w:rsid w:val="00064FD4"/>
    <w:rsid w:val="00071178"/>
    <w:rsid w:val="000719BA"/>
    <w:rsid w:val="000722A6"/>
    <w:rsid w:val="0007459E"/>
    <w:rsid w:val="00076862"/>
    <w:rsid w:val="0007706D"/>
    <w:rsid w:val="00077265"/>
    <w:rsid w:val="00081468"/>
    <w:rsid w:val="0008261A"/>
    <w:rsid w:val="00082D5D"/>
    <w:rsid w:val="00086601"/>
    <w:rsid w:val="0009057C"/>
    <w:rsid w:val="000931E3"/>
    <w:rsid w:val="0009627E"/>
    <w:rsid w:val="00097626"/>
    <w:rsid w:val="000977E3"/>
    <w:rsid w:val="00097B72"/>
    <w:rsid w:val="000A0BFF"/>
    <w:rsid w:val="000A1C74"/>
    <w:rsid w:val="000A1EBF"/>
    <w:rsid w:val="000A40EB"/>
    <w:rsid w:val="000B07D7"/>
    <w:rsid w:val="000B085A"/>
    <w:rsid w:val="000B327E"/>
    <w:rsid w:val="000C13AF"/>
    <w:rsid w:val="000C2FE2"/>
    <w:rsid w:val="000C68A2"/>
    <w:rsid w:val="000C7BBC"/>
    <w:rsid w:val="000D01AB"/>
    <w:rsid w:val="000D16CE"/>
    <w:rsid w:val="000D3599"/>
    <w:rsid w:val="000D5616"/>
    <w:rsid w:val="000D5FAE"/>
    <w:rsid w:val="000E49A0"/>
    <w:rsid w:val="000F0C56"/>
    <w:rsid w:val="000F28F5"/>
    <w:rsid w:val="000F4C5F"/>
    <w:rsid w:val="00100EF1"/>
    <w:rsid w:val="001126B5"/>
    <w:rsid w:val="00115455"/>
    <w:rsid w:val="00116C7E"/>
    <w:rsid w:val="0012110D"/>
    <w:rsid w:val="00122C9F"/>
    <w:rsid w:val="00125586"/>
    <w:rsid w:val="00130D5B"/>
    <w:rsid w:val="001367EB"/>
    <w:rsid w:val="00137D7A"/>
    <w:rsid w:val="0014051C"/>
    <w:rsid w:val="00143BD6"/>
    <w:rsid w:val="00144630"/>
    <w:rsid w:val="001465F7"/>
    <w:rsid w:val="00153421"/>
    <w:rsid w:val="00157B79"/>
    <w:rsid w:val="00160C7A"/>
    <w:rsid w:val="00163327"/>
    <w:rsid w:val="001637B1"/>
    <w:rsid w:val="00184D21"/>
    <w:rsid w:val="00185289"/>
    <w:rsid w:val="00191574"/>
    <w:rsid w:val="001920E9"/>
    <w:rsid w:val="00193A14"/>
    <w:rsid w:val="00195F64"/>
    <w:rsid w:val="0019738E"/>
    <w:rsid w:val="001A34F1"/>
    <w:rsid w:val="001A56A4"/>
    <w:rsid w:val="001B4A51"/>
    <w:rsid w:val="001B504C"/>
    <w:rsid w:val="001C4991"/>
    <w:rsid w:val="001D07B9"/>
    <w:rsid w:val="001D6D41"/>
    <w:rsid w:val="001D7564"/>
    <w:rsid w:val="001E21E7"/>
    <w:rsid w:val="001E2E51"/>
    <w:rsid w:val="001E4D3C"/>
    <w:rsid w:val="001E7160"/>
    <w:rsid w:val="001F0DBE"/>
    <w:rsid w:val="0020107F"/>
    <w:rsid w:val="002027D9"/>
    <w:rsid w:val="002035F0"/>
    <w:rsid w:val="0021069F"/>
    <w:rsid w:val="00215F7B"/>
    <w:rsid w:val="002176C8"/>
    <w:rsid w:val="0022082F"/>
    <w:rsid w:val="00221587"/>
    <w:rsid w:val="00224289"/>
    <w:rsid w:val="0023171E"/>
    <w:rsid w:val="00236461"/>
    <w:rsid w:val="002379B9"/>
    <w:rsid w:val="00243769"/>
    <w:rsid w:val="00246C9A"/>
    <w:rsid w:val="00260B80"/>
    <w:rsid w:val="00265214"/>
    <w:rsid w:val="00267526"/>
    <w:rsid w:val="00274C56"/>
    <w:rsid w:val="00277F4D"/>
    <w:rsid w:val="002828FC"/>
    <w:rsid w:val="00286524"/>
    <w:rsid w:val="0029042B"/>
    <w:rsid w:val="00292A3A"/>
    <w:rsid w:val="00294AD2"/>
    <w:rsid w:val="00296585"/>
    <w:rsid w:val="002A2068"/>
    <w:rsid w:val="002A3AA7"/>
    <w:rsid w:val="002A46A5"/>
    <w:rsid w:val="002A6282"/>
    <w:rsid w:val="002B0266"/>
    <w:rsid w:val="002B0D57"/>
    <w:rsid w:val="002B1BFF"/>
    <w:rsid w:val="002B25C3"/>
    <w:rsid w:val="002B5522"/>
    <w:rsid w:val="002C08BB"/>
    <w:rsid w:val="002C14C4"/>
    <w:rsid w:val="002C32F7"/>
    <w:rsid w:val="002C3DE6"/>
    <w:rsid w:val="002C4680"/>
    <w:rsid w:val="002C75A9"/>
    <w:rsid w:val="002D03F1"/>
    <w:rsid w:val="002D204D"/>
    <w:rsid w:val="002E09C8"/>
    <w:rsid w:val="002E4A2A"/>
    <w:rsid w:val="002E5D23"/>
    <w:rsid w:val="002E64F1"/>
    <w:rsid w:val="002F3738"/>
    <w:rsid w:val="002F4532"/>
    <w:rsid w:val="002F4F8F"/>
    <w:rsid w:val="002F5679"/>
    <w:rsid w:val="00303965"/>
    <w:rsid w:val="003064F6"/>
    <w:rsid w:val="00306C62"/>
    <w:rsid w:val="00310348"/>
    <w:rsid w:val="0031052F"/>
    <w:rsid w:val="00312674"/>
    <w:rsid w:val="00313E40"/>
    <w:rsid w:val="00320950"/>
    <w:rsid w:val="00323E45"/>
    <w:rsid w:val="00327702"/>
    <w:rsid w:val="00332253"/>
    <w:rsid w:val="00334D55"/>
    <w:rsid w:val="0034119D"/>
    <w:rsid w:val="0034194B"/>
    <w:rsid w:val="00343CB6"/>
    <w:rsid w:val="00345092"/>
    <w:rsid w:val="003502F8"/>
    <w:rsid w:val="00351497"/>
    <w:rsid w:val="003624C8"/>
    <w:rsid w:val="00377E51"/>
    <w:rsid w:val="003811E1"/>
    <w:rsid w:val="00391352"/>
    <w:rsid w:val="003A058C"/>
    <w:rsid w:val="003A415F"/>
    <w:rsid w:val="003A4B6F"/>
    <w:rsid w:val="003A5EA0"/>
    <w:rsid w:val="003B05BB"/>
    <w:rsid w:val="003B179D"/>
    <w:rsid w:val="003B324A"/>
    <w:rsid w:val="003B716D"/>
    <w:rsid w:val="003C04B6"/>
    <w:rsid w:val="003C144F"/>
    <w:rsid w:val="003C3E10"/>
    <w:rsid w:val="003C403F"/>
    <w:rsid w:val="003C495D"/>
    <w:rsid w:val="003C5325"/>
    <w:rsid w:val="003D1032"/>
    <w:rsid w:val="003D6E5A"/>
    <w:rsid w:val="003F393E"/>
    <w:rsid w:val="003F7343"/>
    <w:rsid w:val="003F74EC"/>
    <w:rsid w:val="004031D0"/>
    <w:rsid w:val="00403501"/>
    <w:rsid w:val="00403560"/>
    <w:rsid w:val="00403ABF"/>
    <w:rsid w:val="00406C29"/>
    <w:rsid w:val="00420474"/>
    <w:rsid w:val="004208A9"/>
    <w:rsid w:val="004213A2"/>
    <w:rsid w:val="00424221"/>
    <w:rsid w:val="00433EFF"/>
    <w:rsid w:val="00437FE2"/>
    <w:rsid w:val="00440FBB"/>
    <w:rsid w:val="0044294B"/>
    <w:rsid w:val="00445122"/>
    <w:rsid w:val="00446660"/>
    <w:rsid w:val="00454D5E"/>
    <w:rsid w:val="004562B5"/>
    <w:rsid w:val="00457558"/>
    <w:rsid w:val="00465A58"/>
    <w:rsid w:val="0046798F"/>
    <w:rsid w:val="00470234"/>
    <w:rsid w:val="00470B28"/>
    <w:rsid w:val="00475DF9"/>
    <w:rsid w:val="004837CD"/>
    <w:rsid w:val="00484BB8"/>
    <w:rsid w:val="004929C9"/>
    <w:rsid w:val="004A2423"/>
    <w:rsid w:val="004B22DE"/>
    <w:rsid w:val="004B31FB"/>
    <w:rsid w:val="004B4119"/>
    <w:rsid w:val="004B4D85"/>
    <w:rsid w:val="004B5F6B"/>
    <w:rsid w:val="004B6427"/>
    <w:rsid w:val="004C05F6"/>
    <w:rsid w:val="004C19C0"/>
    <w:rsid w:val="004C26AB"/>
    <w:rsid w:val="004C2CCB"/>
    <w:rsid w:val="004D45B1"/>
    <w:rsid w:val="004D5CEC"/>
    <w:rsid w:val="004D7DA5"/>
    <w:rsid w:val="004E1508"/>
    <w:rsid w:val="004E29DD"/>
    <w:rsid w:val="004E30CD"/>
    <w:rsid w:val="004E3A45"/>
    <w:rsid w:val="004F4688"/>
    <w:rsid w:val="004F779A"/>
    <w:rsid w:val="00500264"/>
    <w:rsid w:val="005050F3"/>
    <w:rsid w:val="00510AD9"/>
    <w:rsid w:val="00514E34"/>
    <w:rsid w:val="005168B8"/>
    <w:rsid w:val="005221C0"/>
    <w:rsid w:val="00525D79"/>
    <w:rsid w:val="0052613C"/>
    <w:rsid w:val="00532698"/>
    <w:rsid w:val="00533201"/>
    <w:rsid w:val="0054365E"/>
    <w:rsid w:val="00551D52"/>
    <w:rsid w:val="00552D26"/>
    <w:rsid w:val="005534F6"/>
    <w:rsid w:val="00554BF8"/>
    <w:rsid w:val="005551FB"/>
    <w:rsid w:val="005611E9"/>
    <w:rsid w:val="00563375"/>
    <w:rsid w:val="00564017"/>
    <w:rsid w:val="00567A49"/>
    <w:rsid w:val="005735B4"/>
    <w:rsid w:val="0057395D"/>
    <w:rsid w:val="00585635"/>
    <w:rsid w:val="0058682A"/>
    <w:rsid w:val="00587083"/>
    <w:rsid w:val="00594C4A"/>
    <w:rsid w:val="005957BD"/>
    <w:rsid w:val="005A4C7C"/>
    <w:rsid w:val="005B138F"/>
    <w:rsid w:val="005B2EB0"/>
    <w:rsid w:val="005B702B"/>
    <w:rsid w:val="005C34AB"/>
    <w:rsid w:val="005C38B7"/>
    <w:rsid w:val="005D450F"/>
    <w:rsid w:val="005E2957"/>
    <w:rsid w:val="005E3132"/>
    <w:rsid w:val="005E67FB"/>
    <w:rsid w:val="005F0EE2"/>
    <w:rsid w:val="005F6682"/>
    <w:rsid w:val="005F6CC8"/>
    <w:rsid w:val="005F73E4"/>
    <w:rsid w:val="006036DA"/>
    <w:rsid w:val="00605A54"/>
    <w:rsid w:val="00607188"/>
    <w:rsid w:val="00613575"/>
    <w:rsid w:val="00614F46"/>
    <w:rsid w:val="00621AD8"/>
    <w:rsid w:val="00624953"/>
    <w:rsid w:val="00627119"/>
    <w:rsid w:val="0062739C"/>
    <w:rsid w:val="0063068C"/>
    <w:rsid w:val="00630CF8"/>
    <w:rsid w:val="0063132A"/>
    <w:rsid w:val="006316AB"/>
    <w:rsid w:val="00633D5B"/>
    <w:rsid w:val="006356CC"/>
    <w:rsid w:val="00635A02"/>
    <w:rsid w:val="00637175"/>
    <w:rsid w:val="00641845"/>
    <w:rsid w:val="00641E5E"/>
    <w:rsid w:val="00645D0D"/>
    <w:rsid w:val="00652641"/>
    <w:rsid w:val="00654E39"/>
    <w:rsid w:val="00656555"/>
    <w:rsid w:val="00662E8C"/>
    <w:rsid w:val="00662FCE"/>
    <w:rsid w:val="006666E8"/>
    <w:rsid w:val="006674E0"/>
    <w:rsid w:val="00674DAB"/>
    <w:rsid w:val="00675D4B"/>
    <w:rsid w:val="00682C6F"/>
    <w:rsid w:val="00685C87"/>
    <w:rsid w:val="0069046F"/>
    <w:rsid w:val="0069146C"/>
    <w:rsid w:val="006A53F0"/>
    <w:rsid w:val="006B3FDB"/>
    <w:rsid w:val="006C15D2"/>
    <w:rsid w:val="006C2792"/>
    <w:rsid w:val="006C3F16"/>
    <w:rsid w:val="006C5480"/>
    <w:rsid w:val="006C6A9B"/>
    <w:rsid w:val="006C6B69"/>
    <w:rsid w:val="006D2E0C"/>
    <w:rsid w:val="006D3051"/>
    <w:rsid w:val="006D374D"/>
    <w:rsid w:val="006D3B40"/>
    <w:rsid w:val="006D4B5E"/>
    <w:rsid w:val="006D7691"/>
    <w:rsid w:val="006D7ACB"/>
    <w:rsid w:val="006E3B76"/>
    <w:rsid w:val="006F110E"/>
    <w:rsid w:val="006F1D47"/>
    <w:rsid w:val="006F736D"/>
    <w:rsid w:val="007074D5"/>
    <w:rsid w:val="00714DA1"/>
    <w:rsid w:val="007172E8"/>
    <w:rsid w:val="00717FE0"/>
    <w:rsid w:val="007229CD"/>
    <w:rsid w:val="00724092"/>
    <w:rsid w:val="00726BE5"/>
    <w:rsid w:val="00733996"/>
    <w:rsid w:val="007352A1"/>
    <w:rsid w:val="00736ADF"/>
    <w:rsid w:val="00740D64"/>
    <w:rsid w:val="007421B9"/>
    <w:rsid w:val="00746587"/>
    <w:rsid w:val="00751E5D"/>
    <w:rsid w:val="007531AC"/>
    <w:rsid w:val="007562DB"/>
    <w:rsid w:val="007611DB"/>
    <w:rsid w:val="0076740B"/>
    <w:rsid w:val="00770339"/>
    <w:rsid w:val="00775E00"/>
    <w:rsid w:val="00776446"/>
    <w:rsid w:val="00787887"/>
    <w:rsid w:val="00787C8C"/>
    <w:rsid w:val="0079115C"/>
    <w:rsid w:val="0079289D"/>
    <w:rsid w:val="007974AA"/>
    <w:rsid w:val="007A5968"/>
    <w:rsid w:val="007B1D62"/>
    <w:rsid w:val="007B78E8"/>
    <w:rsid w:val="007C48E7"/>
    <w:rsid w:val="007C4A11"/>
    <w:rsid w:val="007C616B"/>
    <w:rsid w:val="007C7B12"/>
    <w:rsid w:val="007D0B49"/>
    <w:rsid w:val="007D2B00"/>
    <w:rsid w:val="007D4BB8"/>
    <w:rsid w:val="007E249E"/>
    <w:rsid w:val="007F57D9"/>
    <w:rsid w:val="007F5C60"/>
    <w:rsid w:val="00801824"/>
    <w:rsid w:val="00804CDB"/>
    <w:rsid w:val="008055F8"/>
    <w:rsid w:val="00805B2E"/>
    <w:rsid w:val="00806940"/>
    <w:rsid w:val="00811B68"/>
    <w:rsid w:val="00814753"/>
    <w:rsid w:val="0081499E"/>
    <w:rsid w:val="008245B5"/>
    <w:rsid w:val="0082771B"/>
    <w:rsid w:val="00830AFD"/>
    <w:rsid w:val="008314E9"/>
    <w:rsid w:val="0083471F"/>
    <w:rsid w:val="00835854"/>
    <w:rsid w:val="008407F2"/>
    <w:rsid w:val="00842C82"/>
    <w:rsid w:val="008433DD"/>
    <w:rsid w:val="00843873"/>
    <w:rsid w:val="00843EF9"/>
    <w:rsid w:val="00844B80"/>
    <w:rsid w:val="008525D8"/>
    <w:rsid w:val="00854049"/>
    <w:rsid w:val="008601DA"/>
    <w:rsid w:val="008608AF"/>
    <w:rsid w:val="00860C04"/>
    <w:rsid w:val="00865E3E"/>
    <w:rsid w:val="00870FB1"/>
    <w:rsid w:val="008729F9"/>
    <w:rsid w:val="00872D1C"/>
    <w:rsid w:val="00873AD3"/>
    <w:rsid w:val="008750C6"/>
    <w:rsid w:val="00880A65"/>
    <w:rsid w:val="00884F6F"/>
    <w:rsid w:val="008869EC"/>
    <w:rsid w:val="00890641"/>
    <w:rsid w:val="00891307"/>
    <w:rsid w:val="0089733E"/>
    <w:rsid w:val="008A4B71"/>
    <w:rsid w:val="008B1CBE"/>
    <w:rsid w:val="008B62F5"/>
    <w:rsid w:val="008B7B60"/>
    <w:rsid w:val="008C004C"/>
    <w:rsid w:val="008C1DC4"/>
    <w:rsid w:val="008C3678"/>
    <w:rsid w:val="008C3B17"/>
    <w:rsid w:val="008C3B67"/>
    <w:rsid w:val="008C498C"/>
    <w:rsid w:val="008D08AA"/>
    <w:rsid w:val="008D1053"/>
    <w:rsid w:val="008D348D"/>
    <w:rsid w:val="008D374F"/>
    <w:rsid w:val="008D62A4"/>
    <w:rsid w:val="008D7A67"/>
    <w:rsid w:val="008D7C10"/>
    <w:rsid w:val="008D7C62"/>
    <w:rsid w:val="008E2E77"/>
    <w:rsid w:val="008E4A3C"/>
    <w:rsid w:val="008E67D1"/>
    <w:rsid w:val="008E6FAA"/>
    <w:rsid w:val="008F4F64"/>
    <w:rsid w:val="00901ED2"/>
    <w:rsid w:val="009054EC"/>
    <w:rsid w:val="00905967"/>
    <w:rsid w:val="00905F02"/>
    <w:rsid w:val="0091155D"/>
    <w:rsid w:val="009202EC"/>
    <w:rsid w:val="00936614"/>
    <w:rsid w:val="00936D1C"/>
    <w:rsid w:val="00941CF3"/>
    <w:rsid w:val="009423F3"/>
    <w:rsid w:val="0095123F"/>
    <w:rsid w:val="00951609"/>
    <w:rsid w:val="00951CC0"/>
    <w:rsid w:val="0095296E"/>
    <w:rsid w:val="0095304D"/>
    <w:rsid w:val="009543B4"/>
    <w:rsid w:val="009605EA"/>
    <w:rsid w:val="009620E2"/>
    <w:rsid w:val="0096259C"/>
    <w:rsid w:val="0096370E"/>
    <w:rsid w:val="00963837"/>
    <w:rsid w:val="00964084"/>
    <w:rsid w:val="00964CEE"/>
    <w:rsid w:val="00965E50"/>
    <w:rsid w:val="009674DF"/>
    <w:rsid w:val="00971707"/>
    <w:rsid w:val="00981CC4"/>
    <w:rsid w:val="009845EC"/>
    <w:rsid w:val="009920C5"/>
    <w:rsid w:val="009A0E68"/>
    <w:rsid w:val="009A1267"/>
    <w:rsid w:val="009A526A"/>
    <w:rsid w:val="009A65B0"/>
    <w:rsid w:val="009B1563"/>
    <w:rsid w:val="009B42FD"/>
    <w:rsid w:val="009B4A1B"/>
    <w:rsid w:val="009B4B71"/>
    <w:rsid w:val="009B7F2A"/>
    <w:rsid w:val="009C17FA"/>
    <w:rsid w:val="009C2E39"/>
    <w:rsid w:val="009C3AE9"/>
    <w:rsid w:val="009C7DE1"/>
    <w:rsid w:val="009D0EFF"/>
    <w:rsid w:val="009D4A49"/>
    <w:rsid w:val="009D6C0E"/>
    <w:rsid w:val="009D78B9"/>
    <w:rsid w:val="009E0B0E"/>
    <w:rsid w:val="009E1B40"/>
    <w:rsid w:val="009E2EA0"/>
    <w:rsid w:val="009E36B1"/>
    <w:rsid w:val="009E4296"/>
    <w:rsid w:val="009E66E6"/>
    <w:rsid w:val="009E6C0E"/>
    <w:rsid w:val="009E6F92"/>
    <w:rsid w:val="009F0513"/>
    <w:rsid w:val="009F1D6A"/>
    <w:rsid w:val="009F4534"/>
    <w:rsid w:val="00A008F2"/>
    <w:rsid w:val="00A0091B"/>
    <w:rsid w:val="00A014F7"/>
    <w:rsid w:val="00A03FCD"/>
    <w:rsid w:val="00A044C5"/>
    <w:rsid w:val="00A121ED"/>
    <w:rsid w:val="00A12A61"/>
    <w:rsid w:val="00A13A97"/>
    <w:rsid w:val="00A14FA5"/>
    <w:rsid w:val="00A15FE3"/>
    <w:rsid w:val="00A178AC"/>
    <w:rsid w:val="00A24E4E"/>
    <w:rsid w:val="00A25100"/>
    <w:rsid w:val="00A25487"/>
    <w:rsid w:val="00A25916"/>
    <w:rsid w:val="00A26553"/>
    <w:rsid w:val="00A27057"/>
    <w:rsid w:val="00A313E8"/>
    <w:rsid w:val="00A333D4"/>
    <w:rsid w:val="00A42244"/>
    <w:rsid w:val="00A429A3"/>
    <w:rsid w:val="00A42A9B"/>
    <w:rsid w:val="00A437A5"/>
    <w:rsid w:val="00A45C61"/>
    <w:rsid w:val="00A4619E"/>
    <w:rsid w:val="00A47306"/>
    <w:rsid w:val="00A52CE0"/>
    <w:rsid w:val="00A71895"/>
    <w:rsid w:val="00A811DF"/>
    <w:rsid w:val="00A82D0E"/>
    <w:rsid w:val="00A83406"/>
    <w:rsid w:val="00A84443"/>
    <w:rsid w:val="00A86B3D"/>
    <w:rsid w:val="00A9095D"/>
    <w:rsid w:val="00AA110D"/>
    <w:rsid w:val="00AA198B"/>
    <w:rsid w:val="00AA6B9A"/>
    <w:rsid w:val="00AB5774"/>
    <w:rsid w:val="00AC36A2"/>
    <w:rsid w:val="00AC5201"/>
    <w:rsid w:val="00AC7225"/>
    <w:rsid w:val="00AD0553"/>
    <w:rsid w:val="00AD0649"/>
    <w:rsid w:val="00AD6FB0"/>
    <w:rsid w:val="00AD7842"/>
    <w:rsid w:val="00AE1DF2"/>
    <w:rsid w:val="00AE3FC6"/>
    <w:rsid w:val="00AF047B"/>
    <w:rsid w:val="00AF07FE"/>
    <w:rsid w:val="00B00DC8"/>
    <w:rsid w:val="00B03B83"/>
    <w:rsid w:val="00B0729E"/>
    <w:rsid w:val="00B10FBC"/>
    <w:rsid w:val="00B12351"/>
    <w:rsid w:val="00B1300C"/>
    <w:rsid w:val="00B22218"/>
    <w:rsid w:val="00B234FD"/>
    <w:rsid w:val="00B237EB"/>
    <w:rsid w:val="00B2401A"/>
    <w:rsid w:val="00B25400"/>
    <w:rsid w:val="00B25B6A"/>
    <w:rsid w:val="00B27124"/>
    <w:rsid w:val="00B337A3"/>
    <w:rsid w:val="00B3698F"/>
    <w:rsid w:val="00B45BCA"/>
    <w:rsid w:val="00B50223"/>
    <w:rsid w:val="00B50735"/>
    <w:rsid w:val="00B515FD"/>
    <w:rsid w:val="00B5179A"/>
    <w:rsid w:val="00B521CB"/>
    <w:rsid w:val="00B526AA"/>
    <w:rsid w:val="00B54AA6"/>
    <w:rsid w:val="00B57A71"/>
    <w:rsid w:val="00B6018C"/>
    <w:rsid w:val="00B6110C"/>
    <w:rsid w:val="00B64A28"/>
    <w:rsid w:val="00B64C55"/>
    <w:rsid w:val="00B66EFE"/>
    <w:rsid w:val="00B71D07"/>
    <w:rsid w:val="00B72AA9"/>
    <w:rsid w:val="00B800D6"/>
    <w:rsid w:val="00B81810"/>
    <w:rsid w:val="00B826CA"/>
    <w:rsid w:val="00B82F00"/>
    <w:rsid w:val="00B83AD6"/>
    <w:rsid w:val="00B86C00"/>
    <w:rsid w:val="00B87D18"/>
    <w:rsid w:val="00B908E3"/>
    <w:rsid w:val="00B90BA8"/>
    <w:rsid w:val="00B938CE"/>
    <w:rsid w:val="00B93CAD"/>
    <w:rsid w:val="00B93F58"/>
    <w:rsid w:val="00B963BE"/>
    <w:rsid w:val="00BA0545"/>
    <w:rsid w:val="00BA1B39"/>
    <w:rsid w:val="00BA21C9"/>
    <w:rsid w:val="00BB1B83"/>
    <w:rsid w:val="00BB24FE"/>
    <w:rsid w:val="00BB6BDD"/>
    <w:rsid w:val="00BB7E47"/>
    <w:rsid w:val="00BC17C1"/>
    <w:rsid w:val="00BC2243"/>
    <w:rsid w:val="00BC237A"/>
    <w:rsid w:val="00BC3116"/>
    <w:rsid w:val="00BC4D3C"/>
    <w:rsid w:val="00BC6DA2"/>
    <w:rsid w:val="00BD0B1C"/>
    <w:rsid w:val="00BD38BB"/>
    <w:rsid w:val="00BD6B46"/>
    <w:rsid w:val="00BE1014"/>
    <w:rsid w:val="00BE1456"/>
    <w:rsid w:val="00BE197E"/>
    <w:rsid w:val="00BE5308"/>
    <w:rsid w:val="00BE5903"/>
    <w:rsid w:val="00BF26B9"/>
    <w:rsid w:val="00BF2A52"/>
    <w:rsid w:val="00BF4323"/>
    <w:rsid w:val="00C0055F"/>
    <w:rsid w:val="00C04DD4"/>
    <w:rsid w:val="00C120CE"/>
    <w:rsid w:val="00C15AA9"/>
    <w:rsid w:val="00C15E7F"/>
    <w:rsid w:val="00C176E0"/>
    <w:rsid w:val="00C254B6"/>
    <w:rsid w:val="00C2591E"/>
    <w:rsid w:val="00C31612"/>
    <w:rsid w:val="00C320AE"/>
    <w:rsid w:val="00C37C82"/>
    <w:rsid w:val="00C44385"/>
    <w:rsid w:val="00C61F3F"/>
    <w:rsid w:val="00C7023B"/>
    <w:rsid w:val="00C76F2E"/>
    <w:rsid w:val="00C83B13"/>
    <w:rsid w:val="00C87E06"/>
    <w:rsid w:val="00C91307"/>
    <w:rsid w:val="00C96F23"/>
    <w:rsid w:val="00CA05F9"/>
    <w:rsid w:val="00CA2024"/>
    <w:rsid w:val="00CA2A27"/>
    <w:rsid w:val="00CA4958"/>
    <w:rsid w:val="00CA6C05"/>
    <w:rsid w:val="00CA7379"/>
    <w:rsid w:val="00CB1B3A"/>
    <w:rsid w:val="00CB3303"/>
    <w:rsid w:val="00CB5090"/>
    <w:rsid w:val="00CC1889"/>
    <w:rsid w:val="00CC3DA2"/>
    <w:rsid w:val="00CC5DCE"/>
    <w:rsid w:val="00CD0E33"/>
    <w:rsid w:val="00CD3CDE"/>
    <w:rsid w:val="00CE549E"/>
    <w:rsid w:val="00CE6657"/>
    <w:rsid w:val="00CF1371"/>
    <w:rsid w:val="00CF72DD"/>
    <w:rsid w:val="00CF785A"/>
    <w:rsid w:val="00CF7975"/>
    <w:rsid w:val="00D0219A"/>
    <w:rsid w:val="00D0762C"/>
    <w:rsid w:val="00D07A08"/>
    <w:rsid w:val="00D07BA0"/>
    <w:rsid w:val="00D1387C"/>
    <w:rsid w:val="00D146C3"/>
    <w:rsid w:val="00D154C7"/>
    <w:rsid w:val="00D17547"/>
    <w:rsid w:val="00D22AB7"/>
    <w:rsid w:val="00D23B4F"/>
    <w:rsid w:val="00D300A0"/>
    <w:rsid w:val="00D309FE"/>
    <w:rsid w:val="00D32742"/>
    <w:rsid w:val="00D32D71"/>
    <w:rsid w:val="00D46074"/>
    <w:rsid w:val="00D526FE"/>
    <w:rsid w:val="00D53879"/>
    <w:rsid w:val="00D63E74"/>
    <w:rsid w:val="00D67F98"/>
    <w:rsid w:val="00D73D54"/>
    <w:rsid w:val="00D7491A"/>
    <w:rsid w:val="00D76269"/>
    <w:rsid w:val="00D839F5"/>
    <w:rsid w:val="00D839FC"/>
    <w:rsid w:val="00D87711"/>
    <w:rsid w:val="00D90601"/>
    <w:rsid w:val="00D91753"/>
    <w:rsid w:val="00D919F1"/>
    <w:rsid w:val="00D91ABB"/>
    <w:rsid w:val="00D962AD"/>
    <w:rsid w:val="00D97FE6"/>
    <w:rsid w:val="00DA3120"/>
    <w:rsid w:val="00DA3448"/>
    <w:rsid w:val="00DA3E9F"/>
    <w:rsid w:val="00DA612F"/>
    <w:rsid w:val="00DA6398"/>
    <w:rsid w:val="00DA7D79"/>
    <w:rsid w:val="00DB7889"/>
    <w:rsid w:val="00DD24C5"/>
    <w:rsid w:val="00DE154A"/>
    <w:rsid w:val="00DE1E4D"/>
    <w:rsid w:val="00DE4D92"/>
    <w:rsid w:val="00DE6270"/>
    <w:rsid w:val="00E11167"/>
    <w:rsid w:val="00E16591"/>
    <w:rsid w:val="00E2133B"/>
    <w:rsid w:val="00E21BEE"/>
    <w:rsid w:val="00E2763D"/>
    <w:rsid w:val="00E3411F"/>
    <w:rsid w:val="00E34F0E"/>
    <w:rsid w:val="00E36CEC"/>
    <w:rsid w:val="00E411F8"/>
    <w:rsid w:val="00E43DE4"/>
    <w:rsid w:val="00E50E05"/>
    <w:rsid w:val="00E53D4D"/>
    <w:rsid w:val="00E61264"/>
    <w:rsid w:val="00E65BA6"/>
    <w:rsid w:val="00E65F1B"/>
    <w:rsid w:val="00E6774A"/>
    <w:rsid w:val="00E679C0"/>
    <w:rsid w:val="00E77309"/>
    <w:rsid w:val="00E81039"/>
    <w:rsid w:val="00E86740"/>
    <w:rsid w:val="00E96AA4"/>
    <w:rsid w:val="00EA103B"/>
    <w:rsid w:val="00EA37DA"/>
    <w:rsid w:val="00EB698C"/>
    <w:rsid w:val="00EC129C"/>
    <w:rsid w:val="00EC2899"/>
    <w:rsid w:val="00EC4A5A"/>
    <w:rsid w:val="00EC7353"/>
    <w:rsid w:val="00ED2670"/>
    <w:rsid w:val="00ED5844"/>
    <w:rsid w:val="00EE046A"/>
    <w:rsid w:val="00EE069F"/>
    <w:rsid w:val="00EE2482"/>
    <w:rsid w:val="00EE5441"/>
    <w:rsid w:val="00EE6354"/>
    <w:rsid w:val="00EE66EC"/>
    <w:rsid w:val="00EE68CD"/>
    <w:rsid w:val="00EE7B7B"/>
    <w:rsid w:val="00EF1C2A"/>
    <w:rsid w:val="00EF42CF"/>
    <w:rsid w:val="00F0147C"/>
    <w:rsid w:val="00F01BFD"/>
    <w:rsid w:val="00F01D8C"/>
    <w:rsid w:val="00F021ED"/>
    <w:rsid w:val="00F10D92"/>
    <w:rsid w:val="00F17A6A"/>
    <w:rsid w:val="00F21047"/>
    <w:rsid w:val="00F404CF"/>
    <w:rsid w:val="00F416F4"/>
    <w:rsid w:val="00F419BB"/>
    <w:rsid w:val="00F41B0B"/>
    <w:rsid w:val="00F46F7D"/>
    <w:rsid w:val="00F5111C"/>
    <w:rsid w:val="00F625A5"/>
    <w:rsid w:val="00F62ED5"/>
    <w:rsid w:val="00F63C49"/>
    <w:rsid w:val="00F64128"/>
    <w:rsid w:val="00F65077"/>
    <w:rsid w:val="00F67ED3"/>
    <w:rsid w:val="00F70DD1"/>
    <w:rsid w:val="00F71197"/>
    <w:rsid w:val="00F7214A"/>
    <w:rsid w:val="00F77459"/>
    <w:rsid w:val="00F80FBA"/>
    <w:rsid w:val="00F82176"/>
    <w:rsid w:val="00F8542E"/>
    <w:rsid w:val="00F8747C"/>
    <w:rsid w:val="00F87A30"/>
    <w:rsid w:val="00F90450"/>
    <w:rsid w:val="00F92454"/>
    <w:rsid w:val="00F95F5F"/>
    <w:rsid w:val="00F97CFC"/>
    <w:rsid w:val="00FA7577"/>
    <w:rsid w:val="00FB1B29"/>
    <w:rsid w:val="00FB5E97"/>
    <w:rsid w:val="00FB6FDF"/>
    <w:rsid w:val="00FB7C15"/>
    <w:rsid w:val="00FC0F17"/>
    <w:rsid w:val="00FC1049"/>
    <w:rsid w:val="00FC2F59"/>
    <w:rsid w:val="00FC3C14"/>
    <w:rsid w:val="00FC4E90"/>
    <w:rsid w:val="00FC5DF2"/>
    <w:rsid w:val="00FD0873"/>
    <w:rsid w:val="00FD13E8"/>
    <w:rsid w:val="00FD26FE"/>
    <w:rsid w:val="00FD43F0"/>
    <w:rsid w:val="00FD52FC"/>
    <w:rsid w:val="00FE13BE"/>
    <w:rsid w:val="00FE27FA"/>
    <w:rsid w:val="00FE63B9"/>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3E7F7CE"/>
  <w15:docId w15:val="{DCF2F1A3-F28A-4830-A49B-432BD13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81CC4"/>
    <w:pPr>
      <w:keepNext/>
      <w:keepLines/>
      <w:spacing w:before="200" w:after="200"/>
      <w:jc w:val="both"/>
      <w:outlineLvl w:val="2"/>
    </w:pPr>
    <w:rPr>
      <w:rFonts w:ascii="Arial" w:eastAsiaTheme="majorEastAsia" w:hAnsi="Arial" w:cstheme="majorBidi"/>
      <w:b/>
      <w:i/>
      <w:color w:val="243F60" w:themeColor="accent1" w:themeShade="7F"/>
      <w:sz w:val="20"/>
      <w:lang w:val="en-GB"/>
    </w:rPr>
  </w:style>
  <w:style w:type="paragraph" w:styleId="Heading4">
    <w:name w:val="heading 4"/>
    <w:basedOn w:val="Normal"/>
    <w:next w:val="Normal"/>
    <w:link w:val="Heading4Char"/>
    <w:uiPriority w:val="9"/>
    <w:unhideWhenUsed/>
    <w:qFormat/>
    <w:rsid w:val="00981CC4"/>
    <w:pPr>
      <w:keepNext/>
      <w:keepLines/>
      <w:spacing w:before="200" w:after="200"/>
      <w:jc w:val="both"/>
      <w:outlineLvl w:val="3"/>
    </w:pPr>
    <w:rPr>
      <w:rFonts w:ascii="Arial" w:eastAsiaTheme="majorEastAsia" w:hAnsi="Arial" w:cstheme="majorBidi"/>
      <w:b/>
      <w:i/>
      <w:iCs/>
      <w:color w:val="595959" w:themeColor="text1" w:themeTint="A6"/>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uiPriority w:val="99"/>
    <w:rsid w:val="00E11167"/>
    <w:pPr>
      <w:tabs>
        <w:tab w:val="center" w:pos="4536"/>
        <w:tab w:val="right" w:pos="9072"/>
      </w:tabs>
    </w:pPr>
  </w:style>
  <w:style w:type="character" w:customStyle="1" w:styleId="FooterChar">
    <w:name w:val="Footer Char"/>
    <w:basedOn w:val="DefaultParagraphFont"/>
    <w:link w:val="Footer"/>
    <w:uiPriority w:val="99"/>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link w:val="ListParagraphChar"/>
    <w:uiPriority w:val="34"/>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 w:type="character" w:customStyle="1" w:styleId="ListParagraphChar">
    <w:name w:val="List Paragraph Char"/>
    <w:basedOn w:val="DefaultParagraphFont"/>
    <w:link w:val="ListParagraph"/>
    <w:uiPriority w:val="34"/>
    <w:locked/>
    <w:rsid w:val="0029042B"/>
    <w:rPr>
      <w:rFonts w:ascii="Times New Roman" w:eastAsia="Times New Roman" w:hAnsi="Times New Roman" w:cs="Times New Roman"/>
      <w:sz w:val="24"/>
      <w:szCs w:val="24"/>
    </w:rPr>
  </w:style>
  <w:style w:type="paragraph" w:styleId="Revision">
    <w:name w:val="Revision"/>
    <w:hidden/>
    <w:uiPriority w:val="99"/>
    <w:semiHidden/>
    <w:rsid w:val="008433DD"/>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F26B9"/>
  </w:style>
  <w:style w:type="character" w:customStyle="1" w:styleId="Heading3Char">
    <w:name w:val="Heading 3 Char"/>
    <w:basedOn w:val="DefaultParagraphFont"/>
    <w:link w:val="Heading3"/>
    <w:uiPriority w:val="9"/>
    <w:rsid w:val="00981CC4"/>
    <w:rPr>
      <w:rFonts w:ascii="Arial" w:eastAsiaTheme="majorEastAsia" w:hAnsi="Arial" w:cstheme="majorBidi"/>
      <w:b/>
      <w:i/>
      <w:color w:val="243F60" w:themeColor="accent1" w:themeShade="7F"/>
      <w:sz w:val="20"/>
      <w:szCs w:val="24"/>
      <w:lang w:val="en-GB"/>
    </w:rPr>
  </w:style>
  <w:style w:type="character" w:customStyle="1" w:styleId="Heading4Char">
    <w:name w:val="Heading 4 Char"/>
    <w:basedOn w:val="DefaultParagraphFont"/>
    <w:link w:val="Heading4"/>
    <w:uiPriority w:val="9"/>
    <w:rsid w:val="00981CC4"/>
    <w:rPr>
      <w:rFonts w:ascii="Arial" w:eastAsiaTheme="majorEastAsia" w:hAnsi="Arial" w:cstheme="majorBidi"/>
      <w:b/>
      <w:i/>
      <w:iCs/>
      <w:color w:val="595959" w:themeColor="text1" w:themeTint="A6"/>
      <w:sz w:val="20"/>
      <w:szCs w:val="24"/>
      <w:lang w:val="en-GB"/>
    </w:rPr>
  </w:style>
  <w:style w:type="paragraph" w:styleId="NoSpacing">
    <w:name w:val="No Spacing"/>
    <w:aliases w:val="Normal_FR"/>
    <w:uiPriority w:val="1"/>
    <w:qFormat/>
    <w:rsid w:val="00981CC4"/>
    <w:pPr>
      <w:spacing w:before="120" w:after="120" w:line="240" w:lineRule="auto"/>
      <w:jc w:val="both"/>
    </w:pPr>
    <w:rPr>
      <w:rFonts w:ascii="Arial" w:hAnsi="Arial"/>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535235923">
      <w:bodyDiv w:val="1"/>
      <w:marLeft w:val="0"/>
      <w:marRight w:val="0"/>
      <w:marTop w:val="0"/>
      <w:marBottom w:val="0"/>
      <w:divBdr>
        <w:top w:val="none" w:sz="0" w:space="0" w:color="auto"/>
        <w:left w:val="none" w:sz="0" w:space="0" w:color="auto"/>
        <w:bottom w:val="none" w:sz="0" w:space="0" w:color="auto"/>
        <w:right w:val="none" w:sz="0" w:space="0" w:color="auto"/>
      </w:divBdr>
    </w:div>
    <w:div w:id="715012845">
      <w:bodyDiv w:val="1"/>
      <w:marLeft w:val="0"/>
      <w:marRight w:val="0"/>
      <w:marTop w:val="0"/>
      <w:marBottom w:val="0"/>
      <w:divBdr>
        <w:top w:val="none" w:sz="0" w:space="0" w:color="auto"/>
        <w:left w:val="none" w:sz="0" w:space="0" w:color="auto"/>
        <w:bottom w:val="none" w:sz="0" w:space="0" w:color="auto"/>
        <w:right w:val="none" w:sz="0" w:space="0" w:color="auto"/>
      </w:divBdr>
    </w:div>
    <w:div w:id="719979704">
      <w:bodyDiv w:val="1"/>
      <w:marLeft w:val="0"/>
      <w:marRight w:val="0"/>
      <w:marTop w:val="0"/>
      <w:marBottom w:val="0"/>
      <w:divBdr>
        <w:top w:val="none" w:sz="0" w:space="0" w:color="auto"/>
        <w:left w:val="none" w:sz="0" w:space="0" w:color="auto"/>
        <w:bottom w:val="none" w:sz="0" w:space="0" w:color="auto"/>
        <w:right w:val="none" w:sz="0" w:space="0" w:color="auto"/>
      </w:divBdr>
    </w:div>
    <w:div w:id="768162492">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075782692">
      <w:bodyDiv w:val="1"/>
      <w:marLeft w:val="0"/>
      <w:marRight w:val="0"/>
      <w:marTop w:val="0"/>
      <w:marBottom w:val="0"/>
      <w:divBdr>
        <w:top w:val="none" w:sz="0" w:space="0" w:color="auto"/>
        <w:left w:val="none" w:sz="0" w:space="0" w:color="auto"/>
        <w:bottom w:val="none" w:sz="0" w:space="0" w:color="auto"/>
        <w:right w:val="none" w:sz="0" w:space="0" w:color="auto"/>
      </w:divBdr>
    </w:div>
    <w:div w:id="1133015032">
      <w:bodyDiv w:val="1"/>
      <w:marLeft w:val="0"/>
      <w:marRight w:val="0"/>
      <w:marTop w:val="0"/>
      <w:marBottom w:val="0"/>
      <w:divBdr>
        <w:top w:val="none" w:sz="0" w:space="0" w:color="auto"/>
        <w:left w:val="none" w:sz="0" w:space="0" w:color="auto"/>
        <w:bottom w:val="none" w:sz="0" w:space="0" w:color="auto"/>
        <w:right w:val="none" w:sz="0" w:space="0" w:color="auto"/>
      </w:divBdr>
    </w:div>
    <w:div w:id="1340081863">
      <w:bodyDiv w:val="1"/>
      <w:marLeft w:val="0"/>
      <w:marRight w:val="0"/>
      <w:marTop w:val="0"/>
      <w:marBottom w:val="0"/>
      <w:divBdr>
        <w:top w:val="none" w:sz="0" w:space="0" w:color="auto"/>
        <w:left w:val="none" w:sz="0" w:space="0" w:color="auto"/>
        <w:bottom w:val="none" w:sz="0" w:space="0" w:color="auto"/>
        <w:right w:val="none" w:sz="0" w:space="0" w:color="auto"/>
      </w:divBdr>
    </w:div>
    <w:div w:id="1385179688">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1902054941">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a.h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84F5-6440-4E2B-B606-D7D80270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8</cp:revision>
  <cp:lastPrinted>2019-07-26T09:19:00Z</cp:lastPrinted>
  <dcterms:created xsi:type="dcterms:W3CDTF">2019-07-25T14:41:00Z</dcterms:created>
  <dcterms:modified xsi:type="dcterms:W3CDTF">2019-07-26T09:19:00Z</dcterms:modified>
</cp:coreProperties>
</file>