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73C24" w14:textId="77777777" w:rsidR="00E11167" w:rsidRDefault="00E11167" w:rsidP="00E11167">
      <w:pPr>
        <w:rPr>
          <w:rFonts w:asciiTheme="minorHAnsi" w:hAnsiTheme="minorHAnsi" w:cstheme="minorHAnsi"/>
        </w:rPr>
      </w:pPr>
    </w:p>
    <w:p w14:paraId="0BFB0347" w14:textId="77777777" w:rsidR="00671731" w:rsidRPr="001417BE" w:rsidRDefault="00671731" w:rsidP="00E11167">
      <w:pPr>
        <w:rPr>
          <w:rFonts w:asciiTheme="minorHAnsi" w:hAnsiTheme="minorHAnsi" w:cstheme="minorHAnsi"/>
        </w:rPr>
      </w:pPr>
    </w:p>
    <w:p w14:paraId="37B9783C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61466D89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65E51581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2076F5EB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0EC4FC1C" w14:textId="77777777" w:rsidR="00477051" w:rsidRPr="001417BE" w:rsidRDefault="00E11167" w:rsidP="00E11167">
      <w:pPr>
        <w:jc w:val="center"/>
        <w:rPr>
          <w:rFonts w:asciiTheme="minorHAnsi" w:hAnsiTheme="minorHAnsi" w:cstheme="minorHAnsi"/>
          <w:sz w:val="56"/>
          <w:szCs w:val="56"/>
        </w:rPr>
      </w:pPr>
      <w:r w:rsidRPr="001417BE">
        <w:rPr>
          <w:rFonts w:asciiTheme="minorHAnsi" w:hAnsiTheme="minorHAnsi" w:cstheme="minorHAnsi"/>
          <w:sz w:val="56"/>
          <w:szCs w:val="56"/>
        </w:rPr>
        <w:t>FINANCI</w:t>
      </w:r>
      <w:r w:rsidR="00D6588F" w:rsidRPr="001417BE">
        <w:rPr>
          <w:rFonts w:asciiTheme="minorHAnsi" w:hAnsiTheme="minorHAnsi" w:cstheme="minorHAnsi"/>
          <w:sz w:val="56"/>
          <w:szCs w:val="56"/>
        </w:rPr>
        <w:t>JSKI REZULTATI</w:t>
      </w:r>
      <w:r w:rsidR="00AA2BF5" w:rsidRPr="001417BE">
        <w:rPr>
          <w:rFonts w:asciiTheme="minorHAnsi" w:hAnsiTheme="minorHAnsi" w:cstheme="minorHAnsi"/>
          <w:sz w:val="56"/>
          <w:szCs w:val="56"/>
        </w:rPr>
        <w:t xml:space="preserve"> </w:t>
      </w:r>
    </w:p>
    <w:p w14:paraId="36087971" w14:textId="4ABADDAB" w:rsidR="00E11167" w:rsidRPr="001417BE" w:rsidRDefault="00AA2BF5" w:rsidP="00E11167">
      <w:pPr>
        <w:jc w:val="center"/>
        <w:rPr>
          <w:rFonts w:asciiTheme="minorHAnsi" w:hAnsiTheme="minorHAnsi" w:cstheme="minorHAnsi"/>
          <w:sz w:val="56"/>
          <w:szCs w:val="56"/>
        </w:rPr>
      </w:pPr>
      <w:r w:rsidRPr="001417BE">
        <w:rPr>
          <w:rFonts w:asciiTheme="minorHAnsi" w:hAnsiTheme="minorHAnsi" w:cstheme="minorHAnsi"/>
          <w:sz w:val="56"/>
          <w:szCs w:val="56"/>
        </w:rPr>
        <w:t>ZA</w:t>
      </w:r>
      <w:r w:rsidR="00477051" w:rsidRPr="001417BE">
        <w:rPr>
          <w:rFonts w:asciiTheme="minorHAnsi" w:hAnsiTheme="minorHAnsi" w:cstheme="minorHAnsi"/>
          <w:sz w:val="56"/>
          <w:szCs w:val="56"/>
        </w:rPr>
        <w:t xml:space="preserve"> </w:t>
      </w:r>
      <w:r w:rsidR="009E7304">
        <w:rPr>
          <w:rFonts w:asciiTheme="minorHAnsi" w:hAnsiTheme="minorHAnsi" w:cstheme="minorHAnsi"/>
          <w:sz w:val="56"/>
          <w:szCs w:val="56"/>
        </w:rPr>
        <w:t xml:space="preserve">PRVO </w:t>
      </w:r>
      <w:r w:rsidR="00F55414">
        <w:rPr>
          <w:rFonts w:asciiTheme="minorHAnsi" w:hAnsiTheme="minorHAnsi" w:cstheme="minorHAnsi"/>
          <w:sz w:val="56"/>
          <w:szCs w:val="56"/>
        </w:rPr>
        <w:t>POLUGODIŠTE</w:t>
      </w:r>
      <w:r w:rsidR="009E7304">
        <w:rPr>
          <w:rFonts w:asciiTheme="minorHAnsi" w:hAnsiTheme="minorHAnsi" w:cstheme="minorHAnsi"/>
          <w:sz w:val="56"/>
          <w:szCs w:val="56"/>
        </w:rPr>
        <w:t xml:space="preserve"> 2019. GODINE</w:t>
      </w:r>
    </w:p>
    <w:p w14:paraId="7E27B186" w14:textId="77777777" w:rsidR="00E11167" w:rsidRPr="001417BE" w:rsidRDefault="00E11167" w:rsidP="00E11167">
      <w:pPr>
        <w:jc w:val="center"/>
        <w:rPr>
          <w:rFonts w:asciiTheme="minorHAnsi" w:hAnsiTheme="minorHAnsi" w:cstheme="minorHAnsi"/>
          <w:sz w:val="56"/>
          <w:szCs w:val="56"/>
        </w:rPr>
      </w:pPr>
    </w:p>
    <w:p w14:paraId="53D25AD6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47F3B901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6C0D3F77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5348ABD8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25F561CD" w14:textId="77777777" w:rsidR="00E11167" w:rsidRPr="001417BE" w:rsidRDefault="00E11167" w:rsidP="00E11167">
      <w:pPr>
        <w:rPr>
          <w:rFonts w:asciiTheme="minorHAnsi" w:hAnsiTheme="minorHAnsi" w:cstheme="minorHAnsi"/>
        </w:rPr>
      </w:pPr>
    </w:p>
    <w:p w14:paraId="51B5B144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425E5598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38068488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6D1726DA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2C3A640B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571CD4BC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081A08DE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69D2D495" w14:textId="77777777" w:rsidR="00E11167" w:rsidRPr="001417BE" w:rsidRDefault="00E11167" w:rsidP="00E11167">
      <w:pPr>
        <w:rPr>
          <w:rFonts w:asciiTheme="minorHAnsi" w:hAnsiTheme="minorHAnsi" w:cstheme="minorHAnsi"/>
          <w:sz w:val="20"/>
          <w:szCs w:val="20"/>
        </w:rPr>
      </w:pPr>
    </w:p>
    <w:p w14:paraId="58325136" w14:textId="77777777" w:rsidR="00D6588F" w:rsidRPr="001417BE" w:rsidRDefault="00D6588F" w:rsidP="00D6588F">
      <w:pPr>
        <w:jc w:val="both"/>
        <w:outlineLvl w:val="0"/>
        <w:rPr>
          <w:rFonts w:asciiTheme="minorHAnsi" w:hAnsiTheme="minorHAnsi" w:cstheme="minorHAnsi"/>
          <w:color w:val="808080"/>
          <w:sz w:val="20"/>
          <w:szCs w:val="20"/>
        </w:rPr>
      </w:pPr>
      <w:r w:rsidRPr="001417BE">
        <w:rPr>
          <w:rFonts w:asciiTheme="minorHAnsi" w:hAnsiTheme="minorHAnsi" w:cstheme="minorHAnsi"/>
          <w:color w:val="808080"/>
          <w:sz w:val="20"/>
          <w:szCs w:val="20"/>
        </w:rPr>
        <w:t>Kontakt:</w:t>
      </w:r>
    </w:p>
    <w:p w14:paraId="1D6272D7" w14:textId="77777777" w:rsidR="00D6588F" w:rsidRPr="001417BE" w:rsidRDefault="00D6588F" w:rsidP="00D65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DC5CFF" w14:textId="77777777" w:rsidR="00D6588F" w:rsidRPr="001417BE" w:rsidRDefault="00D6588F" w:rsidP="00D6588F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1417BE">
        <w:rPr>
          <w:rFonts w:asciiTheme="minorHAnsi" w:hAnsiTheme="minorHAnsi" w:cstheme="minorHAnsi"/>
          <w:color w:val="999999"/>
          <w:sz w:val="20"/>
          <w:szCs w:val="20"/>
        </w:rPr>
        <w:t>INA-Industrija nafte, d.d.</w:t>
      </w:r>
    </w:p>
    <w:p w14:paraId="74E899FF" w14:textId="77777777" w:rsidR="00D6588F" w:rsidRPr="001417BE" w:rsidRDefault="00A30EF9" w:rsidP="00D6588F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1417BE">
        <w:rPr>
          <w:rFonts w:asciiTheme="minorHAnsi" w:hAnsiTheme="minorHAnsi" w:cstheme="minorHAnsi"/>
          <w:color w:val="999999"/>
          <w:sz w:val="20"/>
          <w:szCs w:val="20"/>
        </w:rPr>
        <w:t>Ko</w:t>
      </w:r>
      <w:r w:rsidR="00D6588F" w:rsidRPr="001417BE">
        <w:rPr>
          <w:rFonts w:asciiTheme="minorHAnsi" w:hAnsiTheme="minorHAnsi" w:cstheme="minorHAnsi"/>
          <w:color w:val="999999"/>
          <w:sz w:val="20"/>
          <w:szCs w:val="20"/>
        </w:rPr>
        <w:t>rporativn</w:t>
      </w:r>
      <w:r w:rsidRPr="001417BE">
        <w:rPr>
          <w:rFonts w:asciiTheme="minorHAnsi" w:hAnsiTheme="minorHAnsi" w:cstheme="minorHAnsi"/>
          <w:color w:val="999999"/>
          <w:sz w:val="20"/>
          <w:szCs w:val="20"/>
        </w:rPr>
        <w:t>e</w:t>
      </w:r>
      <w:r w:rsidR="00D6588F" w:rsidRPr="001417BE">
        <w:rPr>
          <w:rFonts w:asciiTheme="minorHAnsi" w:hAnsiTheme="minorHAnsi" w:cstheme="minorHAnsi"/>
          <w:color w:val="999999"/>
          <w:sz w:val="20"/>
          <w:szCs w:val="20"/>
        </w:rPr>
        <w:t xml:space="preserve"> komunikacij</w:t>
      </w:r>
      <w:r w:rsidRPr="001417BE">
        <w:rPr>
          <w:rFonts w:asciiTheme="minorHAnsi" w:hAnsiTheme="minorHAnsi" w:cstheme="minorHAnsi"/>
          <w:color w:val="999999"/>
          <w:sz w:val="20"/>
          <w:szCs w:val="20"/>
        </w:rPr>
        <w:t>e</w:t>
      </w:r>
      <w:r w:rsidR="00D6588F" w:rsidRPr="001417BE">
        <w:rPr>
          <w:rFonts w:asciiTheme="minorHAnsi" w:hAnsiTheme="minorHAnsi" w:cstheme="minorHAnsi"/>
          <w:color w:val="999999"/>
          <w:sz w:val="20"/>
          <w:szCs w:val="20"/>
        </w:rPr>
        <w:t xml:space="preserve"> </w:t>
      </w:r>
    </w:p>
    <w:p w14:paraId="1A68B30A" w14:textId="77777777" w:rsidR="00D6588F" w:rsidRPr="001417BE" w:rsidRDefault="00D6588F" w:rsidP="00D6588F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1417BE">
        <w:rPr>
          <w:rFonts w:asciiTheme="minorHAnsi" w:hAnsiTheme="minorHAnsi" w:cstheme="minorHAnsi"/>
          <w:color w:val="999999"/>
          <w:sz w:val="20"/>
          <w:szCs w:val="20"/>
        </w:rPr>
        <w:t>Avenija Većeslava Holjevca 10, Zagreb</w:t>
      </w:r>
    </w:p>
    <w:p w14:paraId="3DA95396" w14:textId="77777777" w:rsidR="00D6588F" w:rsidRPr="001417BE" w:rsidRDefault="00D6588F" w:rsidP="00D6588F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</w:p>
    <w:p w14:paraId="23F869E0" w14:textId="226C4CE7" w:rsidR="00D6588F" w:rsidRPr="001417BE" w:rsidRDefault="00707205" w:rsidP="00D6588F">
      <w:pPr>
        <w:jc w:val="both"/>
        <w:outlineLvl w:val="0"/>
        <w:rPr>
          <w:rFonts w:asciiTheme="minorHAnsi" w:hAnsiTheme="minorHAnsi" w:cstheme="minorHAnsi"/>
          <w:color w:val="999999"/>
          <w:sz w:val="20"/>
          <w:szCs w:val="20"/>
        </w:rPr>
      </w:pPr>
      <w:r>
        <w:rPr>
          <w:rFonts w:asciiTheme="minorHAnsi" w:hAnsiTheme="minorHAnsi" w:cstheme="minorHAnsi"/>
          <w:color w:val="999999"/>
          <w:sz w:val="20"/>
          <w:szCs w:val="20"/>
        </w:rPr>
        <w:t>Odnosi</w:t>
      </w:r>
      <w:r w:rsidR="00D6588F" w:rsidRPr="001417BE">
        <w:rPr>
          <w:rFonts w:asciiTheme="minorHAnsi" w:hAnsiTheme="minorHAnsi" w:cstheme="minorHAnsi"/>
          <w:color w:val="999999"/>
          <w:sz w:val="20"/>
          <w:szCs w:val="20"/>
        </w:rPr>
        <w:t xml:space="preserve"> s javnošću</w:t>
      </w:r>
    </w:p>
    <w:p w14:paraId="0C027BB0" w14:textId="77777777" w:rsidR="00D6588F" w:rsidRPr="001417BE" w:rsidRDefault="00D6588F" w:rsidP="00D6588F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1417BE">
        <w:rPr>
          <w:rFonts w:asciiTheme="minorHAnsi" w:hAnsiTheme="minorHAnsi" w:cstheme="minorHAnsi"/>
          <w:color w:val="999999"/>
          <w:sz w:val="20"/>
          <w:szCs w:val="20"/>
        </w:rPr>
        <w:t xml:space="preserve">E-mail:  </w:t>
      </w:r>
      <w:hyperlink r:id="rId8" w:history="1">
        <w:r w:rsidRPr="001417BE">
          <w:rPr>
            <w:rStyle w:val="Hyperlink"/>
            <w:rFonts w:asciiTheme="minorHAnsi" w:hAnsiTheme="minorHAnsi" w:cstheme="minorHAnsi"/>
            <w:color w:val="999999"/>
          </w:rPr>
          <w:t>PR@ina.hr</w:t>
        </w:r>
      </w:hyperlink>
    </w:p>
    <w:p w14:paraId="564FC316" w14:textId="77777777" w:rsidR="00E11167" w:rsidRPr="001417BE" w:rsidRDefault="00D6588F" w:rsidP="00D6588F">
      <w:pPr>
        <w:jc w:val="both"/>
        <w:rPr>
          <w:rFonts w:asciiTheme="minorHAnsi" w:hAnsiTheme="minorHAnsi" w:cstheme="minorHAnsi"/>
          <w:color w:val="999999"/>
          <w:sz w:val="20"/>
          <w:szCs w:val="20"/>
        </w:rPr>
      </w:pPr>
      <w:r w:rsidRPr="001417BE">
        <w:rPr>
          <w:rFonts w:asciiTheme="minorHAnsi" w:hAnsiTheme="minorHAnsi" w:cstheme="minorHAnsi"/>
          <w:color w:val="999999"/>
          <w:sz w:val="20"/>
          <w:szCs w:val="20"/>
        </w:rPr>
        <w:t xml:space="preserve">Press centar na </w:t>
      </w:r>
      <w:hyperlink r:id="rId9" w:history="1">
        <w:r w:rsidRPr="001417BE">
          <w:rPr>
            <w:rStyle w:val="Hyperlink"/>
            <w:rFonts w:asciiTheme="minorHAnsi" w:hAnsiTheme="minorHAnsi" w:cstheme="minorHAnsi"/>
            <w:color w:val="999999"/>
          </w:rPr>
          <w:t>www.ina.hr</w:t>
        </w:r>
      </w:hyperlink>
      <w:r w:rsidRPr="001417BE">
        <w:rPr>
          <w:rFonts w:asciiTheme="minorHAnsi" w:hAnsiTheme="minorHAnsi" w:cstheme="minorHAnsi"/>
          <w:color w:val="999999"/>
          <w:sz w:val="20"/>
          <w:szCs w:val="20"/>
        </w:rPr>
        <w:t xml:space="preserve"> </w:t>
      </w:r>
    </w:p>
    <w:p w14:paraId="4CFC0D04" w14:textId="77777777" w:rsidR="00E11167" w:rsidRPr="001417BE" w:rsidRDefault="00E11167" w:rsidP="00E11167">
      <w:pPr>
        <w:rPr>
          <w:rFonts w:asciiTheme="minorHAnsi" w:hAnsiTheme="minorHAnsi" w:cstheme="minorHAnsi"/>
        </w:rPr>
        <w:sectPr w:rsidR="00E11167" w:rsidRPr="001417BE" w:rsidSect="0039152A">
          <w:headerReference w:type="default" r:id="rId10"/>
          <w:footerReference w:type="default" r:id="rId11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C8C2D1D" w14:textId="77777777" w:rsidR="006D22B0" w:rsidRPr="001417BE" w:rsidRDefault="006D22B0" w:rsidP="00E111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OLE_LINK1"/>
    </w:p>
    <w:p w14:paraId="28ABA97F" w14:textId="77777777" w:rsidR="006A08BA" w:rsidRPr="001417BE" w:rsidRDefault="006A08BA" w:rsidP="00E1116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5C923FA2" w14:textId="32B1ACA9" w:rsidR="008900D5" w:rsidRPr="001417BE" w:rsidRDefault="008900D5" w:rsidP="008900D5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417BE">
        <w:rPr>
          <w:rFonts w:asciiTheme="minorHAnsi" w:hAnsiTheme="minorHAnsi" w:cstheme="minorHAnsi"/>
          <w:b/>
          <w:sz w:val="28"/>
          <w:szCs w:val="28"/>
        </w:rPr>
        <w:t>INA</w:t>
      </w:r>
      <w:r w:rsidR="00F55414">
        <w:rPr>
          <w:rFonts w:asciiTheme="minorHAnsi" w:hAnsiTheme="minorHAnsi" w:cstheme="minorHAnsi"/>
          <w:b/>
          <w:sz w:val="28"/>
          <w:szCs w:val="28"/>
        </w:rPr>
        <w:t xml:space="preserve"> je udvostručila ulaganja u Hrvatskoj u prvoj polovici 2019. godine</w:t>
      </w:r>
    </w:p>
    <w:p w14:paraId="71A0032A" w14:textId="77777777" w:rsidR="008900D5" w:rsidRPr="001417BE" w:rsidRDefault="008900D5" w:rsidP="008900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A64FE1" w14:textId="77777777" w:rsidR="008900D5" w:rsidRPr="001417BE" w:rsidRDefault="008900D5" w:rsidP="008900D5">
      <w:pPr>
        <w:rPr>
          <w:rFonts w:asciiTheme="minorHAnsi" w:hAnsiTheme="minorHAnsi" w:cstheme="minorHAnsi"/>
        </w:rPr>
      </w:pPr>
    </w:p>
    <w:p w14:paraId="61533AAF" w14:textId="77777777" w:rsidR="008900D5" w:rsidRPr="001417BE" w:rsidRDefault="008900D5" w:rsidP="008900D5">
      <w:pPr>
        <w:spacing w:line="360" w:lineRule="auto"/>
        <w:rPr>
          <w:rFonts w:asciiTheme="minorHAnsi" w:hAnsiTheme="minorHAnsi" w:cstheme="minorHAnsi"/>
          <w:b/>
        </w:rPr>
      </w:pPr>
      <w:r w:rsidRPr="001417BE">
        <w:rPr>
          <w:rFonts w:asciiTheme="minorHAnsi" w:hAnsiTheme="minorHAnsi" w:cstheme="minorHAnsi"/>
          <w:b/>
        </w:rPr>
        <w:t>K</w:t>
      </w:r>
      <w:r w:rsidR="001636C0">
        <w:rPr>
          <w:rFonts w:asciiTheme="minorHAnsi" w:hAnsiTheme="minorHAnsi" w:cstheme="minorHAnsi"/>
          <w:b/>
        </w:rPr>
        <w:t>ljučna postignuća</w:t>
      </w:r>
    </w:p>
    <w:p w14:paraId="50FF4482" w14:textId="600299B5" w:rsidR="008900D5" w:rsidRPr="001417BE" w:rsidRDefault="008900D5" w:rsidP="00F5541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417BE">
        <w:rPr>
          <w:rFonts w:asciiTheme="minorHAnsi" w:hAnsiTheme="minorHAnsi" w:cstheme="minorHAnsi"/>
        </w:rPr>
        <w:t>EBITDA</w:t>
      </w:r>
      <w:r w:rsidRPr="001417BE">
        <w:rPr>
          <w:rStyle w:val="FootnoteReference"/>
          <w:rFonts w:asciiTheme="minorHAnsi" w:hAnsiTheme="minorHAnsi" w:cstheme="minorHAnsi"/>
        </w:rPr>
        <w:footnoteReference w:id="1"/>
      </w:r>
      <w:r w:rsidRPr="001417BE">
        <w:rPr>
          <w:rFonts w:asciiTheme="minorHAnsi" w:hAnsiTheme="minorHAnsi" w:cstheme="minorHAnsi"/>
        </w:rPr>
        <w:t xml:space="preserve"> </w:t>
      </w:r>
      <w:r w:rsidR="001417BE">
        <w:rPr>
          <w:rFonts w:asciiTheme="minorHAnsi" w:hAnsiTheme="minorHAnsi" w:cstheme="minorHAnsi"/>
        </w:rPr>
        <w:t xml:space="preserve">INA Grupe iznosi </w:t>
      </w:r>
      <w:r w:rsidR="00F55414">
        <w:rPr>
          <w:rFonts w:asciiTheme="minorHAnsi" w:hAnsiTheme="minorHAnsi" w:cstheme="minorHAnsi"/>
        </w:rPr>
        <w:t>1.</w:t>
      </w:r>
      <w:r w:rsidR="00F55414" w:rsidRPr="00F55414">
        <w:rPr>
          <w:rFonts w:asciiTheme="minorHAnsi" w:hAnsiTheme="minorHAnsi" w:cstheme="minorHAnsi"/>
        </w:rPr>
        <w:t xml:space="preserve">122 </w:t>
      </w:r>
      <w:r w:rsidR="001417BE">
        <w:rPr>
          <w:rFonts w:asciiTheme="minorHAnsi" w:hAnsiTheme="minorHAnsi" w:cstheme="minorHAnsi"/>
        </w:rPr>
        <w:t>mi</w:t>
      </w:r>
      <w:r w:rsidRPr="001417BE">
        <w:rPr>
          <w:rFonts w:asciiTheme="minorHAnsi" w:hAnsiTheme="minorHAnsi" w:cstheme="minorHAnsi"/>
        </w:rPr>
        <w:t>li</w:t>
      </w:r>
      <w:r w:rsidR="001417BE">
        <w:rPr>
          <w:rFonts w:asciiTheme="minorHAnsi" w:hAnsiTheme="minorHAnsi" w:cstheme="minorHAnsi"/>
        </w:rPr>
        <w:t>ju</w:t>
      </w:r>
      <w:r w:rsidRPr="001417BE">
        <w:rPr>
          <w:rFonts w:asciiTheme="minorHAnsi" w:hAnsiTheme="minorHAnsi" w:cstheme="minorHAnsi"/>
        </w:rPr>
        <w:t>n</w:t>
      </w:r>
      <w:r w:rsidR="001417BE">
        <w:rPr>
          <w:rFonts w:asciiTheme="minorHAnsi" w:hAnsiTheme="minorHAnsi" w:cstheme="minorHAnsi"/>
        </w:rPr>
        <w:t>a kuna</w:t>
      </w:r>
    </w:p>
    <w:p w14:paraId="6BF40F82" w14:textId="53B3409B" w:rsidR="008900D5" w:rsidRPr="001417BE" w:rsidRDefault="001417BE" w:rsidP="008900D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Neto prihod od prodaje povećao se za </w:t>
      </w:r>
      <w:r w:rsidR="00F55414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% te iznosi </w:t>
      </w:r>
      <w:r w:rsidR="00F55414">
        <w:rPr>
          <w:rFonts w:asciiTheme="minorHAnsi" w:hAnsiTheme="minorHAnsi" w:cstheme="minorHAnsi"/>
        </w:rPr>
        <w:t>9.794</w:t>
      </w:r>
      <w:r>
        <w:rPr>
          <w:rFonts w:asciiTheme="minorHAnsi" w:hAnsiTheme="minorHAnsi" w:cstheme="minorHAnsi"/>
        </w:rPr>
        <w:t xml:space="preserve"> mil</w:t>
      </w:r>
      <w:r w:rsidR="008900D5" w:rsidRPr="001417B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juna kuna</w:t>
      </w:r>
    </w:p>
    <w:p w14:paraId="0D03D7BB" w14:textId="45EE160A" w:rsidR="008900D5" w:rsidRPr="001417BE" w:rsidRDefault="001417BE" w:rsidP="008900D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Kapitalna ulaganja iznose</w:t>
      </w:r>
      <w:r w:rsidR="008900D5" w:rsidRPr="001417BE">
        <w:rPr>
          <w:rFonts w:asciiTheme="minorHAnsi" w:hAnsiTheme="minorHAnsi" w:cstheme="minorHAnsi"/>
        </w:rPr>
        <w:t xml:space="preserve"> </w:t>
      </w:r>
      <w:r w:rsidR="00F55414">
        <w:rPr>
          <w:rFonts w:asciiTheme="minorHAnsi" w:hAnsiTheme="minorHAnsi" w:cstheme="minorHAnsi"/>
        </w:rPr>
        <w:t>1.183</w:t>
      </w:r>
      <w:r>
        <w:rPr>
          <w:rFonts w:asciiTheme="minorHAnsi" w:hAnsiTheme="minorHAnsi" w:cstheme="minorHAnsi"/>
        </w:rPr>
        <w:t xml:space="preserve"> milijuna kuna</w:t>
      </w:r>
      <w:r w:rsidR="008900D5" w:rsidRPr="001417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što je </w:t>
      </w:r>
      <w:r w:rsidR="00F55414">
        <w:rPr>
          <w:rFonts w:asciiTheme="minorHAnsi" w:hAnsiTheme="minorHAnsi" w:cstheme="minorHAnsi"/>
        </w:rPr>
        <w:t>povećanje od 128 %</w:t>
      </w:r>
    </w:p>
    <w:p w14:paraId="6777CAD1" w14:textId="27A1BB2D" w:rsidR="008900D5" w:rsidRDefault="001417BE" w:rsidP="008900D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Neto novac iz poslovnih aktivnosti </w:t>
      </w:r>
      <w:r w:rsidR="00F55414">
        <w:rPr>
          <w:rFonts w:asciiTheme="minorHAnsi" w:hAnsiTheme="minorHAnsi" w:cstheme="minorHAnsi"/>
        </w:rPr>
        <w:t>iznosi 1.009 milijuna kuna</w:t>
      </w:r>
    </w:p>
    <w:p w14:paraId="6EDDE64F" w14:textId="77777777" w:rsidR="008900D5" w:rsidRPr="001417BE" w:rsidRDefault="008900D5" w:rsidP="007E3D1F">
      <w:pPr>
        <w:spacing w:line="360" w:lineRule="auto"/>
        <w:rPr>
          <w:rFonts w:asciiTheme="minorHAnsi" w:hAnsiTheme="minorHAnsi" w:cstheme="minorHAnsi"/>
          <w:b/>
        </w:rPr>
      </w:pPr>
    </w:p>
    <w:p w14:paraId="1F91412C" w14:textId="207B4F5C" w:rsidR="00C85FFC" w:rsidRPr="00C85FFC" w:rsidRDefault="008900D5" w:rsidP="00C85FF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E3D1F">
        <w:rPr>
          <w:rFonts w:asciiTheme="minorHAnsi" w:hAnsiTheme="minorHAnsi" w:cstheme="minorHAnsi"/>
          <w:b/>
        </w:rPr>
        <w:t xml:space="preserve">Zagreb, </w:t>
      </w:r>
      <w:r w:rsidR="008507F9">
        <w:rPr>
          <w:rFonts w:asciiTheme="minorHAnsi" w:hAnsiTheme="minorHAnsi" w:cstheme="minorHAnsi"/>
          <w:b/>
        </w:rPr>
        <w:t>26</w:t>
      </w:r>
      <w:r w:rsidR="001417BE" w:rsidRPr="007E3D1F">
        <w:rPr>
          <w:rFonts w:asciiTheme="minorHAnsi" w:hAnsiTheme="minorHAnsi" w:cstheme="minorHAnsi"/>
          <w:b/>
        </w:rPr>
        <w:t xml:space="preserve">. </w:t>
      </w:r>
      <w:r w:rsidR="008507F9">
        <w:rPr>
          <w:rFonts w:asciiTheme="minorHAnsi" w:hAnsiTheme="minorHAnsi" w:cstheme="minorHAnsi"/>
          <w:b/>
        </w:rPr>
        <w:t>srpnja</w:t>
      </w:r>
      <w:r w:rsidRPr="007E3D1F">
        <w:rPr>
          <w:rFonts w:asciiTheme="minorHAnsi" w:hAnsiTheme="minorHAnsi" w:cstheme="minorHAnsi"/>
          <w:b/>
        </w:rPr>
        <w:t xml:space="preserve"> 2019</w:t>
      </w:r>
      <w:r w:rsidR="001417BE" w:rsidRPr="007E3D1F">
        <w:rPr>
          <w:rFonts w:asciiTheme="minorHAnsi" w:hAnsiTheme="minorHAnsi" w:cstheme="minorHAnsi"/>
          <w:b/>
        </w:rPr>
        <w:t>.</w:t>
      </w:r>
      <w:r w:rsidRPr="007E3D1F">
        <w:rPr>
          <w:rFonts w:asciiTheme="minorHAnsi" w:hAnsiTheme="minorHAnsi" w:cstheme="minorHAnsi"/>
          <w:b/>
        </w:rPr>
        <w:t xml:space="preserve"> – </w:t>
      </w:r>
      <w:r w:rsidR="00115801" w:rsidRPr="007E3D1F">
        <w:rPr>
          <w:rFonts w:asciiTheme="minorHAnsi" w:hAnsiTheme="minorHAnsi" w:cstheme="minorHAnsi"/>
          <w:b/>
        </w:rPr>
        <w:t xml:space="preserve">U </w:t>
      </w:r>
      <w:r w:rsidR="00EF696D">
        <w:rPr>
          <w:rFonts w:asciiTheme="minorHAnsi" w:hAnsiTheme="minorHAnsi" w:cstheme="minorHAnsi"/>
          <w:b/>
        </w:rPr>
        <w:t xml:space="preserve">prvom </w:t>
      </w:r>
      <w:r w:rsidR="008507F9">
        <w:rPr>
          <w:rFonts w:asciiTheme="minorHAnsi" w:hAnsiTheme="minorHAnsi" w:cstheme="minorHAnsi"/>
          <w:b/>
        </w:rPr>
        <w:t>polugodištu</w:t>
      </w:r>
      <w:r w:rsidR="00EF696D">
        <w:rPr>
          <w:rFonts w:asciiTheme="minorHAnsi" w:hAnsiTheme="minorHAnsi" w:cstheme="minorHAnsi"/>
          <w:b/>
        </w:rPr>
        <w:t xml:space="preserve"> 2019. godine</w:t>
      </w:r>
      <w:r w:rsidR="00115801" w:rsidRPr="007E3D1F">
        <w:rPr>
          <w:rFonts w:asciiTheme="minorHAnsi" w:hAnsiTheme="minorHAnsi" w:cstheme="minorHAnsi"/>
          <w:b/>
        </w:rPr>
        <w:t xml:space="preserve"> </w:t>
      </w:r>
      <w:r w:rsidR="00D71BD3">
        <w:rPr>
          <w:rFonts w:asciiTheme="minorHAnsi" w:hAnsiTheme="minorHAnsi" w:cstheme="minorHAnsi"/>
          <w:b/>
        </w:rPr>
        <w:t>p</w:t>
      </w:r>
      <w:r w:rsidR="00D71BD3" w:rsidRPr="00C85FFC">
        <w:rPr>
          <w:rFonts w:asciiTheme="minorHAnsi" w:hAnsiTheme="minorHAnsi" w:cstheme="minorHAnsi"/>
          <w:b/>
        </w:rPr>
        <w:t xml:space="preserve">rihodi </w:t>
      </w:r>
      <w:r w:rsidR="00C85FFC" w:rsidRPr="00C85FFC">
        <w:rPr>
          <w:rFonts w:asciiTheme="minorHAnsi" w:hAnsiTheme="minorHAnsi" w:cstheme="minorHAnsi"/>
          <w:b/>
        </w:rPr>
        <w:t xml:space="preserve">INA Grupe iznosili su 9.794 milijuna kuna, a CCS EBITDA bez jednokratnih stavki </w:t>
      </w:r>
      <w:r w:rsidR="001E7602">
        <w:rPr>
          <w:rFonts w:asciiTheme="minorHAnsi" w:hAnsiTheme="minorHAnsi" w:cstheme="minorHAnsi"/>
          <w:b/>
        </w:rPr>
        <w:t>dosegla</w:t>
      </w:r>
      <w:bookmarkStart w:id="1" w:name="_GoBack"/>
      <w:bookmarkEnd w:id="1"/>
      <w:r w:rsidR="00C85FFC" w:rsidRPr="00C85FFC">
        <w:rPr>
          <w:rFonts w:asciiTheme="minorHAnsi" w:hAnsiTheme="minorHAnsi" w:cstheme="minorHAnsi"/>
          <w:b/>
        </w:rPr>
        <w:t xml:space="preserve"> </w:t>
      </w:r>
      <w:r w:rsidR="00EE0C7B">
        <w:rPr>
          <w:rFonts w:asciiTheme="minorHAnsi" w:hAnsiTheme="minorHAnsi" w:cstheme="minorHAnsi"/>
          <w:b/>
        </w:rPr>
        <w:t xml:space="preserve">je </w:t>
      </w:r>
      <w:r w:rsidR="00C85FFC" w:rsidRPr="00C85FFC">
        <w:rPr>
          <w:rFonts w:asciiTheme="minorHAnsi" w:hAnsiTheme="minorHAnsi" w:cstheme="minorHAnsi"/>
          <w:b/>
        </w:rPr>
        <w:t xml:space="preserve">1.175 milijuna kuna. </w:t>
      </w:r>
      <w:r w:rsidR="00C85FFC">
        <w:rPr>
          <w:rFonts w:asciiTheme="minorHAnsi" w:hAnsiTheme="minorHAnsi" w:cstheme="minorHAnsi"/>
          <w:b/>
        </w:rPr>
        <w:t>Dobit</w:t>
      </w:r>
      <w:r w:rsidR="00C85FFC">
        <w:rPr>
          <w:rStyle w:val="FootnoteReference"/>
          <w:rFonts w:asciiTheme="minorHAnsi" w:hAnsiTheme="minorHAnsi" w:cstheme="minorHAnsi"/>
          <w:b/>
        </w:rPr>
        <w:footnoteReference w:id="2"/>
      </w:r>
      <w:r w:rsidR="00C85FFC">
        <w:rPr>
          <w:rFonts w:asciiTheme="minorHAnsi" w:hAnsiTheme="minorHAnsi" w:cstheme="minorHAnsi"/>
          <w:b/>
        </w:rPr>
        <w:t xml:space="preserve"> </w:t>
      </w:r>
      <w:r w:rsidR="00465EE9">
        <w:rPr>
          <w:rFonts w:asciiTheme="minorHAnsi" w:hAnsiTheme="minorHAnsi" w:cstheme="minorHAnsi"/>
          <w:b/>
        </w:rPr>
        <w:t>iznosi</w:t>
      </w:r>
      <w:r w:rsidR="00C85FFC" w:rsidRPr="00C85FFC">
        <w:rPr>
          <w:rFonts w:asciiTheme="minorHAnsi" w:hAnsiTheme="minorHAnsi" w:cstheme="minorHAnsi"/>
          <w:b/>
        </w:rPr>
        <w:t xml:space="preserve"> 188 milijuna kuna</w:t>
      </w:r>
      <w:r w:rsidR="00C60335">
        <w:rPr>
          <w:rFonts w:asciiTheme="minorHAnsi" w:hAnsiTheme="minorHAnsi" w:cstheme="minorHAnsi"/>
          <w:b/>
        </w:rPr>
        <w:t>,</w:t>
      </w:r>
      <w:r w:rsidR="00C85FFC" w:rsidRPr="00C85FFC">
        <w:rPr>
          <w:rFonts w:asciiTheme="minorHAnsi" w:hAnsiTheme="minorHAnsi" w:cstheme="minorHAnsi"/>
          <w:b/>
        </w:rPr>
        <w:t xml:space="preserve"> uglavnom zbog nepovoljnog rafinerijskog okruženja i marži. </w:t>
      </w:r>
    </w:p>
    <w:p w14:paraId="19E5CD95" w14:textId="23C3701E" w:rsidR="00A85FD6" w:rsidRDefault="00C85FFC" w:rsidP="00C85FFC">
      <w:pPr>
        <w:spacing w:line="360" w:lineRule="auto"/>
        <w:jc w:val="both"/>
        <w:rPr>
          <w:rFonts w:asciiTheme="minorHAnsi" w:hAnsiTheme="minorHAnsi" w:cstheme="minorHAnsi"/>
        </w:rPr>
      </w:pPr>
      <w:r w:rsidRPr="00C85FFC">
        <w:rPr>
          <w:rFonts w:asciiTheme="minorHAnsi" w:hAnsiTheme="minorHAnsi" w:cstheme="minorHAnsi"/>
        </w:rPr>
        <w:t>EBITDA Istraživanja i proizvodnje nafte i plina smanjila se za 14</w:t>
      </w:r>
      <w:r w:rsidR="00C80550">
        <w:rPr>
          <w:rFonts w:asciiTheme="minorHAnsi" w:hAnsiTheme="minorHAnsi" w:cstheme="minorHAnsi"/>
        </w:rPr>
        <w:t xml:space="preserve"> </w:t>
      </w:r>
      <w:r w:rsidRPr="00C85FFC">
        <w:rPr>
          <w:rFonts w:asciiTheme="minorHAnsi" w:hAnsiTheme="minorHAnsi" w:cstheme="minorHAnsi"/>
        </w:rPr>
        <w:t xml:space="preserve">% na 1.238 milijuna kuna kao rezultat niže ostvarene cijene ugljikovodika </w:t>
      </w:r>
      <w:r w:rsidR="00A85FD6">
        <w:rPr>
          <w:rFonts w:asciiTheme="minorHAnsi" w:hAnsiTheme="minorHAnsi" w:cstheme="minorHAnsi"/>
        </w:rPr>
        <w:t xml:space="preserve">i </w:t>
      </w:r>
      <w:r w:rsidR="00D71BD3" w:rsidRPr="00C85FFC">
        <w:rPr>
          <w:rFonts w:asciiTheme="minorHAnsi" w:hAnsiTheme="minorHAnsi" w:cstheme="minorHAnsi"/>
        </w:rPr>
        <w:t xml:space="preserve">neznatno </w:t>
      </w:r>
      <w:r w:rsidR="0088645F">
        <w:rPr>
          <w:rFonts w:asciiTheme="minorHAnsi" w:hAnsiTheme="minorHAnsi" w:cstheme="minorHAnsi"/>
        </w:rPr>
        <w:t>manje</w:t>
      </w:r>
      <w:r w:rsidR="00A85FD6">
        <w:rPr>
          <w:rFonts w:asciiTheme="minorHAnsi" w:hAnsiTheme="minorHAnsi" w:cstheme="minorHAnsi"/>
        </w:rPr>
        <w:t xml:space="preserve"> proizvodnje. Ipak, p</w:t>
      </w:r>
      <w:r w:rsidRPr="00C85FFC">
        <w:rPr>
          <w:rFonts w:asciiTheme="minorHAnsi" w:hAnsiTheme="minorHAnsi" w:cstheme="minorHAnsi"/>
        </w:rPr>
        <w:t xml:space="preserve">roizvodnja sirove nafte u Hrvatskoj i Egiptu bila je viša zbog povećanih razradnih aktivnosti i viših investicija. </w:t>
      </w:r>
    </w:p>
    <w:p w14:paraId="227DFD38" w14:textId="1DFC4F0C" w:rsidR="00C85FFC" w:rsidRPr="00C85FFC" w:rsidRDefault="00C85FFC" w:rsidP="00C85FFC">
      <w:pPr>
        <w:spacing w:line="360" w:lineRule="auto"/>
        <w:jc w:val="both"/>
        <w:rPr>
          <w:rFonts w:asciiTheme="minorHAnsi" w:hAnsiTheme="minorHAnsi" w:cstheme="minorHAnsi"/>
        </w:rPr>
      </w:pPr>
      <w:r w:rsidRPr="00C85FFC">
        <w:rPr>
          <w:rFonts w:asciiTheme="minorHAnsi" w:hAnsiTheme="minorHAnsi" w:cstheme="minorHAnsi"/>
        </w:rPr>
        <w:t xml:space="preserve">CCS EBITDA bez jednokratnih stavki Rafinerija i marketinga uključujući Usluge kupcima i maloprodaju </w:t>
      </w:r>
      <w:r w:rsidR="00D71BD3">
        <w:rPr>
          <w:rFonts w:asciiTheme="minorHAnsi" w:hAnsiTheme="minorHAnsi" w:cstheme="minorHAnsi"/>
        </w:rPr>
        <w:t>je</w:t>
      </w:r>
      <w:r w:rsidRPr="00C85FFC">
        <w:rPr>
          <w:rFonts w:asciiTheme="minorHAnsi" w:hAnsiTheme="minorHAnsi" w:cstheme="minorHAnsi"/>
        </w:rPr>
        <w:t xml:space="preserve"> pala na (10) milijuna kuna, pri čemu je glavni </w:t>
      </w:r>
      <w:r w:rsidR="00A85FD6">
        <w:rPr>
          <w:rFonts w:asciiTheme="minorHAnsi" w:hAnsiTheme="minorHAnsi" w:cstheme="minorHAnsi"/>
        </w:rPr>
        <w:t>uzrok</w:t>
      </w:r>
      <w:r w:rsidRPr="00C85FFC">
        <w:rPr>
          <w:rFonts w:asciiTheme="minorHAnsi" w:hAnsiTheme="minorHAnsi" w:cstheme="minorHAnsi"/>
        </w:rPr>
        <w:t xml:space="preserve"> rezultata pogoršano rafinerijsko okruženje. Maloprodajne količine povećale su se za 4% kao rezultat boljeg poslovanja u Hrvatskoj i širenja maloprodajne mreže u Crnoj Gori.  </w:t>
      </w:r>
    </w:p>
    <w:p w14:paraId="4BB8067C" w14:textId="16A30C7D" w:rsidR="007E3D1F" w:rsidRPr="00C85FFC" w:rsidRDefault="009B1B56" w:rsidP="00C85FF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85FD6">
        <w:rPr>
          <w:rFonts w:asciiTheme="minorHAnsi" w:hAnsiTheme="minorHAnsi" w:cstheme="minorHAnsi"/>
        </w:rPr>
        <w:t xml:space="preserve">rvu polovicu 2019. godine obilježile su investicije. </w:t>
      </w:r>
      <w:r w:rsidR="00C85FFC" w:rsidRPr="00C85FFC">
        <w:rPr>
          <w:rFonts w:asciiTheme="minorHAnsi" w:hAnsiTheme="minorHAnsi" w:cstheme="minorHAnsi"/>
        </w:rPr>
        <w:t xml:space="preserve">Kapitalna ulaganja su se i više nego udvostručila u prvom polugodištu 2019. godine na razinu od 1.183 milijuna kuna uglavnom potaknuta ulaganjima u rafinerijsko poslovanje. </w:t>
      </w:r>
      <w:r w:rsidR="00C80550">
        <w:rPr>
          <w:rFonts w:asciiTheme="minorHAnsi" w:hAnsiTheme="minorHAnsi" w:cstheme="minorHAnsi"/>
        </w:rPr>
        <w:t xml:space="preserve">Ulaganja u Hrvatskoj iznose 992 milijuna kuna, </w:t>
      </w:r>
      <w:r w:rsidR="00C80550">
        <w:rPr>
          <w:rFonts w:asciiTheme="minorHAnsi" w:hAnsiTheme="minorHAnsi" w:cstheme="minorHAnsi"/>
        </w:rPr>
        <w:lastRenderedPageBreak/>
        <w:t xml:space="preserve">više nego duplo u usporedbi s istim periodom prošle godine. </w:t>
      </w:r>
      <w:r w:rsidR="00C85FFC" w:rsidRPr="00C85FFC">
        <w:rPr>
          <w:rFonts w:asciiTheme="minorHAnsi" w:hAnsiTheme="minorHAnsi" w:cstheme="minorHAnsi"/>
        </w:rPr>
        <w:t>Omjer du</w:t>
      </w:r>
      <w:r w:rsidR="00A85FD6">
        <w:rPr>
          <w:rFonts w:asciiTheme="minorHAnsi" w:hAnsiTheme="minorHAnsi" w:cstheme="minorHAnsi"/>
        </w:rPr>
        <w:t xml:space="preserve">ga i kapitala povećao se na 14 </w:t>
      </w:r>
      <w:r w:rsidR="00C85FFC" w:rsidRPr="00C85FFC">
        <w:rPr>
          <w:rFonts w:asciiTheme="minorHAnsi" w:hAnsiTheme="minorHAnsi" w:cstheme="minorHAnsi"/>
        </w:rPr>
        <w:t>% uz neto dug na razini od 1.763 milijuna kuna što i dalje odražava stabilnu bilancu.</w:t>
      </w:r>
    </w:p>
    <w:p w14:paraId="6F89C33C" w14:textId="77777777" w:rsidR="00C85FFC" w:rsidRPr="00AB269D" w:rsidRDefault="00C85FFC" w:rsidP="00C85FFC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30B3647F" w14:textId="6D23294F" w:rsidR="00B85727" w:rsidRPr="00B85727" w:rsidRDefault="00D06D1B" w:rsidP="008900D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85727">
        <w:rPr>
          <w:rFonts w:asciiTheme="minorHAnsi" w:hAnsiTheme="minorHAnsi" w:cstheme="minorHAnsi"/>
          <w:b/>
        </w:rPr>
        <w:t>Izjava predsjednika Uprave Ine gospodina</w:t>
      </w:r>
      <w:r w:rsidR="008900D5" w:rsidRPr="00B85727">
        <w:rPr>
          <w:rFonts w:asciiTheme="minorHAnsi" w:hAnsiTheme="minorHAnsi" w:cstheme="minorHAnsi"/>
          <w:b/>
        </w:rPr>
        <w:t xml:space="preserve"> </w:t>
      </w:r>
      <w:proofErr w:type="spellStart"/>
      <w:r w:rsidR="008900D5" w:rsidRPr="00B85727">
        <w:rPr>
          <w:rFonts w:asciiTheme="minorHAnsi" w:hAnsiTheme="minorHAnsi" w:cstheme="minorHAnsi"/>
          <w:b/>
        </w:rPr>
        <w:t>Sándor</w:t>
      </w:r>
      <w:r w:rsidRPr="00B85727">
        <w:rPr>
          <w:rFonts w:asciiTheme="minorHAnsi" w:hAnsiTheme="minorHAnsi" w:cstheme="minorHAnsi"/>
          <w:b/>
        </w:rPr>
        <w:t>a</w:t>
      </w:r>
      <w:proofErr w:type="spellEnd"/>
      <w:r w:rsidR="008900D5" w:rsidRPr="00B85727">
        <w:rPr>
          <w:rFonts w:asciiTheme="minorHAnsi" w:hAnsiTheme="minorHAnsi" w:cstheme="minorHAnsi"/>
          <w:b/>
        </w:rPr>
        <w:t xml:space="preserve"> </w:t>
      </w:r>
      <w:proofErr w:type="spellStart"/>
      <w:r w:rsidR="008900D5" w:rsidRPr="00B85727">
        <w:rPr>
          <w:rFonts w:asciiTheme="minorHAnsi" w:hAnsiTheme="minorHAnsi" w:cstheme="minorHAnsi"/>
          <w:b/>
        </w:rPr>
        <w:t>Fasimon</w:t>
      </w:r>
      <w:r w:rsidRPr="00B85727">
        <w:rPr>
          <w:rFonts w:asciiTheme="minorHAnsi" w:hAnsiTheme="minorHAnsi" w:cstheme="minorHAnsi"/>
          <w:b/>
        </w:rPr>
        <w:t>a</w:t>
      </w:r>
      <w:proofErr w:type="spellEnd"/>
      <w:r w:rsidRPr="00B85727">
        <w:rPr>
          <w:rFonts w:asciiTheme="minorHAnsi" w:hAnsiTheme="minorHAnsi" w:cstheme="minorHAnsi"/>
          <w:b/>
        </w:rPr>
        <w:t>:</w:t>
      </w:r>
      <w:r w:rsidR="008900D5" w:rsidRPr="00B85727">
        <w:rPr>
          <w:rFonts w:asciiTheme="minorHAnsi" w:hAnsiTheme="minorHAnsi" w:cstheme="minorHAnsi"/>
          <w:b/>
        </w:rPr>
        <w:t xml:space="preserve"> </w:t>
      </w:r>
    </w:p>
    <w:p w14:paraId="7FD6C138" w14:textId="12A3B87D" w:rsidR="00B85727" w:rsidRPr="00B85727" w:rsidRDefault="008900D5" w:rsidP="00B85727">
      <w:pPr>
        <w:spacing w:line="360" w:lineRule="auto"/>
        <w:jc w:val="both"/>
        <w:rPr>
          <w:rFonts w:asciiTheme="minorHAnsi" w:hAnsiTheme="minorHAnsi" w:cstheme="minorHAnsi"/>
        </w:rPr>
      </w:pPr>
      <w:r w:rsidRPr="00B85727">
        <w:rPr>
          <w:rFonts w:asciiTheme="minorHAnsi" w:hAnsiTheme="minorHAnsi" w:cstheme="minorHAnsi"/>
        </w:rPr>
        <w:t>“</w:t>
      </w:r>
      <w:r w:rsidR="00B85727" w:rsidRPr="00B85727">
        <w:rPr>
          <w:rFonts w:asciiTheme="minorHAnsi" w:hAnsiTheme="minorHAnsi" w:cstheme="minorHAnsi"/>
        </w:rPr>
        <w:t xml:space="preserve">Prvo polugodište 2019. godine za Inu je bilo razdoblje intenzivnih ulaganja. Ukupan iznos investicija dosegao je gotovo 1,2 milijarde kuna, od čega je većina utrošena u Hrvatskoj. Kapitalna ulaganja u rafinerijsko poslovanje u iznosu </w:t>
      </w:r>
      <w:r w:rsidR="000F7F35">
        <w:rPr>
          <w:rFonts w:asciiTheme="minorHAnsi" w:hAnsiTheme="minorHAnsi" w:cstheme="minorHAnsi"/>
        </w:rPr>
        <w:t xml:space="preserve">većem </w:t>
      </w:r>
      <w:r w:rsidR="00B85727" w:rsidRPr="00B85727">
        <w:rPr>
          <w:rFonts w:asciiTheme="minorHAnsi" w:hAnsiTheme="minorHAnsi" w:cstheme="minorHAnsi"/>
        </w:rPr>
        <w:t>od 800 milijuna kuna više su nego utrostručena u odnosu na isto razdoblje prethodne godine, a odnose se uglavnom na remont Rafinerije nafte Rijeka, jedan od najvećih u povijesti kompanije. Tijekom ovog remonta zamijenjena je glavna kolona na postrojenju za atmosfersku destilaciju te su završeni brojni drugi radovi s ciljem stvaranja održivog i efikasnog rafinerijskog poslovanja. Takvo ulaganje pokazuje Ininu predanost daljnjem razvoju ove djelatnosti, zajedno s dodatnim aktivnostima u sklopu programa INA R&amp;M Novi smjer 2023.</w:t>
      </w:r>
    </w:p>
    <w:p w14:paraId="4554D528" w14:textId="0D84D296" w:rsidR="00B85727" w:rsidRPr="00B85727" w:rsidRDefault="00B85727" w:rsidP="00B85727">
      <w:pPr>
        <w:spacing w:line="360" w:lineRule="auto"/>
        <w:jc w:val="both"/>
        <w:rPr>
          <w:rFonts w:asciiTheme="minorHAnsi" w:hAnsiTheme="minorHAnsi" w:cstheme="minorHAnsi"/>
        </w:rPr>
      </w:pPr>
      <w:r w:rsidRPr="00B85727">
        <w:rPr>
          <w:rFonts w:asciiTheme="minorHAnsi" w:hAnsiTheme="minorHAnsi" w:cstheme="minorHAnsi"/>
        </w:rPr>
        <w:t xml:space="preserve">Manje povoljno vanjsko okruženje negativno je utjecao na rezultate, no INA je ipak uspjela iskoristiti rast potražnje, kako na domaćem tako i </w:t>
      </w:r>
      <w:r>
        <w:rPr>
          <w:rFonts w:asciiTheme="minorHAnsi" w:hAnsiTheme="minorHAnsi" w:cstheme="minorHAnsi"/>
        </w:rPr>
        <w:t xml:space="preserve">na tržištu Bosne i Hercegovine. </w:t>
      </w:r>
      <w:r w:rsidRPr="00B85727">
        <w:rPr>
          <w:rFonts w:asciiTheme="minorHAnsi" w:hAnsiTheme="minorHAnsi" w:cstheme="minorHAnsi"/>
        </w:rPr>
        <w:t xml:space="preserve">Rezultati djelatnosti Usluge kupcima i maloprodaja nastavili su rast u segmentu negoriva, a dodatno je doprinijelo povećanje mreže u Crnoj Gori, što dokazuje snagu Ininog </w:t>
      </w:r>
      <w:proofErr w:type="spellStart"/>
      <w:r w:rsidRPr="00B85727">
        <w:rPr>
          <w:rFonts w:asciiTheme="minorHAnsi" w:hAnsiTheme="minorHAnsi" w:cstheme="minorHAnsi"/>
        </w:rPr>
        <w:t>brenda</w:t>
      </w:r>
      <w:proofErr w:type="spellEnd"/>
      <w:r w:rsidRPr="00B85727">
        <w:rPr>
          <w:rFonts w:asciiTheme="minorHAnsi" w:hAnsiTheme="minorHAnsi" w:cstheme="minorHAnsi"/>
        </w:rPr>
        <w:t xml:space="preserve"> kao prvog izbora k</w:t>
      </w:r>
      <w:r>
        <w:rPr>
          <w:rFonts w:asciiTheme="minorHAnsi" w:hAnsiTheme="minorHAnsi" w:cstheme="minorHAnsi"/>
        </w:rPr>
        <w:t xml:space="preserve">upaca na regionalnim tržištima. </w:t>
      </w:r>
      <w:r w:rsidRPr="00B85727">
        <w:rPr>
          <w:rFonts w:asciiTheme="minorHAnsi" w:hAnsiTheme="minorHAnsi" w:cstheme="minorHAnsi"/>
        </w:rPr>
        <w:t>U Istraživanju i proizvodnji, porast proizvodnje nafte djelomično je neutralizirao nižu proizvodnju prirodnog plina. Rast ukupne proizvodnje nafte rezultat je povećanja domaće proizvodnje nafte, kao i dodatne proizvodnje u Egiptu zbog povećanih ulaganja na tom području. Ipak, pad cijene Brenta od 7 % negativno je utjecao na rezultat djelatnosti u usporedbi s istim razdobljem 2018. godine. Unatoč zahtjevnom vanjskom okruženju ukupni prihodi INA Grupe povećani su za 3 % te iznose gotovo 10 milijardi kuna.</w:t>
      </w:r>
    </w:p>
    <w:p w14:paraId="204E3831" w14:textId="41CFD325" w:rsidR="008900D5" w:rsidRPr="001417BE" w:rsidRDefault="00B85727" w:rsidP="00B85727">
      <w:pPr>
        <w:spacing w:line="360" w:lineRule="auto"/>
        <w:jc w:val="both"/>
        <w:rPr>
          <w:rFonts w:asciiTheme="minorHAnsi" w:hAnsiTheme="minorHAnsi" w:cstheme="minorHAnsi"/>
        </w:rPr>
      </w:pPr>
      <w:r w:rsidRPr="00B85727">
        <w:rPr>
          <w:rFonts w:asciiTheme="minorHAnsi" w:hAnsiTheme="minorHAnsi" w:cstheme="minorHAnsi"/>
        </w:rPr>
        <w:t>INA ostaje financijski stabilna kompanija te u drugoj polovici 2019. godine očekujemo uspješan nastavak poslovanja.</w:t>
      </w:r>
      <w:r w:rsidR="004B112D">
        <w:rPr>
          <w:rFonts w:asciiTheme="minorHAnsi" w:hAnsiTheme="minorHAnsi" w:cstheme="minorHAnsi"/>
        </w:rPr>
        <w:t>“</w:t>
      </w:r>
    </w:p>
    <w:p w14:paraId="7F3EAA46" w14:textId="77777777" w:rsidR="00961803" w:rsidRDefault="00961803" w:rsidP="006127E9">
      <w:pPr>
        <w:spacing w:line="360" w:lineRule="auto"/>
        <w:jc w:val="center"/>
        <w:rPr>
          <w:noProof/>
          <w:highlight w:val="yellow"/>
          <w:lang w:eastAsia="hr-HR"/>
        </w:rPr>
      </w:pPr>
    </w:p>
    <w:p w14:paraId="4FE30B0B" w14:textId="4751F3E0" w:rsidR="006127E9" w:rsidRPr="00A85FD6" w:rsidRDefault="00961803" w:rsidP="00961803">
      <w:pPr>
        <w:spacing w:line="360" w:lineRule="auto"/>
        <w:jc w:val="center"/>
        <w:rPr>
          <w:noProof/>
          <w:highlight w:val="yellow"/>
          <w:lang w:eastAsia="hr-HR"/>
        </w:rPr>
      </w:pPr>
      <w:r w:rsidRPr="00961803">
        <w:rPr>
          <w:noProof/>
          <w:lang w:eastAsia="hr-HR"/>
        </w:rPr>
        <w:drawing>
          <wp:inline distT="0" distB="0" distL="0" distR="0" wp14:anchorId="603B7159" wp14:editId="689C007E">
            <wp:extent cx="3005455" cy="212153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B777E" w14:textId="65AEDB30" w:rsidR="006127E9" w:rsidRPr="00A85FD6" w:rsidRDefault="00961803" w:rsidP="006127E9">
      <w:pPr>
        <w:spacing w:line="360" w:lineRule="auto"/>
        <w:jc w:val="center"/>
        <w:rPr>
          <w:rFonts w:asciiTheme="minorHAnsi" w:hAnsiTheme="minorHAnsi" w:cstheme="minorHAnsi"/>
          <w:highlight w:val="yellow"/>
        </w:rPr>
      </w:pPr>
      <w:r w:rsidRPr="00961803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66D3FBEC" wp14:editId="3EB213EE">
            <wp:extent cx="3011805" cy="23164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C8340" w14:textId="77777777" w:rsidR="006127E9" w:rsidRPr="00A85FD6" w:rsidRDefault="006127E9" w:rsidP="00961803">
      <w:pPr>
        <w:spacing w:line="360" w:lineRule="auto"/>
        <w:rPr>
          <w:rFonts w:asciiTheme="minorHAnsi" w:hAnsiTheme="minorHAnsi" w:cstheme="minorHAnsi"/>
          <w:highlight w:val="yellow"/>
        </w:rPr>
      </w:pPr>
    </w:p>
    <w:p w14:paraId="0F13EC4B" w14:textId="77777777" w:rsidR="006127E9" w:rsidRPr="00A85FD6" w:rsidRDefault="006127E9" w:rsidP="008900D5">
      <w:pPr>
        <w:spacing w:line="360" w:lineRule="auto"/>
        <w:jc w:val="center"/>
        <w:rPr>
          <w:rFonts w:asciiTheme="minorHAnsi" w:hAnsiTheme="minorHAnsi" w:cstheme="minorHAnsi"/>
          <w:highlight w:val="yellow"/>
        </w:rPr>
      </w:pPr>
    </w:p>
    <w:p w14:paraId="0A5CBC03" w14:textId="12CDC1E0" w:rsidR="008900D5" w:rsidRPr="001417BE" w:rsidRDefault="00961803" w:rsidP="008900D5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lastRenderedPageBreak/>
        <w:drawing>
          <wp:inline distT="0" distB="0" distL="0" distR="0" wp14:anchorId="05248D59" wp14:editId="115F5F0A">
            <wp:extent cx="3011805" cy="2121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942C6" w14:textId="77777777" w:rsidR="00B85727" w:rsidRDefault="00B85727" w:rsidP="00B857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7DC55F9" w14:textId="3B8F842F" w:rsidR="008900D5" w:rsidRPr="00B85727" w:rsidRDefault="00257C8B" w:rsidP="00B8572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Istraživanje i proizvodnja</w:t>
      </w:r>
      <w:r w:rsidR="00264EA0">
        <w:rPr>
          <w:rFonts w:asciiTheme="minorHAnsi" w:hAnsiTheme="minorHAnsi" w:cstheme="minorHAnsi"/>
          <w:b/>
        </w:rPr>
        <w:t xml:space="preserve"> nafte i plina</w:t>
      </w:r>
      <w:r w:rsidR="008900D5" w:rsidRPr="001417BE">
        <w:rPr>
          <w:rFonts w:asciiTheme="minorHAnsi" w:hAnsiTheme="minorHAnsi" w:cstheme="minorHAnsi"/>
          <w:b/>
        </w:rPr>
        <w:t xml:space="preserve"> –</w:t>
      </w:r>
      <w:r w:rsidR="008900D5" w:rsidRPr="001417BE">
        <w:rPr>
          <w:rFonts w:asciiTheme="minorHAnsi" w:hAnsiTheme="minorHAnsi" w:cstheme="minorHAnsi"/>
        </w:rPr>
        <w:t xml:space="preserve"> </w:t>
      </w:r>
      <w:r w:rsidR="00D06D1B">
        <w:rPr>
          <w:rFonts w:asciiTheme="minorHAnsi" w:hAnsiTheme="minorHAnsi" w:cstheme="minorHAnsi"/>
        </w:rPr>
        <w:t>U</w:t>
      </w:r>
      <w:r w:rsidR="008900D5" w:rsidRPr="001417BE">
        <w:rPr>
          <w:rFonts w:asciiTheme="minorHAnsi" w:hAnsiTheme="minorHAnsi" w:cstheme="minorHAnsi"/>
        </w:rPr>
        <w:t xml:space="preserve"> </w:t>
      </w:r>
      <w:r w:rsidR="00A85FD6">
        <w:rPr>
          <w:rFonts w:asciiTheme="minorHAnsi" w:hAnsiTheme="minorHAnsi" w:cstheme="minorHAnsi"/>
        </w:rPr>
        <w:t xml:space="preserve">prvoj polovici </w:t>
      </w:r>
      <w:r w:rsidR="007D285D">
        <w:rPr>
          <w:rFonts w:asciiTheme="minorHAnsi" w:hAnsiTheme="minorHAnsi" w:cstheme="minorHAnsi"/>
        </w:rPr>
        <w:t>2019. godine</w:t>
      </w:r>
      <w:r w:rsidR="00A85FD6">
        <w:rPr>
          <w:rFonts w:asciiTheme="minorHAnsi" w:hAnsiTheme="minorHAnsi" w:cstheme="minorHAnsi"/>
        </w:rPr>
        <w:t xml:space="preserve"> je neto prihod od prodaje blago porastao na iznos od 1.985 milijuna kuna, </w:t>
      </w:r>
      <w:r w:rsidR="00BD61FB">
        <w:rPr>
          <w:rFonts w:asciiTheme="minorHAnsi" w:hAnsiTheme="minorHAnsi" w:cstheme="minorHAnsi"/>
        </w:rPr>
        <w:t>unatoč 7 % nižoj cijeni Brent</w:t>
      </w:r>
      <w:r w:rsidR="00A85FD6">
        <w:rPr>
          <w:rFonts w:asciiTheme="minorHAnsi" w:hAnsiTheme="minorHAnsi" w:cstheme="minorHAnsi"/>
        </w:rPr>
        <w:t>a</w:t>
      </w:r>
      <w:r w:rsidR="00BD61FB">
        <w:rPr>
          <w:rFonts w:asciiTheme="minorHAnsi" w:hAnsiTheme="minorHAnsi" w:cstheme="minorHAnsi"/>
        </w:rPr>
        <w:t xml:space="preserve"> koja je imala negativan utjecaj na naftu. </w:t>
      </w:r>
      <w:r w:rsidR="00BD61FB" w:rsidRPr="00BD61FB">
        <w:rPr>
          <w:rFonts w:asciiTheme="minorHAnsi" w:hAnsiTheme="minorHAnsi" w:cstheme="minorHAnsi"/>
        </w:rPr>
        <w:t xml:space="preserve">Domaća proizvodnja sirove nafte bila je nešto viša </w:t>
      </w:r>
      <w:r w:rsidR="00BD61FB">
        <w:rPr>
          <w:rFonts w:asciiTheme="minorHAnsi" w:hAnsiTheme="minorHAnsi" w:cstheme="minorHAnsi"/>
        </w:rPr>
        <w:t>zbog</w:t>
      </w:r>
      <w:r w:rsidR="00BD61FB" w:rsidRPr="00BD61FB">
        <w:rPr>
          <w:rFonts w:asciiTheme="minorHAnsi" w:hAnsiTheme="minorHAnsi" w:cstheme="minorHAnsi"/>
        </w:rPr>
        <w:t xml:space="preserve"> obavljenih remonta bušotina, optimizacije bušotina i porasta proizvodnje temeljem EOR projekta na polju Ivanić</w:t>
      </w:r>
      <w:r w:rsidR="00BD61FB">
        <w:rPr>
          <w:rFonts w:asciiTheme="minorHAnsi" w:hAnsiTheme="minorHAnsi" w:cstheme="minorHAnsi"/>
        </w:rPr>
        <w:t xml:space="preserve"> koji je bio veći od očekivanog.</w:t>
      </w:r>
      <w:r w:rsidR="00143D25">
        <w:rPr>
          <w:rFonts w:asciiTheme="minorHAnsi" w:hAnsiTheme="minorHAnsi" w:cstheme="minorHAnsi"/>
        </w:rPr>
        <w:t xml:space="preserve"> Kapitalna ulaganja su porasla </w:t>
      </w:r>
      <w:r>
        <w:rPr>
          <w:rFonts w:asciiTheme="minorHAnsi" w:hAnsiTheme="minorHAnsi" w:cstheme="minorHAnsi"/>
        </w:rPr>
        <w:t xml:space="preserve">za </w:t>
      </w:r>
      <w:r w:rsidR="00BD61FB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</w:t>
      </w:r>
      <w:r w:rsidR="008900D5" w:rsidRPr="001417BE">
        <w:rPr>
          <w:rFonts w:asciiTheme="minorHAnsi" w:hAnsiTheme="minorHAnsi" w:cstheme="minorHAnsi"/>
        </w:rPr>
        <w:t xml:space="preserve">% </w:t>
      </w:r>
      <w:r>
        <w:rPr>
          <w:rFonts w:asciiTheme="minorHAnsi" w:hAnsiTheme="minorHAnsi" w:cstheme="minorHAnsi"/>
        </w:rPr>
        <w:t>te iznose</w:t>
      </w:r>
      <w:r w:rsidR="008900D5" w:rsidRPr="001417BE">
        <w:rPr>
          <w:rFonts w:asciiTheme="minorHAnsi" w:hAnsiTheme="minorHAnsi" w:cstheme="minorHAnsi"/>
        </w:rPr>
        <w:t xml:space="preserve"> </w:t>
      </w:r>
      <w:r w:rsidR="00BD61FB">
        <w:rPr>
          <w:rFonts w:asciiTheme="minorHAnsi" w:hAnsiTheme="minorHAnsi" w:cstheme="minorHAnsi"/>
        </w:rPr>
        <w:t>306</w:t>
      </w:r>
      <w:r w:rsidR="007D28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milijuna kuna</w:t>
      </w:r>
      <w:r w:rsidR="008900D5" w:rsidRPr="001417B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od čega se </w:t>
      </w:r>
      <w:r w:rsidR="00BD61FB">
        <w:rPr>
          <w:rFonts w:asciiTheme="minorHAnsi" w:hAnsiTheme="minorHAnsi" w:cstheme="minorHAnsi"/>
        </w:rPr>
        <w:t>204</w:t>
      </w:r>
      <w:r w:rsidR="007D28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milijun</w:t>
      </w:r>
      <w:r w:rsidR="007D285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kuna odnosi na Hrvatsku</w:t>
      </w:r>
      <w:r w:rsidR="008900D5" w:rsidRPr="001417BE">
        <w:rPr>
          <w:rFonts w:asciiTheme="minorHAnsi" w:hAnsiTheme="minorHAnsi" w:cstheme="minorHAnsi"/>
        </w:rPr>
        <w:t>.</w:t>
      </w:r>
      <w:r w:rsidR="00BD61FB">
        <w:rPr>
          <w:rFonts w:asciiTheme="minorHAnsi" w:hAnsiTheme="minorHAnsi" w:cstheme="minorHAnsi"/>
        </w:rPr>
        <w:t xml:space="preserve"> </w:t>
      </w:r>
      <w:r w:rsidR="00BD61FB" w:rsidRPr="00BD61FB">
        <w:rPr>
          <w:rFonts w:asciiTheme="minorHAnsi" w:hAnsiTheme="minorHAnsi" w:cstheme="minorHAnsi"/>
        </w:rPr>
        <w:t xml:space="preserve">Veća ulaganja </w:t>
      </w:r>
      <w:r w:rsidR="00BD61FB">
        <w:rPr>
          <w:rFonts w:asciiTheme="minorHAnsi" w:hAnsiTheme="minorHAnsi" w:cstheme="minorHAnsi"/>
        </w:rPr>
        <w:t>uglavnom se odnose</w:t>
      </w:r>
      <w:r w:rsidR="00BD61FB" w:rsidRPr="00BD61FB">
        <w:rPr>
          <w:rFonts w:asciiTheme="minorHAnsi" w:hAnsiTheme="minorHAnsi" w:cstheme="minorHAnsi"/>
        </w:rPr>
        <w:t xml:space="preserve"> na aktivnosti istraž</w:t>
      </w:r>
      <w:r w:rsidR="00BD61FB">
        <w:rPr>
          <w:rFonts w:asciiTheme="minorHAnsi" w:hAnsiTheme="minorHAnsi" w:cstheme="minorHAnsi"/>
        </w:rPr>
        <w:t>nog bušenja i razrade u Egiptu te na remonte bušotina u Hrvatskoj.</w:t>
      </w:r>
    </w:p>
    <w:p w14:paraId="1ADAFBA3" w14:textId="6FE7CC68" w:rsidR="008900D5" w:rsidRPr="00BD61FB" w:rsidRDefault="00961803" w:rsidP="008900D5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  <w:r w:rsidRPr="00961803">
        <w:rPr>
          <w:rFonts w:asciiTheme="minorHAnsi" w:hAnsiTheme="minorHAnsi" w:cstheme="minorHAnsi"/>
          <w:b/>
          <w:noProof/>
          <w:lang w:eastAsia="hr-HR"/>
        </w:rPr>
        <w:drawing>
          <wp:inline distT="0" distB="0" distL="0" distR="0" wp14:anchorId="4A64E239" wp14:editId="1896E54F">
            <wp:extent cx="3011805" cy="23228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46F4F" w14:textId="77777777" w:rsidR="00B1686D" w:rsidRPr="00BD61FB" w:rsidRDefault="00B1686D" w:rsidP="008900D5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</w:p>
    <w:p w14:paraId="055F1467" w14:textId="77777777" w:rsidR="008900D5" w:rsidRPr="00BD61FB" w:rsidRDefault="008900D5" w:rsidP="006D1CBA">
      <w:pPr>
        <w:spacing w:line="360" w:lineRule="auto"/>
        <w:rPr>
          <w:rFonts w:asciiTheme="minorHAnsi" w:hAnsiTheme="minorHAnsi" w:cstheme="minorHAnsi"/>
          <w:b/>
          <w:highlight w:val="yellow"/>
        </w:rPr>
      </w:pPr>
    </w:p>
    <w:p w14:paraId="309B41A9" w14:textId="0BCEC1B0" w:rsidR="008900D5" w:rsidRPr="00B85727" w:rsidRDefault="00961803" w:rsidP="00B85727">
      <w:pPr>
        <w:spacing w:line="360" w:lineRule="auto"/>
        <w:jc w:val="center"/>
        <w:rPr>
          <w:rFonts w:asciiTheme="minorHAnsi" w:hAnsiTheme="minorHAnsi" w:cstheme="minorHAnsi"/>
          <w:b/>
          <w:highlight w:val="yellow"/>
        </w:rPr>
      </w:pPr>
      <w:r w:rsidRPr="00961803">
        <w:rPr>
          <w:rFonts w:asciiTheme="minorHAnsi" w:hAnsiTheme="minorHAnsi" w:cstheme="minorHAnsi"/>
          <w:b/>
          <w:noProof/>
          <w:lang w:eastAsia="hr-HR"/>
        </w:rPr>
        <w:drawing>
          <wp:inline distT="0" distB="0" distL="0" distR="0" wp14:anchorId="79107566" wp14:editId="01985382">
            <wp:extent cx="3011805" cy="23228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2AD3C" w14:textId="77777777" w:rsidR="008900D5" w:rsidRPr="001417BE" w:rsidRDefault="008900D5" w:rsidP="008900D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FE4926F" w14:textId="76D8CDB0" w:rsidR="009150D8" w:rsidRDefault="00257C8B" w:rsidP="00EE0C7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Rafinerije i marketing</w:t>
      </w:r>
      <w:r w:rsidR="00073269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uključujući </w:t>
      </w:r>
      <w:r w:rsidR="00251382">
        <w:rPr>
          <w:rFonts w:asciiTheme="minorHAnsi" w:hAnsiTheme="minorHAnsi" w:cstheme="minorHAnsi"/>
          <w:b/>
        </w:rPr>
        <w:t>Usluge kupcima i maloprodaju</w:t>
      </w:r>
      <w:r w:rsidR="008900D5" w:rsidRPr="001417BE">
        <w:rPr>
          <w:rFonts w:asciiTheme="minorHAnsi" w:hAnsiTheme="minorHAnsi" w:cstheme="minorHAnsi"/>
          <w:b/>
        </w:rPr>
        <w:t xml:space="preserve"> –</w:t>
      </w:r>
      <w:r w:rsidR="008900D5" w:rsidRPr="001417BE">
        <w:rPr>
          <w:rFonts w:asciiTheme="minorHAnsi" w:hAnsiTheme="minorHAnsi" w:cstheme="minorHAnsi"/>
        </w:rPr>
        <w:t xml:space="preserve"> </w:t>
      </w:r>
      <w:r w:rsidR="00B37CEB">
        <w:rPr>
          <w:rFonts w:asciiTheme="minorHAnsi" w:hAnsiTheme="minorHAnsi" w:cstheme="minorHAnsi"/>
        </w:rPr>
        <w:t>Neto p</w:t>
      </w:r>
      <w:r>
        <w:rPr>
          <w:rFonts w:asciiTheme="minorHAnsi" w:hAnsiTheme="minorHAnsi" w:cstheme="minorHAnsi"/>
        </w:rPr>
        <w:t>rihod</w:t>
      </w:r>
      <w:r w:rsidR="00B37CEB">
        <w:rPr>
          <w:rFonts w:asciiTheme="minorHAnsi" w:hAnsiTheme="minorHAnsi" w:cstheme="minorHAnsi"/>
        </w:rPr>
        <w:t xml:space="preserve"> od prodaje</w:t>
      </w:r>
      <w:r w:rsidR="009150D8">
        <w:rPr>
          <w:rFonts w:asciiTheme="minorHAnsi" w:hAnsiTheme="minorHAnsi" w:cstheme="minorHAnsi"/>
        </w:rPr>
        <w:t xml:space="preserve"> </w:t>
      </w:r>
      <w:r w:rsidR="00A21DF0">
        <w:rPr>
          <w:rFonts w:asciiTheme="minorHAnsi" w:hAnsiTheme="minorHAnsi" w:cstheme="minorHAnsi"/>
        </w:rPr>
        <w:t xml:space="preserve">neznatno </w:t>
      </w:r>
      <w:r w:rsidR="00B37CEB">
        <w:rPr>
          <w:rFonts w:asciiTheme="minorHAnsi" w:hAnsiTheme="minorHAnsi" w:cstheme="minorHAnsi"/>
        </w:rPr>
        <w:t xml:space="preserve">je </w:t>
      </w:r>
      <w:r w:rsidR="009150D8">
        <w:rPr>
          <w:rFonts w:asciiTheme="minorHAnsi" w:hAnsiTheme="minorHAnsi" w:cstheme="minorHAnsi"/>
        </w:rPr>
        <w:t>poras</w:t>
      </w:r>
      <w:r w:rsidR="00B37CEB">
        <w:rPr>
          <w:rFonts w:asciiTheme="minorHAnsi" w:hAnsiTheme="minorHAnsi" w:cstheme="minorHAnsi"/>
        </w:rPr>
        <w:t>tao</w:t>
      </w:r>
      <w:r w:rsidR="009150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 </w:t>
      </w:r>
      <w:r w:rsidR="00631839">
        <w:rPr>
          <w:rFonts w:asciiTheme="minorHAnsi" w:hAnsiTheme="minorHAnsi" w:cstheme="minorHAnsi"/>
        </w:rPr>
        <w:t xml:space="preserve">prvom </w:t>
      </w:r>
      <w:r w:rsidR="009150D8">
        <w:rPr>
          <w:rFonts w:asciiTheme="minorHAnsi" w:hAnsiTheme="minorHAnsi" w:cstheme="minorHAnsi"/>
        </w:rPr>
        <w:t>polugodištu</w:t>
      </w:r>
      <w:r w:rsidR="00631839">
        <w:rPr>
          <w:rFonts w:asciiTheme="minorHAnsi" w:hAnsiTheme="minorHAnsi" w:cstheme="minorHAnsi"/>
        </w:rPr>
        <w:t xml:space="preserve"> 2019. godine</w:t>
      </w:r>
      <w:r w:rsidR="009150D8">
        <w:rPr>
          <w:rFonts w:asciiTheme="minorHAnsi" w:hAnsiTheme="minorHAnsi" w:cstheme="minorHAnsi"/>
        </w:rPr>
        <w:t xml:space="preserve"> te</w:t>
      </w:r>
      <w:r>
        <w:rPr>
          <w:rFonts w:asciiTheme="minorHAnsi" w:hAnsiTheme="minorHAnsi" w:cstheme="minorHAnsi"/>
        </w:rPr>
        <w:t xml:space="preserve"> iznos</w:t>
      </w:r>
      <w:r w:rsidR="00B37CEB">
        <w:rPr>
          <w:rFonts w:asciiTheme="minorHAnsi" w:hAnsiTheme="minorHAnsi" w:cstheme="minorHAnsi"/>
        </w:rPr>
        <w:t>i</w:t>
      </w:r>
      <w:r w:rsidR="008900D5" w:rsidRPr="001417BE">
        <w:rPr>
          <w:rFonts w:asciiTheme="minorHAnsi" w:hAnsiTheme="minorHAnsi" w:cstheme="minorHAnsi"/>
        </w:rPr>
        <w:t xml:space="preserve"> </w:t>
      </w:r>
      <w:r w:rsidR="009150D8">
        <w:rPr>
          <w:rFonts w:asciiTheme="minorHAnsi" w:hAnsiTheme="minorHAnsi" w:cstheme="minorHAnsi"/>
        </w:rPr>
        <w:t>9.286</w:t>
      </w:r>
      <w:r>
        <w:rPr>
          <w:rFonts w:asciiTheme="minorHAnsi" w:hAnsiTheme="minorHAnsi" w:cstheme="minorHAnsi"/>
        </w:rPr>
        <w:t xml:space="preserve"> milijuna kuna</w:t>
      </w:r>
      <w:r w:rsidR="009150D8">
        <w:rPr>
          <w:rFonts w:asciiTheme="minorHAnsi" w:hAnsiTheme="minorHAnsi" w:cstheme="minorHAnsi"/>
        </w:rPr>
        <w:t>.</w:t>
      </w:r>
      <w:r w:rsidR="008900D5" w:rsidRPr="001417BE">
        <w:rPr>
          <w:rFonts w:asciiTheme="minorHAnsi" w:hAnsiTheme="minorHAnsi" w:cstheme="minorHAnsi"/>
        </w:rPr>
        <w:t xml:space="preserve"> </w:t>
      </w:r>
      <w:r w:rsidR="009150D8">
        <w:rPr>
          <w:rFonts w:asciiTheme="minorHAnsi" w:hAnsiTheme="minorHAnsi" w:cstheme="minorHAnsi"/>
        </w:rPr>
        <w:t>Na rezultat je utjecao niz</w:t>
      </w:r>
      <w:r w:rsidR="00D426DB">
        <w:rPr>
          <w:rFonts w:asciiTheme="minorHAnsi" w:hAnsiTheme="minorHAnsi" w:cstheme="minorHAnsi"/>
        </w:rPr>
        <w:t xml:space="preserve"> čimbenika: niž</w:t>
      </w:r>
      <w:r w:rsidR="009150D8">
        <w:rPr>
          <w:rFonts w:asciiTheme="minorHAnsi" w:hAnsiTheme="minorHAnsi" w:cstheme="minorHAnsi"/>
        </w:rPr>
        <w:t>a</w:t>
      </w:r>
      <w:r w:rsidR="00D426DB">
        <w:rPr>
          <w:rFonts w:asciiTheme="minorHAnsi" w:hAnsiTheme="minorHAnsi" w:cstheme="minorHAnsi"/>
        </w:rPr>
        <w:t xml:space="preserve"> cijen</w:t>
      </w:r>
      <w:r w:rsidR="009150D8">
        <w:rPr>
          <w:rFonts w:asciiTheme="minorHAnsi" w:hAnsiTheme="minorHAnsi" w:cstheme="minorHAnsi"/>
        </w:rPr>
        <w:t>a</w:t>
      </w:r>
      <w:r w:rsidR="00D426DB">
        <w:rPr>
          <w:rFonts w:asciiTheme="minorHAnsi" w:hAnsiTheme="minorHAnsi" w:cstheme="minorHAnsi"/>
        </w:rPr>
        <w:t xml:space="preserve"> Brenta, niž</w:t>
      </w:r>
      <w:r w:rsidR="009150D8">
        <w:rPr>
          <w:rFonts w:asciiTheme="minorHAnsi" w:hAnsiTheme="minorHAnsi" w:cstheme="minorHAnsi"/>
        </w:rPr>
        <w:t>e</w:t>
      </w:r>
      <w:r w:rsidR="00D426DB">
        <w:rPr>
          <w:rFonts w:asciiTheme="minorHAnsi" w:hAnsiTheme="minorHAnsi" w:cstheme="minorHAnsi"/>
        </w:rPr>
        <w:t xml:space="preserve"> marž</w:t>
      </w:r>
      <w:r w:rsidR="009150D8">
        <w:rPr>
          <w:rFonts w:asciiTheme="minorHAnsi" w:hAnsiTheme="minorHAnsi" w:cstheme="minorHAnsi"/>
        </w:rPr>
        <w:t>e</w:t>
      </w:r>
      <w:r w:rsidR="00D426DB">
        <w:rPr>
          <w:rFonts w:asciiTheme="minorHAnsi" w:hAnsiTheme="minorHAnsi" w:cstheme="minorHAnsi"/>
        </w:rPr>
        <w:t xml:space="preserve"> na benzin</w:t>
      </w:r>
      <w:r w:rsidR="009150D8">
        <w:rPr>
          <w:rFonts w:asciiTheme="minorHAnsi" w:hAnsiTheme="minorHAnsi" w:cstheme="minorHAnsi"/>
        </w:rPr>
        <w:t xml:space="preserve"> i UNP</w:t>
      </w:r>
      <w:r w:rsidR="00D426DB">
        <w:rPr>
          <w:rFonts w:asciiTheme="minorHAnsi" w:hAnsiTheme="minorHAnsi" w:cstheme="minorHAnsi"/>
        </w:rPr>
        <w:t xml:space="preserve"> </w:t>
      </w:r>
      <w:r w:rsidR="009150D8" w:rsidRPr="009150D8">
        <w:rPr>
          <w:rFonts w:asciiTheme="minorHAnsi" w:hAnsiTheme="minorHAnsi" w:cstheme="minorHAnsi"/>
        </w:rPr>
        <w:t>te neznatno više marže na dizel</w:t>
      </w:r>
      <w:r w:rsidR="009150D8">
        <w:rPr>
          <w:rFonts w:asciiTheme="minorHAnsi" w:hAnsiTheme="minorHAnsi" w:cstheme="minorHAnsi"/>
        </w:rPr>
        <w:t xml:space="preserve">. </w:t>
      </w:r>
      <w:r w:rsidR="00EE0C7B">
        <w:rPr>
          <w:rFonts w:asciiTheme="minorHAnsi" w:hAnsiTheme="minorHAnsi" w:cstheme="minorHAnsi"/>
        </w:rPr>
        <w:t>Nadalje, n</w:t>
      </w:r>
      <w:r w:rsidR="00EE0C7B" w:rsidRPr="00EE0C7B">
        <w:rPr>
          <w:rFonts w:asciiTheme="minorHAnsi" w:hAnsiTheme="minorHAnsi" w:cstheme="minorHAnsi"/>
        </w:rPr>
        <w:t xml:space="preserve">iža razina proizvodnje </w:t>
      </w:r>
      <w:r w:rsidR="00EE0C7B">
        <w:rPr>
          <w:rFonts w:asciiTheme="minorHAnsi" w:hAnsiTheme="minorHAnsi" w:cstheme="minorHAnsi"/>
        </w:rPr>
        <w:t>zbog</w:t>
      </w:r>
      <w:r w:rsidR="00EE0C7B" w:rsidRPr="00EE0C7B">
        <w:rPr>
          <w:rFonts w:asciiTheme="minorHAnsi" w:hAnsiTheme="minorHAnsi" w:cstheme="minorHAnsi"/>
        </w:rPr>
        <w:t xml:space="preserve"> r</w:t>
      </w:r>
      <w:r w:rsidR="00EE0C7B">
        <w:rPr>
          <w:rFonts w:asciiTheme="minorHAnsi" w:hAnsiTheme="minorHAnsi" w:cstheme="minorHAnsi"/>
        </w:rPr>
        <w:t>emonta u Rafineriji nafte Rijeka, povećane veleprodajne količine te s</w:t>
      </w:r>
      <w:r w:rsidR="00EE0C7B" w:rsidRPr="00EE0C7B">
        <w:rPr>
          <w:rFonts w:asciiTheme="minorHAnsi" w:hAnsiTheme="minorHAnsi" w:cstheme="minorHAnsi"/>
        </w:rPr>
        <w:t>manjena prodaja lož ulja na izvoznim tržištima</w:t>
      </w:r>
      <w:r w:rsidR="00EE0C7B">
        <w:rPr>
          <w:rFonts w:asciiTheme="minorHAnsi" w:hAnsiTheme="minorHAnsi" w:cstheme="minorHAnsi"/>
        </w:rPr>
        <w:t xml:space="preserve"> također su utjecali na rezultat.</w:t>
      </w:r>
      <w:r w:rsidR="00EE0C7B" w:rsidRPr="00EE0C7B">
        <w:rPr>
          <w:rFonts w:asciiTheme="minorHAnsi" w:hAnsiTheme="minorHAnsi" w:cstheme="minorHAnsi"/>
        </w:rPr>
        <w:t xml:space="preserve"> </w:t>
      </w:r>
      <w:r w:rsidR="009150D8" w:rsidRPr="009150D8">
        <w:rPr>
          <w:rFonts w:asciiTheme="minorHAnsi" w:hAnsiTheme="minorHAnsi" w:cstheme="minorHAnsi"/>
        </w:rPr>
        <w:t xml:space="preserve">Ukupne maloprodajne količine iznosile su 502 </w:t>
      </w:r>
      <w:proofErr w:type="spellStart"/>
      <w:r w:rsidR="009150D8" w:rsidRPr="009150D8">
        <w:rPr>
          <w:rFonts w:asciiTheme="minorHAnsi" w:hAnsiTheme="minorHAnsi" w:cstheme="minorHAnsi"/>
        </w:rPr>
        <w:t>kt</w:t>
      </w:r>
      <w:proofErr w:type="spellEnd"/>
      <w:r w:rsidR="009150D8">
        <w:rPr>
          <w:rFonts w:asciiTheme="minorHAnsi" w:hAnsiTheme="minorHAnsi" w:cstheme="minorHAnsi"/>
        </w:rPr>
        <w:t xml:space="preserve">, što je porast od 4 % u odnosu na isti period prošle godine, </w:t>
      </w:r>
      <w:r w:rsidR="009150D8" w:rsidRPr="009150D8">
        <w:rPr>
          <w:rFonts w:asciiTheme="minorHAnsi" w:hAnsiTheme="minorHAnsi" w:cstheme="minorHAnsi"/>
        </w:rPr>
        <w:t xml:space="preserve">sa značajnim doprinosom na Hrvatskom tržištu </w:t>
      </w:r>
      <w:r w:rsidR="009150D8">
        <w:rPr>
          <w:rFonts w:asciiTheme="minorHAnsi" w:hAnsiTheme="minorHAnsi" w:cstheme="minorHAnsi"/>
        </w:rPr>
        <w:t xml:space="preserve">i tržištu Crne Gore. </w:t>
      </w:r>
    </w:p>
    <w:p w14:paraId="1BB0FC9A" w14:textId="77777777" w:rsidR="0088645F" w:rsidRDefault="0005171F" w:rsidP="008900D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Ukupna kapitalna ulaganja </w:t>
      </w:r>
      <w:r w:rsidR="009150D8">
        <w:rPr>
          <w:rFonts w:asciiTheme="minorHAnsi" w:hAnsiTheme="minorHAnsi" w:cstheme="minorHAnsi"/>
        </w:rPr>
        <w:t>povećala su se za 261 % na</w:t>
      </w:r>
      <w:r w:rsidR="00AB5F84">
        <w:rPr>
          <w:rFonts w:asciiTheme="minorHAnsi" w:hAnsiTheme="minorHAnsi" w:cstheme="minorHAnsi"/>
        </w:rPr>
        <w:t xml:space="preserve"> iznos od 845</w:t>
      </w:r>
      <w:r w:rsidR="009150D8" w:rsidRPr="009150D8">
        <w:rPr>
          <w:rFonts w:asciiTheme="minorHAnsi" w:hAnsiTheme="minorHAnsi" w:cstheme="minorHAnsi"/>
        </w:rPr>
        <w:t xml:space="preserve"> milijuna kuna</w:t>
      </w:r>
      <w:r w:rsidR="008900D5" w:rsidRPr="001417BE">
        <w:rPr>
          <w:rFonts w:asciiTheme="minorHAnsi" w:hAnsiTheme="minorHAnsi" w:cstheme="minorHAnsi"/>
        </w:rPr>
        <w:t xml:space="preserve">; </w:t>
      </w:r>
      <w:r w:rsidR="00AB5F84">
        <w:rPr>
          <w:rFonts w:asciiTheme="minorHAnsi" w:hAnsiTheme="minorHAnsi" w:cstheme="minorHAnsi"/>
        </w:rPr>
        <w:t>722</w:t>
      </w:r>
      <w:r w:rsidR="002513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milijuna kuna za Rafinerije i marketing</w:t>
      </w:r>
      <w:r w:rsidR="00251382">
        <w:rPr>
          <w:rFonts w:asciiTheme="minorHAnsi" w:hAnsiTheme="minorHAnsi" w:cstheme="minorHAnsi"/>
        </w:rPr>
        <w:t xml:space="preserve">, uglavnom kao posljedica remonta u Rafineriji nafte </w:t>
      </w:r>
      <w:r w:rsidR="00A47980">
        <w:rPr>
          <w:rFonts w:asciiTheme="minorHAnsi" w:hAnsiTheme="minorHAnsi" w:cstheme="minorHAnsi"/>
        </w:rPr>
        <w:t>R</w:t>
      </w:r>
      <w:r w:rsidR="00251382">
        <w:rPr>
          <w:rFonts w:asciiTheme="minorHAnsi" w:hAnsiTheme="minorHAnsi" w:cstheme="minorHAnsi"/>
        </w:rPr>
        <w:t>ijeka</w:t>
      </w:r>
      <w:r>
        <w:rPr>
          <w:rFonts w:asciiTheme="minorHAnsi" w:hAnsiTheme="minorHAnsi" w:cstheme="minorHAnsi"/>
        </w:rPr>
        <w:t xml:space="preserve"> te</w:t>
      </w:r>
      <w:r w:rsidR="008900D5" w:rsidRPr="001417BE">
        <w:rPr>
          <w:rFonts w:asciiTheme="minorHAnsi" w:hAnsiTheme="minorHAnsi" w:cstheme="minorHAnsi"/>
        </w:rPr>
        <w:t xml:space="preserve"> </w:t>
      </w:r>
      <w:r w:rsidR="00AB5F84">
        <w:rPr>
          <w:rFonts w:asciiTheme="minorHAnsi" w:hAnsiTheme="minorHAnsi" w:cstheme="minorHAnsi"/>
        </w:rPr>
        <w:t>123</w:t>
      </w:r>
      <w:r w:rsidR="008900D5" w:rsidRPr="001417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milijuna kuna u </w:t>
      </w:r>
      <w:r w:rsidR="00D00941">
        <w:rPr>
          <w:rFonts w:asciiTheme="minorHAnsi" w:hAnsiTheme="minorHAnsi" w:cstheme="minorHAnsi"/>
        </w:rPr>
        <w:t>Uslugama kupcima i maloprodaji</w:t>
      </w:r>
      <w:r w:rsidR="00EE0C7B">
        <w:rPr>
          <w:rFonts w:asciiTheme="minorHAnsi" w:hAnsiTheme="minorHAnsi" w:cstheme="minorHAnsi"/>
        </w:rPr>
        <w:t xml:space="preserve"> zahvaljujući raznim investicijskim projektima te </w:t>
      </w:r>
      <w:r w:rsidR="00D03A23">
        <w:rPr>
          <w:rFonts w:asciiTheme="minorHAnsi" w:hAnsiTheme="minorHAnsi" w:cstheme="minorHAnsi"/>
        </w:rPr>
        <w:t>širenju</w:t>
      </w:r>
      <w:r w:rsidR="00EE0C7B" w:rsidRPr="00EE0C7B">
        <w:rPr>
          <w:rFonts w:asciiTheme="minorHAnsi" w:hAnsiTheme="minorHAnsi" w:cstheme="minorHAnsi"/>
        </w:rPr>
        <w:t xml:space="preserve"> ponude</w:t>
      </w:r>
      <w:r w:rsidR="00EE0C7B">
        <w:rPr>
          <w:rFonts w:asciiTheme="minorHAnsi" w:hAnsiTheme="minorHAnsi" w:cstheme="minorHAnsi"/>
        </w:rPr>
        <w:t xml:space="preserve"> negoriva u skladu s konceptom </w:t>
      </w:r>
      <w:proofErr w:type="spellStart"/>
      <w:r w:rsidR="00EE0C7B" w:rsidRPr="00EE0C7B">
        <w:rPr>
          <w:rFonts w:asciiTheme="minorHAnsi" w:hAnsiTheme="minorHAnsi" w:cstheme="minorHAnsi"/>
        </w:rPr>
        <w:t>Fresh</w:t>
      </w:r>
      <w:proofErr w:type="spellEnd"/>
      <w:r w:rsidR="00EE0C7B" w:rsidRPr="00EE0C7B">
        <w:rPr>
          <w:rFonts w:asciiTheme="minorHAnsi" w:hAnsiTheme="minorHAnsi" w:cstheme="minorHAnsi"/>
        </w:rPr>
        <w:t xml:space="preserve"> </w:t>
      </w:r>
      <w:proofErr w:type="spellStart"/>
      <w:r w:rsidR="00EE0C7B" w:rsidRPr="00EE0C7B">
        <w:rPr>
          <w:rFonts w:asciiTheme="minorHAnsi" w:hAnsiTheme="minorHAnsi" w:cstheme="minorHAnsi"/>
        </w:rPr>
        <w:t>Corner</w:t>
      </w:r>
      <w:proofErr w:type="spellEnd"/>
      <w:r>
        <w:rPr>
          <w:rFonts w:asciiTheme="minorHAnsi" w:hAnsiTheme="minorHAnsi" w:cstheme="minorHAnsi"/>
        </w:rPr>
        <w:t>.</w:t>
      </w:r>
      <w:r w:rsidR="008900D5" w:rsidRPr="001417BE">
        <w:rPr>
          <w:rFonts w:asciiTheme="minorHAnsi" w:hAnsiTheme="minorHAnsi" w:cstheme="minorHAnsi"/>
        </w:rPr>
        <w:t xml:space="preserve"> </w:t>
      </w:r>
    </w:p>
    <w:p w14:paraId="5E558E4C" w14:textId="6FD76148" w:rsidR="008900D5" w:rsidRPr="001417BE" w:rsidRDefault="0005171F" w:rsidP="008900D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dan </w:t>
      </w:r>
      <w:r w:rsidR="00AB5F84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. </w:t>
      </w:r>
      <w:r w:rsidR="00AB5F84">
        <w:rPr>
          <w:rFonts w:asciiTheme="minorHAnsi" w:hAnsiTheme="minorHAnsi" w:cstheme="minorHAnsi"/>
        </w:rPr>
        <w:t>lipnja</w:t>
      </w:r>
      <w:r w:rsidR="00251382">
        <w:rPr>
          <w:rFonts w:asciiTheme="minorHAnsi" w:hAnsiTheme="minorHAnsi" w:cstheme="minorHAnsi"/>
        </w:rPr>
        <w:t xml:space="preserve"> 2019</w:t>
      </w:r>
      <w:r>
        <w:rPr>
          <w:rFonts w:asciiTheme="minorHAnsi" w:hAnsiTheme="minorHAnsi" w:cstheme="minorHAnsi"/>
        </w:rPr>
        <w:t xml:space="preserve">. godine </w:t>
      </w:r>
      <w:r w:rsidR="008900D5" w:rsidRPr="001417BE">
        <w:rPr>
          <w:rFonts w:asciiTheme="minorHAnsi" w:hAnsiTheme="minorHAnsi" w:cstheme="minorHAnsi"/>
        </w:rPr>
        <w:t>INA Gr</w:t>
      </w:r>
      <w:r>
        <w:rPr>
          <w:rFonts w:asciiTheme="minorHAnsi" w:hAnsiTheme="minorHAnsi" w:cstheme="minorHAnsi"/>
        </w:rPr>
        <w:t xml:space="preserve">upa upravljala je mrežom od </w:t>
      </w:r>
      <w:r w:rsidR="00AB5F84">
        <w:rPr>
          <w:rFonts w:asciiTheme="minorHAnsi" w:hAnsiTheme="minorHAnsi" w:cstheme="minorHAnsi"/>
        </w:rPr>
        <w:t>507</w:t>
      </w:r>
      <w:r>
        <w:rPr>
          <w:rFonts w:asciiTheme="minorHAnsi" w:hAnsiTheme="minorHAnsi" w:cstheme="minorHAnsi"/>
        </w:rPr>
        <w:t xml:space="preserve"> maloprodajn</w:t>
      </w:r>
      <w:r w:rsidR="00B37CEB">
        <w:rPr>
          <w:rFonts w:asciiTheme="minorHAnsi" w:hAnsiTheme="minorHAnsi" w:cstheme="minorHAnsi"/>
        </w:rPr>
        <w:t>ih</w:t>
      </w:r>
      <w:r>
        <w:rPr>
          <w:rFonts w:asciiTheme="minorHAnsi" w:hAnsiTheme="minorHAnsi" w:cstheme="minorHAnsi"/>
        </w:rPr>
        <w:t xml:space="preserve"> mjesta</w:t>
      </w:r>
      <w:r w:rsidR="008900D5" w:rsidRPr="001417BE">
        <w:rPr>
          <w:rFonts w:asciiTheme="minorHAnsi" w:hAnsiTheme="minorHAnsi" w:cstheme="minorHAnsi"/>
        </w:rPr>
        <w:t>.</w:t>
      </w:r>
    </w:p>
    <w:p w14:paraId="1340D04E" w14:textId="77777777" w:rsidR="008900D5" w:rsidRPr="001417BE" w:rsidRDefault="008900D5" w:rsidP="006D1CBA">
      <w:pPr>
        <w:spacing w:line="360" w:lineRule="auto"/>
        <w:rPr>
          <w:rFonts w:asciiTheme="minorHAnsi" w:hAnsiTheme="minorHAnsi" w:cstheme="minorHAnsi"/>
        </w:rPr>
      </w:pPr>
    </w:p>
    <w:p w14:paraId="3883F9E2" w14:textId="1A49E802" w:rsidR="008900D5" w:rsidRPr="00973EE4" w:rsidRDefault="00961803" w:rsidP="008900D5">
      <w:pPr>
        <w:spacing w:line="360" w:lineRule="auto"/>
        <w:jc w:val="center"/>
        <w:rPr>
          <w:rFonts w:asciiTheme="minorHAnsi" w:hAnsiTheme="minorHAnsi" w:cstheme="minorHAnsi"/>
          <w:noProof/>
          <w:highlight w:val="yellow"/>
          <w:lang w:eastAsia="hr-HR"/>
        </w:rPr>
      </w:pPr>
      <w:r w:rsidRPr="00961803">
        <w:rPr>
          <w:rFonts w:asciiTheme="minorHAnsi" w:hAnsiTheme="minorHAnsi" w:cstheme="minorHAnsi"/>
          <w:noProof/>
          <w:lang w:eastAsia="hr-HR"/>
        </w:rPr>
        <w:lastRenderedPageBreak/>
        <w:drawing>
          <wp:inline distT="0" distB="0" distL="0" distR="0" wp14:anchorId="51A4B3B9" wp14:editId="05C96590">
            <wp:extent cx="3011805" cy="23228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619C2" w14:textId="77777777" w:rsidR="008900D5" w:rsidRPr="00973EE4" w:rsidRDefault="008900D5" w:rsidP="008900D5">
      <w:pPr>
        <w:spacing w:line="360" w:lineRule="auto"/>
        <w:jc w:val="center"/>
        <w:rPr>
          <w:rFonts w:asciiTheme="minorHAnsi" w:hAnsiTheme="minorHAnsi" w:cstheme="minorHAnsi"/>
          <w:noProof/>
          <w:highlight w:val="yellow"/>
          <w:lang w:eastAsia="hr-HR"/>
        </w:rPr>
      </w:pPr>
    </w:p>
    <w:p w14:paraId="7CE70C54" w14:textId="060736A1" w:rsidR="008900D5" w:rsidRPr="001417BE" w:rsidRDefault="00961803" w:rsidP="008900D5">
      <w:pPr>
        <w:spacing w:line="360" w:lineRule="auto"/>
        <w:jc w:val="center"/>
        <w:rPr>
          <w:rFonts w:asciiTheme="minorHAnsi" w:hAnsiTheme="minorHAnsi" w:cstheme="minorHAnsi"/>
          <w:noProof/>
          <w:lang w:eastAsia="hr-HR"/>
        </w:r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5D96D480" wp14:editId="0CE69C4F">
            <wp:extent cx="3011805" cy="233489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0DF16" w14:textId="77777777" w:rsidR="00952B0B" w:rsidRDefault="00952B0B" w:rsidP="008900D5">
      <w:pPr>
        <w:spacing w:line="360" w:lineRule="auto"/>
        <w:jc w:val="both"/>
        <w:rPr>
          <w:rFonts w:asciiTheme="minorHAnsi" w:hAnsiTheme="minorHAnsi" w:cstheme="minorHAnsi"/>
        </w:rPr>
      </w:pPr>
    </w:p>
    <w:p w14:paraId="560B3079" w14:textId="77777777" w:rsidR="00E11425" w:rsidRDefault="00E11425" w:rsidP="008900D5">
      <w:pPr>
        <w:spacing w:line="360" w:lineRule="auto"/>
        <w:jc w:val="both"/>
        <w:rPr>
          <w:rFonts w:asciiTheme="minorHAnsi" w:hAnsiTheme="minorHAnsi" w:cstheme="minorHAnsi"/>
        </w:rPr>
      </w:pPr>
    </w:p>
    <w:p w14:paraId="2104A4CE" w14:textId="77777777" w:rsidR="00952B0B" w:rsidRDefault="00952B0B" w:rsidP="008900D5">
      <w:pPr>
        <w:spacing w:line="360" w:lineRule="auto"/>
        <w:jc w:val="center"/>
        <w:rPr>
          <w:rFonts w:asciiTheme="minorHAnsi" w:hAnsiTheme="minorHAnsi" w:cstheme="minorHAnsi"/>
        </w:rPr>
      </w:pPr>
    </w:p>
    <w:p w14:paraId="4A332809" w14:textId="0019C545" w:rsidR="00952B0B" w:rsidRDefault="00952B0B" w:rsidP="008900D5">
      <w:pPr>
        <w:spacing w:line="360" w:lineRule="auto"/>
        <w:jc w:val="center"/>
        <w:rPr>
          <w:rFonts w:asciiTheme="minorHAnsi" w:hAnsiTheme="minorHAnsi" w:cstheme="minorHAnsi"/>
        </w:rPr>
      </w:pPr>
    </w:p>
    <w:p w14:paraId="2793B9C3" w14:textId="77777777" w:rsidR="00952B0B" w:rsidRPr="001417BE" w:rsidRDefault="00952B0B" w:rsidP="008900D5">
      <w:pPr>
        <w:spacing w:line="360" w:lineRule="auto"/>
        <w:jc w:val="center"/>
        <w:rPr>
          <w:rFonts w:asciiTheme="minorHAnsi" w:hAnsiTheme="minorHAnsi" w:cstheme="minorHAnsi"/>
        </w:rPr>
      </w:pPr>
    </w:p>
    <w:p w14:paraId="694A352B" w14:textId="77B199E4" w:rsidR="008900D5" w:rsidRPr="002A4194" w:rsidRDefault="008900D5" w:rsidP="008900D5">
      <w:pPr>
        <w:spacing w:line="360" w:lineRule="auto"/>
        <w:jc w:val="center"/>
        <w:rPr>
          <w:rFonts w:asciiTheme="minorHAnsi" w:hAnsiTheme="minorHAnsi" w:cstheme="minorHAnsi"/>
          <w:highlight w:val="yellow"/>
        </w:rPr>
      </w:pPr>
    </w:p>
    <w:p w14:paraId="3060099D" w14:textId="77777777" w:rsidR="00617633" w:rsidRPr="001417BE" w:rsidRDefault="00617633" w:rsidP="00141B3F">
      <w:pPr>
        <w:rPr>
          <w:rFonts w:asciiTheme="minorHAnsi" w:hAnsiTheme="minorHAnsi" w:cstheme="minorHAnsi"/>
        </w:rPr>
      </w:pPr>
    </w:p>
    <w:sectPr w:rsidR="00617633" w:rsidRPr="001417BE" w:rsidSect="004712BC">
      <w:headerReference w:type="default" r:id="rId19"/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3473" w14:textId="77777777" w:rsidR="00F47625" w:rsidRDefault="00F47625" w:rsidP="00E11167">
      <w:r>
        <w:separator/>
      </w:r>
    </w:p>
  </w:endnote>
  <w:endnote w:type="continuationSeparator" w:id="0">
    <w:p w14:paraId="37E07DD8" w14:textId="77777777" w:rsidR="00F47625" w:rsidRDefault="00F47625" w:rsidP="00E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A5DC0" w:rsidRPr="00CD53EE" w14:paraId="39DFDED2" w14:textId="77777777" w:rsidTr="00D248AA">
      <w:trPr>
        <w:cantSplit/>
        <w:trHeight w:val="517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A5DC0" w:rsidRPr="002B598A" w14:paraId="63B8B609" w14:textId="77777777" w:rsidTr="00D248AA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9291364" w14:textId="77777777" w:rsidR="005A5DC0" w:rsidRPr="002B598A" w:rsidRDefault="005A5DC0" w:rsidP="005A5DC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7D9DDFD" w14:textId="77777777" w:rsidR="005A5DC0" w:rsidRPr="002B598A" w:rsidRDefault="005A5DC0" w:rsidP="005A5DC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3C25F3B9" w14:textId="77777777" w:rsidR="005A5DC0" w:rsidRPr="002B598A" w:rsidRDefault="005A5DC0" w:rsidP="005A5DC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703DE9F" w14:textId="77777777" w:rsidR="005A5DC0" w:rsidRPr="002B598A" w:rsidRDefault="005A5DC0" w:rsidP="005A5DC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A802825" w14:textId="77777777" w:rsidR="005A5DC0" w:rsidRPr="002B598A" w:rsidRDefault="005A5DC0" w:rsidP="005A5DC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190D7A0" w14:textId="77777777" w:rsidR="005A5DC0" w:rsidRPr="002B598A" w:rsidRDefault="005A5DC0" w:rsidP="005A5DC0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ACFA34" w14:textId="77777777" w:rsidR="005A5DC0" w:rsidRPr="002B598A" w:rsidRDefault="005A5DC0" w:rsidP="005A5DC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3077813" w14:textId="77777777" w:rsidR="005A5DC0" w:rsidRPr="002B598A" w:rsidRDefault="005A5DC0" w:rsidP="005A5DC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967348" w14:textId="77777777" w:rsidR="005A5DC0" w:rsidRPr="002B598A" w:rsidRDefault="005A5DC0" w:rsidP="005A5DC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6D146BB" w14:textId="77777777" w:rsidR="005A5DC0" w:rsidRPr="002B598A" w:rsidRDefault="005A5DC0" w:rsidP="005A5DC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59348E7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E60AA82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1D7A24A1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1DC0170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030146F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F8CABC8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2A7001C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BBBEDBD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9C5503" w14:textId="77777777" w:rsidR="005A5DC0" w:rsidRPr="002B598A" w:rsidRDefault="005A5DC0" w:rsidP="005A5DC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14:paraId="2F762D68" w14:textId="77777777" w:rsidR="005A5DC0" w:rsidRPr="002B598A" w:rsidRDefault="005A5DC0" w:rsidP="005A5DC0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A5DC0" w:rsidRPr="002B598A" w14:paraId="42F2F962" w14:textId="77777777" w:rsidTr="00D248AA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02C6D82" w14:textId="77777777" w:rsidR="005A5DC0" w:rsidRPr="002B598A" w:rsidRDefault="005A5DC0" w:rsidP="005A5DC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71DFD5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2A4AC6B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2776DFF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AC3A367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14:paraId="3E60A978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D522E99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4D25A6D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14:paraId="44E4064D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AD297CD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C169FE3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00B098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48364B4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FBB0AAF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595A561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8F650DB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88BA80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14:paraId="14678B48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14:paraId="63570745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CBED229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14:paraId="5F913E8B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6219378E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C75335A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14:paraId="373FEBB2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A41EA00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DBACFC7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C1CD99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14:paraId="1FF94B4A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39CA0E28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78DD7D2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9D4B1D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75760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9BFCE6C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E5EE931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6A24BC1D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14:paraId="1E519109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A35BA58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3AA506" w14:textId="77777777" w:rsidR="005A5DC0" w:rsidRPr="001171F4" w:rsidRDefault="005A5DC0" w:rsidP="005A5DC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14:paraId="76D9B5F6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192695F5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8538795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7854615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EDE5D49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3AD8234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268BFB6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778F7325" w14:textId="77777777" w:rsidR="005A5DC0" w:rsidRPr="001171F4" w:rsidRDefault="005A5DC0" w:rsidP="005A5DC0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5413DF6" w14:textId="77777777" w:rsidR="005A5DC0" w:rsidRPr="002B598A" w:rsidRDefault="005A5DC0" w:rsidP="005A5DC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A5DC0" w:rsidRPr="002B598A" w14:paraId="6DC0BA49" w14:textId="77777777" w:rsidTr="00D248AA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E55F778" w14:textId="77777777" w:rsidR="005A5DC0" w:rsidRDefault="005A5DC0" w:rsidP="005A5DC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14:paraId="4303B2C0" w14:textId="77777777" w:rsidR="005A5DC0" w:rsidRPr="002B598A" w:rsidRDefault="005A5DC0" w:rsidP="005A5DC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7FED48D6" w14:textId="77777777" w:rsidR="005A5DC0" w:rsidRPr="002B598A" w:rsidRDefault="005A5DC0" w:rsidP="005A5DC0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14:paraId="4D1038D2" w14:textId="77777777" w:rsidR="005A5DC0" w:rsidRPr="002B598A" w:rsidRDefault="005A5DC0" w:rsidP="005A5DC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260AC88" w14:textId="77777777" w:rsidR="005A5DC0" w:rsidRPr="002B598A" w:rsidRDefault="005A5DC0" w:rsidP="005A5DC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1C78185" w14:textId="77777777" w:rsidR="005A5DC0" w:rsidRPr="002B598A" w:rsidRDefault="005A5DC0" w:rsidP="005A5DC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5B773BD" w14:textId="77777777" w:rsidR="005A5DC0" w:rsidRDefault="005A5DC0" w:rsidP="005A5DC0"/>
      </w:tc>
    </w:tr>
    <w:tr w:rsidR="005A5DC0" w:rsidRPr="00CD53EE" w14:paraId="6606128C" w14:textId="77777777" w:rsidTr="00D248AA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C73EADD" w14:textId="77777777" w:rsidR="005A5DC0" w:rsidRPr="00CD53EE" w:rsidRDefault="005A5DC0" w:rsidP="005A5DC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2028524" w14:textId="77777777" w:rsidR="005A5DC0" w:rsidRDefault="005A5DC0" w:rsidP="005A5DC0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A5DC0" w:rsidRPr="00F7606F" w14:paraId="2CAF27BA" w14:textId="77777777" w:rsidTr="00D248AA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5BA685C" w14:textId="77777777" w:rsidR="005A5DC0" w:rsidRPr="00F7606F" w:rsidRDefault="005A5DC0" w:rsidP="005A5DC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B424053" w14:textId="77777777" w:rsidR="005A5DC0" w:rsidRPr="00F7606F" w:rsidRDefault="005A5DC0" w:rsidP="005A5DC0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7AAA51E" w14:textId="77777777" w:rsidR="005A5DC0" w:rsidRPr="00F7606F" w:rsidRDefault="005A5DC0" w:rsidP="005A5DC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8D3822" w14:textId="77777777" w:rsidR="005A5DC0" w:rsidRPr="00F7606F" w:rsidRDefault="005A5DC0" w:rsidP="005A5DC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202BD8">
            <w:rPr>
              <w:rFonts w:cs="Arial"/>
              <w:noProof/>
              <w:vanish/>
              <w:sz w:val="11"/>
              <w:szCs w:val="11"/>
            </w:rPr>
            <w:t>7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202BD8">
            <w:rPr>
              <w:rFonts w:cs="Arial"/>
              <w:noProof/>
              <w:vanish/>
              <w:sz w:val="11"/>
              <w:szCs w:val="11"/>
            </w:rPr>
            <w:t>7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A5DC0" w:rsidRPr="00F7606F" w14:paraId="2CD2D949" w14:textId="77777777" w:rsidTr="00D248AA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693C6F6" w14:textId="77777777" w:rsidR="005A5DC0" w:rsidRPr="00F7606F" w:rsidRDefault="005A5DC0" w:rsidP="005A5DC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E44B4A3" w14:textId="77777777" w:rsidR="005A5DC0" w:rsidRPr="00F7606F" w:rsidRDefault="005A5DC0" w:rsidP="005A5DC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A5DC0" w:rsidRPr="00F7606F" w14:paraId="6364CFFB" w14:textId="77777777" w:rsidTr="00D248AA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2FE699F7" w14:textId="77777777" w:rsidR="005A5DC0" w:rsidRPr="00F7606F" w:rsidRDefault="005A5DC0" w:rsidP="005A5DC0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AD6768" w14:textId="77777777" w:rsidR="005A5DC0" w:rsidRPr="00F7606F" w:rsidRDefault="005A5DC0" w:rsidP="005A5DC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202BD8">
            <w:rPr>
              <w:rFonts w:cs="Arial"/>
              <w:noProof/>
              <w:vanish/>
              <w:sz w:val="11"/>
              <w:szCs w:val="11"/>
            </w:rPr>
            <w:t>7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202BD8">
            <w:rPr>
              <w:rFonts w:cs="Arial"/>
              <w:noProof/>
              <w:vanish/>
              <w:sz w:val="11"/>
              <w:szCs w:val="11"/>
            </w:rPr>
            <w:t>7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D8BA9CD" w14:textId="77777777" w:rsidR="005A5DC0" w:rsidRPr="00D2744E" w:rsidRDefault="005A5DC0" w:rsidP="005A5DC0">
    <w:pPr>
      <w:rPr>
        <w:sz w:val="2"/>
        <w:szCs w:val="2"/>
      </w:rPr>
    </w:pPr>
  </w:p>
  <w:p w14:paraId="61FDDA3D" w14:textId="77777777" w:rsidR="005A5DC0" w:rsidRPr="00F7606F" w:rsidRDefault="005A5DC0" w:rsidP="005A5DC0">
    <w:pPr>
      <w:pStyle w:val="Footer"/>
    </w:pPr>
  </w:p>
  <w:p w14:paraId="62AA3BE9" w14:textId="77777777" w:rsidR="00E11167" w:rsidRPr="005A5DC0" w:rsidRDefault="00E11167" w:rsidP="005A5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5655D" w14:textId="77777777" w:rsidR="00F47625" w:rsidRDefault="00F47625" w:rsidP="00E11167">
      <w:r>
        <w:separator/>
      </w:r>
    </w:p>
  </w:footnote>
  <w:footnote w:type="continuationSeparator" w:id="0">
    <w:p w14:paraId="0FEEF44E" w14:textId="77777777" w:rsidR="00F47625" w:rsidRDefault="00F47625" w:rsidP="00E11167">
      <w:r>
        <w:continuationSeparator/>
      </w:r>
    </w:p>
  </w:footnote>
  <w:footnote w:id="1">
    <w:p w14:paraId="3D3EA423" w14:textId="77777777" w:rsidR="008900D5" w:rsidRPr="00115801" w:rsidRDefault="008900D5" w:rsidP="008900D5">
      <w:pPr>
        <w:pStyle w:val="FootnoteText"/>
      </w:pPr>
      <w:r w:rsidRPr="00115801">
        <w:rPr>
          <w:rStyle w:val="FootnoteReference"/>
        </w:rPr>
        <w:footnoteRef/>
      </w:r>
      <w:r w:rsidRPr="00115801">
        <w:t xml:space="preserve"> </w:t>
      </w:r>
      <w:r w:rsidRPr="00115801">
        <w:rPr>
          <w:rFonts w:asciiTheme="minorHAnsi" w:hAnsiTheme="minorHAnsi"/>
          <w:sz w:val="16"/>
          <w:szCs w:val="16"/>
        </w:rPr>
        <w:t xml:space="preserve">EBITDA = </w:t>
      </w:r>
      <w:r w:rsidR="00EC59E2" w:rsidRPr="00115801">
        <w:rPr>
          <w:rFonts w:asciiTheme="minorHAnsi" w:hAnsiTheme="minorHAnsi"/>
          <w:sz w:val="16"/>
          <w:szCs w:val="16"/>
        </w:rPr>
        <w:t>EBIT + Amortizacija i umanjenje vrijednosti (neto)</w:t>
      </w:r>
    </w:p>
  </w:footnote>
  <w:footnote w:id="2">
    <w:p w14:paraId="786B68E3" w14:textId="4682A916" w:rsidR="00C85FFC" w:rsidRPr="00C85FFC" w:rsidRDefault="00C85FFC">
      <w:pPr>
        <w:pStyle w:val="FootnoteText"/>
      </w:pPr>
      <w:r w:rsidRPr="00C85FFC">
        <w:rPr>
          <w:rFonts w:asciiTheme="minorHAnsi" w:hAnsiTheme="minorHAnsi"/>
          <w:sz w:val="16"/>
          <w:szCs w:val="16"/>
        </w:rPr>
        <w:footnoteRef/>
      </w:r>
      <w:r w:rsidRPr="00C85FFC">
        <w:rPr>
          <w:rFonts w:asciiTheme="minorHAnsi" w:hAnsiTheme="minorHAnsi"/>
          <w:sz w:val="16"/>
          <w:szCs w:val="16"/>
        </w:rPr>
        <w:t xml:space="preserve"> Dobit razdoblja bez jednokratnih stavki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DE61" w14:textId="77777777" w:rsidR="00E11167" w:rsidRDefault="00E11167">
    <w:pPr>
      <w:pStyle w:val="Header"/>
    </w:pPr>
    <w:r>
      <w:rPr>
        <w:noProof/>
        <w:lang w:eastAsia="hr-HR"/>
      </w:rPr>
      <w:drawing>
        <wp:inline distT="0" distB="0" distL="0" distR="0" wp14:anchorId="47ADF321" wp14:editId="775510CD">
          <wp:extent cx="1213485" cy="451485"/>
          <wp:effectExtent l="0" t="0" r="5715" b="5715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7F345" w14:textId="77777777" w:rsidR="00E11167" w:rsidRDefault="00E11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017D" w14:textId="77777777" w:rsidR="002620FE" w:rsidRDefault="00860C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572842F" wp14:editId="6545AE5A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2A57"/>
    <w:multiLevelType w:val="hybridMultilevel"/>
    <w:tmpl w:val="EFECC7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F36D7"/>
    <w:multiLevelType w:val="hybridMultilevel"/>
    <w:tmpl w:val="27FC5C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7D71"/>
    <w:multiLevelType w:val="hybridMultilevel"/>
    <w:tmpl w:val="4E92B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6952"/>
    <w:multiLevelType w:val="hybridMultilevel"/>
    <w:tmpl w:val="65E47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A"/>
    <w:rsid w:val="00001341"/>
    <w:rsid w:val="000051E2"/>
    <w:rsid w:val="00006890"/>
    <w:rsid w:val="00010CB2"/>
    <w:rsid w:val="0001225A"/>
    <w:rsid w:val="00013107"/>
    <w:rsid w:val="000145A6"/>
    <w:rsid w:val="00015C4D"/>
    <w:rsid w:val="000172B6"/>
    <w:rsid w:val="00022EA9"/>
    <w:rsid w:val="00027746"/>
    <w:rsid w:val="00027BEE"/>
    <w:rsid w:val="00034329"/>
    <w:rsid w:val="00040ABD"/>
    <w:rsid w:val="0004401B"/>
    <w:rsid w:val="00044AC0"/>
    <w:rsid w:val="00044D71"/>
    <w:rsid w:val="00050EB6"/>
    <w:rsid w:val="0005171F"/>
    <w:rsid w:val="000524F4"/>
    <w:rsid w:val="00055D52"/>
    <w:rsid w:val="00065AE4"/>
    <w:rsid w:val="00065CB3"/>
    <w:rsid w:val="00065D3A"/>
    <w:rsid w:val="00073269"/>
    <w:rsid w:val="00076862"/>
    <w:rsid w:val="0008261A"/>
    <w:rsid w:val="000851A4"/>
    <w:rsid w:val="0009479B"/>
    <w:rsid w:val="000977E3"/>
    <w:rsid w:val="000A0BFF"/>
    <w:rsid w:val="000B085A"/>
    <w:rsid w:val="000B327E"/>
    <w:rsid w:val="000B6363"/>
    <w:rsid w:val="000C2CE6"/>
    <w:rsid w:val="000D4C52"/>
    <w:rsid w:val="000D4CF8"/>
    <w:rsid w:val="000D5FAE"/>
    <w:rsid w:val="000D66DF"/>
    <w:rsid w:val="000E358E"/>
    <w:rsid w:val="000E3FF2"/>
    <w:rsid w:val="000E49A0"/>
    <w:rsid w:val="000F07A3"/>
    <w:rsid w:val="000F19F7"/>
    <w:rsid w:val="000F2FB6"/>
    <w:rsid w:val="000F7F35"/>
    <w:rsid w:val="00100EF1"/>
    <w:rsid w:val="0010125D"/>
    <w:rsid w:val="00107F16"/>
    <w:rsid w:val="00110F67"/>
    <w:rsid w:val="00115801"/>
    <w:rsid w:val="00121717"/>
    <w:rsid w:val="0012477B"/>
    <w:rsid w:val="00126DF1"/>
    <w:rsid w:val="00132BFA"/>
    <w:rsid w:val="00132EFD"/>
    <w:rsid w:val="0013450A"/>
    <w:rsid w:val="00134C2B"/>
    <w:rsid w:val="00137A05"/>
    <w:rsid w:val="0014024D"/>
    <w:rsid w:val="001417BE"/>
    <w:rsid w:val="00141B3F"/>
    <w:rsid w:val="00143D25"/>
    <w:rsid w:val="001472C4"/>
    <w:rsid w:val="00147672"/>
    <w:rsid w:val="00155780"/>
    <w:rsid w:val="001636C0"/>
    <w:rsid w:val="001637B1"/>
    <w:rsid w:val="0017036C"/>
    <w:rsid w:val="00173473"/>
    <w:rsid w:val="00176D28"/>
    <w:rsid w:val="0018483C"/>
    <w:rsid w:val="001864ED"/>
    <w:rsid w:val="00191574"/>
    <w:rsid w:val="00193C95"/>
    <w:rsid w:val="001A0AED"/>
    <w:rsid w:val="001A236B"/>
    <w:rsid w:val="001A25FD"/>
    <w:rsid w:val="001A34F1"/>
    <w:rsid w:val="001A3A4C"/>
    <w:rsid w:val="001A47B8"/>
    <w:rsid w:val="001A64CD"/>
    <w:rsid w:val="001B504C"/>
    <w:rsid w:val="001C50E6"/>
    <w:rsid w:val="001E7160"/>
    <w:rsid w:val="001E7602"/>
    <w:rsid w:val="001F56EC"/>
    <w:rsid w:val="001F71F2"/>
    <w:rsid w:val="0020107F"/>
    <w:rsid w:val="00201BA5"/>
    <w:rsid w:val="00201F3E"/>
    <w:rsid w:val="00202BD8"/>
    <w:rsid w:val="00203511"/>
    <w:rsid w:val="0020599C"/>
    <w:rsid w:val="00213062"/>
    <w:rsid w:val="00213B87"/>
    <w:rsid w:val="0021678C"/>
    <w:rsid w:val="00217FD3"/>
    <w:rsid w:val="0022082F"/>
    <w:rsid w:val="0022311E"/>
    <w:rsid w:val="00223D53"/>
    <w:rsid w:val="00227278"/>
    <w:rsid w:val="0023293B"/>
    <w:rsid w:val="00233A10"/>
    <w:rsid w:val="002340D9"/>
    <w:rsid w:val="0023451A"/>
    <w:rsid w:val="00234635"/>
    <w:rsid w:val="00234920"/>
    <w:rsid w:val="00235A26"/>
    <w:rsid w:val="00236461"/>
    <w:rsid w:val="002379B9"/>
    <w:rsid w:val="0024237E"/>
    <w:rsid w:val="00242ED9"/>
    <w:rsid w:val="002431E5"/>
    <w:rsid w:val="00251382"/>
    <w:rsid w:val="00256E5C"/>
    <w:rsid w:val="00257C8B"/>
    <w:rsid w:val="00264EA0"/>
    <w:rsid w:val="002766C5"/>
    <w:rsid w:val="00291889"/>
    <w:rsid w:val="00293289"/>
    <w:rsid w:val="002A01EB"/>
    <w:rsid w:val="002A0276"/>
    <w:rsid w:val="002A3AA7"/>
    <w:rsid w:val="002A4194"/>
    <w:rsid w:val="002A7EBF"/>
    <w:rsid w:val="002B5522"/>
    <w:rsid w:val="002C08BB"/>
    <w:rsid w:val="002C2F5B"/>
    <w:rsid w:val="002C39EF"/>
    <w:rsid w:val="002D1913"/>
    <w:rsid w:val="002D3FE8"/>
    <w:rsid w:val="002E0E95"/>
    <w:rsid w:val="002E6760"/>
    <w:rsid w:val="00300A37"/>
    <w:rsid w:val="0030178F"/>
    <w:rsid w:val="003064F6"/>
    <w:rsid w:val="00312674"/>
    <w:rsid w:val="0031659E"/>
    <w:rsid w:val="003203D0"/>
    <w:rsid w:val="00322FC2"/>
    <w:rsid w:val="00323B49"/>
    <w:rsid w:val="0032776B"/>
    <w:rsid w:val="003303F4"/>
    <w:rsid w:val="00337898"/>
    <w:rsid w:val="0034119D"/>
    <w:rsid w:val="00343CB6"/>
    <w:rsid w:val="00345092"/>
    <w:rsid w:val="00345515"/>
    <w:rsid w:val="00346716"/>
    <w:rsid w:val="00357900"/>
    <w:rsid w:val="00361599"/>
    <w:rsid w:val="00377E51"/>
    <w:rsid w:val="003814F6"/>
    <w:rsid w:val="00383E3C"/>
    <w:rsid w:val="00391301"/>
    <w:rsid w:val="003919CE"/>
    <w:rsid w:val="00392D3B"/>
    <w:rsid w:val="0039540E"/>
    <w:rsid w:val="00397409"/>
    <w:rsid w:val="003A4B6F"/>
    <w:rsid w:val="003B023F"/>
    <w:rsid w:val="003B0C51"/>
    <w:rsid w:val="003B2425"/>
    <w:rsid w:val="003B3BA0"/>
    <w:rsid w:val="003B463D"/>
    <w:rsid w:val="003B6230"/>
    <w:rsid w:val="003C144F"/>
    <w:rsid w:val="003E4D98"/>
    <w:rsid w:val="003E5046"/>
    <w:rsid w:val="003E7B66"/>
    <w:rsid w:val="003F31F8"/>
    <w:rsid w:val="00403389"/>
    <w:rsid w:val="00403560"/>
    <w:rsid w:val="004061A6"/>
    <w:rsid w:val="0041101F"/>
    <w:rsid w:val="004163A7"/>
    <w:rsid w:val="00420474"/>
    <w:rsid w:val="00422B24"/>
    <w:rsid w:val="00423095"/>
    <w:rsid w:val="004238CA"/>
    <w:rsid w:val="00424221"/>
    <w:rsid w:val="00425711"/>
    <w:rsid w:val="00431014"/>
    <w:rsid w:val="00434E69"/>
    <w:rsid w:val="00435CFB"/>
    <w:rsid w:val="00437FE2"/>
    <w:rsid w:val="00440FBB"/>
    <w:rsid w:val="00445122"/>
    <w:rsid w:val="00451DEE"/>
    <w:rsid w:val="00454D5E"/>
    <w:rsid w:val="0045635F"/>
    <w:rsid w:val="004639A8"/>
    <w:rsid w:val="00465EE9"/>
    <w:rsid w:val="00470234"/>
    <w:rsid w:val="00475AB8"/>
    <w:rsid w:val="00476777"/>
    <w:rsid w:val="00477051"/>
    <w:rsid w:val="00477DF9"/>
    <w:rsid w:val="00494CEC"/>
    <w:rsid w:val="0049526C"/>
    <w:rsid w:val="0049768E"/>
    <w:rsid w:val="004A1BEE"/>
    <w:rsid w:val="004A2423"/>
    <w:rsid w:val="004A36FF"/>
    <w:rsid w:val="004A6996"/>
    <w:rsid w:val="004B0AFD"/>
    <w:rsid w:val="004B112D"/>
    <w:rsid w:val="004B22DE"/>
    <w:rsid w:val="004B6427"/>
    <w:rsid w:val="004B69B1"/>
    <w:rsid w:val="004B7CDC"/>
    <w:rsid w:val="004C05F6"/>
    <w:rsid w:val="004C19C0"/>
    <w:rsid w:val="004C2128"/>
    <w:rsid w:val="004C37BC"/>
    <w:rsid w:val="004C5849"/>
    <w:rsid w:val="004D0E71"/>
    <w:rsid w:val="004D2C5E"/>
    <w:rsid w:val="004D53B5"/>
    <w:rsid w:val="004D5EDC"/>
    <w:rsid w:val="004D7DA5"/>
    <w:rsid w:val="004E1E14"/>
    <w:rsid w:val="004E2158"/>
    <w:rsid w:val="004E29DD"/>
    <w:rsid w:val="004E712A"/>
    <w:rsid w:val="004F2FF1"/>
    <w:rsid w:val="004F3D91"/>
    <w:rsid w:val="004F75E9"/>
    <w:rsid w:val="004F779A"/>
    <w:rsid w:val="00505582"/>
    <w:rsid w:val="005077D5"/>
    <w:rsid w:val="00511BF0"/>
    <w:rsid w:val="0051317B"/>
    <w:rsid w:val="0052098B"/>
    <w:rsid w:val="00524D25"/>
    <w:rsid w:val="00530D60"/>
    <w:rsid w:val="00531DBA"/>
    <w:rsid w:val="00533201"/>
    <w:rsid w:val="00534742"/>
    <w:rsid w:val="0054365E"/>
    <w:rsid w:val="0055288C"/>
    <w:rsid w:val="005612EC"/>
    <w:rsid w:val="00564017"/>
    <w:rsid w:val="00571928"/>
    <w:rsid w:val="00580CD7"/>
    <w:rsid w:val="00582120"/>
    <w:rsid w:val="005822A2"/>
    <w:rsid w:val="005848B8"/>
    <w:rsid w:val="00587D14"/>
    <w:rsid w:val="00591C71"/>
    <w:rsid w:val="00592E26"/>
    <w:rsid w:val="00593794"/>
    <w:rsid w:val="005A0412"/>
    <w:rsid w:val="005A2CFF"/>
    <w:rsid w:val="005A5DC0"/>
    <w:rsid w:val="005A6CDE"/>
    <w:rsid w:val="005B10A1"/>
    <w:rsid w:val="005B1D55"/>
    <w:rsid w:val="005B52DD"/>
    <w:rsid w:val="005C38B7"/>
    <w:rsid w:val="005C77A7"/>
    <w:rsid w:val="005D0188"/>
    <w:rsid w:val="005D297A"/>
    <w:rsid w:val="005D66D0"/>
    <w:rsid w:val="005D79A4"/>
    <w:rsid w:val="005E706A"/>
    <w:rsid w:val="005F16E9"/>
    <w:rsid w:val="00602941"/>
    <w:rsid w:val="006029D9"/>
    <w:rsid w:val="006060FD"/>
    <w:rsid w:val="0060641A"/>
    <w:rsid w:val="006127E9"/>
    <w:rsid w:val="00613575"/>
    <w:rsid w:val="00614368"/>
    <w:rsid w:val="006151F9"/>
    <w:rsid w:val="00616E8E"/>
    <w:rsid w:val="00617633"/>
    <w:rsid w:val="006244AD"/>
    <w:rsid w:val="00625798"/>
    <w:rsid w:val="00627C0E"/>
    <w:rsid w:val="00631839"/>
    <w:rsid w:val="00635A02"/>
    <w:rsid w:val="00640D64"/>
    <w:rsid w:val="00641E5E"/>
    <w:rsid w:val="00643279"/>
    <w:rsid w:val="00652641"/>
    <w:rsid w:val="0065437F"/>
    <w:rsid w:val="00655A8E"/>
    <w:rsid w:val="00655C96"/>
    <w:rsid w:val="00656555"/>
    <w:rsid w:val="00657587"/>
    <w:rsid w:val="00662295"/>
    <w:rsid w:val="00663FF0"/>
    <w:rsid w:val="00665AD9"/>
    <w:rsid w:val="00667230"/>
    <w:rsid w:val="00671731"/>
    <w:rsid w:val="00674B1D"/>
    <w:rsid w:val="00674DAB"/>
    <w:rsid w:val="00682C6F"/>
    <w:rsid w:val="00682EE3"/>
    <w:rsid w:val="006839F7"/>
    <w:rsid w:val="00690D3F"/>
    <w:rsid w:val="00691D74"/>
    <w:rsid w:val="006A08BA"/>
    <w:rsid w:val="006B1B5A"/>
    <w:rsid w:val="006B3FDB"/>
    <w:rsid w:val="006B4AEC"/>
    <w:rsid w:val="006B7FBE"/>
    <w:rsid w:val="006C5480"/>
    <w:rsid w:val="006C666E"/>
    <w:rsid w:val="006D1A51"/>
    <w:rsid w:val="006D1CBA"/>
    <w:rsid w:val="006D22B0"/>
    <w:rsid w:val="006D2E0C"/>
    <w:rsid w:val="006D52A1"/>
    <w:rsid w:val="006D695F"/>
    <w:rsid w:val="006D706A"/>
    <w:rsid w:val="006E11A3"/>
    <w:rsid w:val="006E262D"/>
    <w:rsid w:val="006E2701"/>
    <w:rsid w:val="006E3F3D"/>
    <w:rsid w:val="006F110E"/>
    <w:rsid w:val="006F2140"/>
    <w:rsid w:val="006F2B0D"/>
    <w:rsid w:val="006F2D96"/>
    <w:rsid w:val="006F62FD"/>
    <w:rsid w:val="006F691D"/>
    <w:rsid w:val="00705F66"/>
    <w:rsid w:val="00707205"/>
    <w:rsid w:val="00711D2F"/>
    <w:rsid w:val="00716A77"/>
    <w:rsid w:val="00724008"/>
    <w:rsid w:val="0072549F"/>
    <w:rsid w:val="00740D64"/>
    <w:rsid w:val="00741D32"/>
    <w:rsid w:val="0074484D"/>
    <w:rsid w:val="00746587"/>
    <w:rsid w:val="00753932"/>
    <w:rsid w:val="0075397D"/>
    <w:rsid w:val="00760095"/>
    <w:rsid w:val="007608DA"/>
    <w:rsid w:val="00766726"/>
    <w:rsid w:val="00774A43"/>
    <w:rsid w:val="00776446"/>
    <w:rsid w:val="0077725A"/>
    <w:rsid w:val="00785247"/>
    <w:rsid w:val="007913D2"/>
    <w:rsid w:val="00794095"/>
    <w:rsid w:val="007A4ECC"/>
    <w:rsid w:val="007B022B"/>
    <w:rsid w:val="007B0EEB"/>
    <w:rsid w:val="007B14BE"/>
    <w:rsid w:val="007B1D62"/>
    <w:rsid w:val="007B44E7"/>
    <w:rsid w:val="007C1E8B"/>
    <w:rsid w:val="007C3367"/>
    <w:rsid w:val="007D255C"/>
    <w:rsid w:val="007D285D"/>
    <w:rsid w:val="007D2B00"/>
    <w:rsid w:val="007D6F34"/>
    <w:rsid w:val="007E3D1F"/>
    <w:rsid w:val="007E5021"/>
    <w:rsid w:val="007F5C60"/>
    <w:rsid w:val="007F7E5C"/>
    <w:rsid w:val="008017FC"/>
    <w:rsid w:val="00803072"/>
    <w:rsid w:val="0080311E"/>
    <w:rsid w:val="00804CDB"/>
    <w:rsid w:val="008055F8"/>
    <w:rsid w:val="00807C74"/>
    <w:rsid w:val="008107DA"/>
    <w:rsid w:val="008118F8"/>
    <w:rsid w:val="00811B68"/>
    <w:rsid w:val="0081512A"/>
    <w:rsid w:val="00817950"/>
    <w:rsid w:val="0082247E"/>
    <w:rsid w:val="00830E8A"/>
    <w:rsid w:val="00831CC7"/>
    <w:rsid w:val="008347B6"/>
    <w:rsid w:val="00835A8C"/>
    <w:rsid w:val="00836CA9"/>
    <w:rsid w:val="008407F2"/>
    <w:rsid w:val="00844B80"/>
    <w:rsid w:val="008507F9"/>
    <w:rsid w:val="008525D8"/>
    <w:rsid w:val="00852ADB"/>
    <w:rsid w:val="00857D23"/>
    <w:rsid w:val="008608AF"/>
    <w:rsid w:val="00860C04"/>
    <w:rsid w:val="00861799"/>
    <w:rsid w:val="0086427B"/>
    <w:rsid w:val="0086576E"/>
    <w:rsid w:val="0088215A"/>
    <w:rsid w:val="0088321F"/>
    <w:rsid w:val="0088645F"/>
    <w:rsid w:val="0088654E"/>
    <w:rsid w:val="008869EC"/>
    <w:rsid w:val="008900D5"/>
    <w:rsid w:val="00890FBD"/>
    <w:rsid w:val="00893EE6"/>
    <w:rsid w:val="00895F22"/>
    <w:rsid w:val="0089733E"/>
    <w:rsid w:val="008A3E5B"/>
    <w:rsid w:val="008A63E6"/>
    <w:rsid w:val="008B1E75"/>
    <w:rsid w:val="008B536D"/>
    <w:rsid w:val="008B5FD9"/>
    <w:rsid w:val="008B6C30"/>
    <w:rsid w:val="008C3B67"/>
    <w:rsid w:val="008D54ED"/>
    <w:rsid w:val="008D6C85"/>
    <w:rsid w:val="008E4CAE"/>
    <w:rsid w:val="008E512B"/>
    <w:rsid w:val="008E51A9"/>
    <w:rsid w:val="008E6FAA"/>
    <w:rsid w:val="008F2170"/>
    <w:rsid w:val="00900A93"/>
    <w:rsid w:val="00900B4B"/>
    <w:rsid w:val="00905F02"/>
    <w:rsid w:val="0091485C"/>
    <w:rsid w:val="009150D8"/>
    <w:rsid w:val="00916B5F"/>
    <w:rsid w:val="00921EA5"/>
    <w:rsid w:val="009220F7"/>
    <w:rsid w:val="00922C22"/>
    <w:rsid w:val="00923510"/>
    <w:rsid w:val="009308BC"/>
    <w:rsid w:val="009322ED"/>
    <w:rsid w:val="0094032A"/>
    <w:rsid w:val="009423F3"/>
    <w:rsid w:val="00943D53"/>
    <w:rsid w:val="00944B72"/>
    <w:rsid w:val="00947C39"/>
    <w:rsid w:val="00952B0B"/>
    <w:rsid w:val="009605EA"/>
    <w:rsid w:val="009606AE"/>
    <w:rsid w:val="00961803"/>
    <w:rsid w:val="0096259C"/>
    <w:rsid w:val="00963630"/>
    <w:rsid w:val="00965E50"/>
    <w:rsid w:val="00966FA6"/>
    <w:rsid w:val="00973EE4"/>
    <w:rsid w:val="00975DE5"/>
    <w:rsid w:val="009762D1"/>
    <w:rsid w:val="00981578"/>
    <w:rsid w:val="0098677B"/>
    <w:rsid w:val="00987F7A"/>
    <w:rsid w:val="009902B6"/>
    <w:rsid w:val="00990A9A"/>
    <w:rsid w:val="009B14E6"/>
    <w:rsid w:val="009B1B56"/>
    <w:rsid w:val="009B31BD"/>
    <w:rsid w:val="009C1542"/>
    <w:rsid w:val="009C73BF"/>
    <w:rsid w:val="009D307C"/>
    <w:rsid w:val="009D4AFB"/>
    <w:rsid w:val="009D78B9"/>
    <w:rsid w:val="009E0B0E"/>
    <w:rsid w:val="009E184E"/>
    <w:rsid w:val="009E1B40"/>
    <w:rsid w:val="009E381A"/>
    <w:rsid w:val="009E4296"/>
    <w:rsid w:val="009E7304"/>
    <w:rsid w:val="009E753D"/>
    <w:rsid w:val="009F0513"/>
    <w:rsid w:val="009F267E"/>
    <w:rsid w:val="009F3354"/>
    <w:rsid w:val="009F4960"/>
    <w:rsid w:val="00A014A0"/>
    <w:rsid w:val="00A02E91"/>
    <w:rsid w:val="00A03FCD"/>
    <w:rsid w:val="00A044C5"/>
    <w:rsid w:val="00A06828"/>
    <w:rsid w:val="00A06F8C"/>
    <w:rsid w:val="00A14784"/>
    <w:rsid w:val="00A1606B"/>
    <w:rsid w:val="00A21DF0"/>
    <w:rsid w:val="00A25916"/>
    <w:rsid w:val="00A26681"/>
    <w:rsid w:val="00A30EF9"/>
    <w:rsid w:val="00A333D4"/>
    <w:rsid w:val="00A369BE"/>
    <w:rsid w:val="00A42180"/>
    <w:rsid w:val="00A444F0"/>
    <w:rsid w:val="00A46E99"/>
    <w:rsid w:val="00A4721C"/>
    <w:rsid w:val="00A476A8"/>
    <w:rsid w:val="00A47980"/>
    <w:rsid w:val="00A50D1C"/>
    <w:rsid w:val="00A517FA"/>
    <w:rsid w:val="00A52CE0"/>
    <w:rsid w:val="00A534BF"/>
    <w:rsid w:val="00A649F8"/>
    <w:rsid w:val="00A701A4"/>
    <w:rsid w:val="00A7228B"/>
    <w:rsid w:val="00A76C95"/>
    <w:rsid w:val="00A77410"/>
    <w:rsid w:val="00A77432"/>
    <w:rsid w:val="00A80C46"/>
    <w:rsid w:val="00A819F4"/>
    <w:rsid w:val="00A83DFD"/>
    <w:rsid w:val="00A85FD6"/>
    <w:rsid w:val="00A909C1"/>
    <w:rsid w:val="00A91380"/>
    <w:rsid w:val="00A92F54"/>
    <w:rsid w:val="00A94DF9"/>
    <w:rsid w:val="00AA110D"/>
    <w:rsid w:val="00AA198B"/>
    <w:rsid w:val="00AA1BC6"/>
    <w:rsid w:val="00AA2BF5"/>
    <w:rsid w:val="00AA477F"/>
    <w:rsid w:val="00AA6B9A"/>
    <w:rsid w:val="00AB269D"/>
    <w:rsid w:val="00AB4CBD"/>
    <w:rsid w:val="00AB5F84"/>
    <w:rsid w:val="00AC4F82"/>
    <w:rsid w:val="00AC6A96"/>
    <w:rsid w:val="00AD033E"/>
    <w:rsid w:val="00AD0553"/>
    <w:rsid w:val="00AD19CE"/>
    <w:rsid w:val="00AD449F"/>
    <w:rsid w:val="00AD65B1"/>
    <w:rsid w:val="00AE0CE0"/>
    <w:rsid w:val="00AE1DF2"/>
    <w:rsid w:val="00AF047B"/>
    <w:rsid w:val="00B02A9E"/>
    <w:rsid w:val="00B04E48"/>
    <w:rsid w:val="00B0622A"/>
    <w:rsid w:val="00B075E7"/>
    <w:rsid w:val="00B10FBC"/>
    <w:rsid w:val="00B12E52"/>
    <w:rsid w:val="00B15E0F"/>
    <w:rsid w:val="00B1686D"/>
    <w:rsid w:val="00B24424"/>
    <w:rsid w:val="00B316C6"/>
    <w:rsid w:val="00B330E9"/>
    <w:rsid w:val="00B34D8A"/>
    <w:rsid w:val="00B37CEB"/>
    <w:rsid w:val="00B40EF2"/>
    <w:rsid w:val="00B42DBB"/>
    <w:rsid w:val="00B45087"/>
    <w:rsid w:val="00B45BCA"/>
    <w:rsid w:val="00B515FD"/>
    <w:rsid w:val="00B526AA"/>
    <w:rsid w:val="00B535BB"/>
    <w:rsid w:val="00B55214"/>
    <w:rsid w:val="00B55CFA"/>
    <w:rsid w:val="00B6110C"/>
    <w:rsid w:val="00B61B4E"/>
    <w:rsid w:val="00B6387D"/>
    <w:rsid w:val="00B64A28"/>
    <w:rsid w:val="00B64C55"/>
    <w:rsid w:val="00B65ACF"/>
    <w:rsid w:val="00B72AA9"/>
    <w:rsid w:val="00B72E87"/>
    <w:rsid w:val="00B75B8D"/>
    <w:rsid w:val="00B800D6"/>
    <w:rsid w:val="00B80D08"/>
    <w:rsid w:val="00B80DA8"/>
    <w:rsid w:val="00B8143E"/>
    <w:rsid w:val="00B81EA1"/>
    <w:rsid w:val="00B8373E"/>
    <w:rsid w:val="00B85727"/>
    <w:rsid w:val="00B86C00"/>
    <w:rsid w:val="00B90E61"/>
    <w:rsid w:val="00B9291F"/>
    <w:rsid w:val="00B963BE"/>
    <w:rsid w:val="00B969ED"/>
    <w:rsid w:val="00BA2031"/>
    <w:rsid w:val="00BA5E10"/>
    <w:rsid w:val="00BA649A"/>
    <w:rsid w:val="00BC17C1"/>
    <w:rsid w:val="00BC3116"/>
    <w:rsid w:val="00BC770F"/>
    <w:rsid w:val="00BD61FB"/>
    <w:rsid w:val="00BD62FD"/>
    <w:rsid w:val="00BD6B46"/>
    <w:rsid w:val="00BE22F6"/>
    <w:rsid w:val="00BE2ECD"/>
    <w:rsid w:val="00BE3688"/>
    <w:rsid w:val="00BE436F"/>
    <w:rsid w:val="00BE4427"/>
    <w:rsid w:val="00BE54A0"/>
    <w:rsid w:val="00BF61DF"/>
    <w:rsid w:val="00C120CE"/>
    <w:rsid w:val="00C156B2"/>
    <w:rsid w:val="00C176E0"/>
    <w:rsid w:val="00C222AA"/>
    <w:rsid w:val="00C27C8D"/>
    <w:rsid w:val="00C27CC5"/>
    <w:rsid w:val="00C33F46"/>
    <w:rsid w:val="00C34536"/>
    <w:rsid w:val="00C44385"/>
    <w:rsid w:val="00C44D10"/>
    <w:rsid w:val="00C45A8B"/>
    <w:rsid w:val="00C51D4C"/>
    <w:rsid w:val="00C5409D"/>
    <w:rsid w:val="00C55BF0"/>
    <w:rsid w:val="00C56FA2"/>
    <w:rsid w:val="00C60335"/>
    <w:rsid w:val="00C608A0"/>
    <w:rsid w:val="00C60C29"/>
    <w:rsid w:val="00C60F04"/>
    <w:rsid w:val="00C61BEA"/>
    <w:rsid w:val="00C6357F"/>
    <w:rsid w:val="00C64DCE"/>
    <w:rsid w:val="00C72C1B"/>
    <w:rsid w:val="00C74D8B"/>
    <w:rsid w:val="00C80550"/>
    <w:rsid w:val="00C80A08"/>
    <w:rsid w:val="00C820B6"/>
    <w:rsid w:val="00C83B13"/>
    <w:rsid w:val="00C84B95"/>
    <w:rsid w:val="00C85FFC"/>
    <w:rsid w:val="00C9084B"/>
    <w:rsid w:val="00C909E6"/>
    <w:rsid w:val="00C91307"/>
    <w:rsid w:val="00C96F23"/>
    <w:rsid w:val="00C97EFF"/>
    <w:rsid w:val="00CA1F6F"/>
    <w:rsid w:val="00CA2A27"/>
    <w:rsid w:val="00CB7C47"/>
    <w:rsid w:val="00CC1889"/>
    <w:rsid w:val="00CD410C"/>
    <w:rsid w:val="00CE2F80"/>
    <w:rsid w:val="00CF73CF"/>
    <w:rsid w:val="00CF785A"/>
    <w:rsid w:val="00D00941"/>
    <w:rsid w:val="00D017BA"/>
    <w:rsid w:val="00D0219A"/>
    <w:rsid w:val="00D03A23"/>
    <w:rsid w:val="00D06359"/>
    <w:rsid w:val="00D06D1B"/>
    <w:rsid w:val="00D06F7C"/>
    <w:rsid w:val="00D07A08"/>
    <w:rsid w:val="00D07E87"/>
    <w:rsid w:val="00D10729"/>
    <w:rsid w:val="00D10D3D"/>
    <w:rsid w:val="00D1387C"/>
    <w:rsid w:val="00D146C3"/>
    <w:rsid w:val="00D14FDD"/>
    <w:rsid w:val="00D15E55"/>
    <w:rsid w:val="00D17446"/>
    <w:rsid w:val="00D17925"/>
    <w:rsid w:val="00D228DC"/>
    <w:rsid w:val="00D23B4F"/>
    <w:rsid w:val="00D300A0"/>
    <w:rsid w:val="00D322A2"/>
    <w:rsid w:val="00D327BE"/>
    <w:rsid w:val="00D34AD3"/>
    <w:rsid w:val="00D3547A"/>
    <w:rsid w:val="00D362B9"/>
    <w:rsid w:val="00D37D9A"/>
    <w:rsid w:val="00D426DB"/>
    <w:rsid w:val="00D46074"/>
    <w:rsid w:val="00D526FE"/>
    <w:rsid w:val="00D53879"/>
    <w:rsid w:val="00D5463C"/>
    <w:rsid w:val="00D6588F"/>
    <w:rsid w:val="00D66D41"/>
    <w:rsid w:val="00D66F09"/>
    <w:rsid w:val="00D67D6A"/>
    <w:rsid w:val="00D71BD3"/>
    <w:rsid w:val="00D76FF1"/>
    <w:rsid w:val="00D77EF0"/>
    <w:rsid w:val="00D822EE"/>
    <w:rsid w:val="00D839F5"/>
    <w:rsid w:val="00D90601"/>
    <w:rsid w:val="00DA3120"/>
    <w:rsid w:val="00DA391C"/>
    <w:rsid w:val="00DA5039"/>
    <w:rsid w:val="00DA612F"/>
    <w:rsid w:val="00DB15A2"/>
    <w:rsid w:val="00DB237C"/>
    <w:rsid w:val="00DB41CC"/>
    <w:rsid w:val="00DB7889"/>
    <w:rsid w:val="00DB7F56"/>
    <w:rsid w:val="00DD1CA9"/>
    <w:rsid w:val="00DE7F6D"/>
    <w:rsid w:val="00DF1889"/>
    <w:rsid w:val="00E0015F"/>
    <w:rsid w:val="00E015F6"/>
    <w:rsid w:val="00E11167"/>
    <w:rsid w:val="00E11425"/>
    <w:rsid w:val="00E25BB8"/>
    <w:rsid w:val="00E2763D"/>
    <w:rsid w:val="00E31723"/>
    <w:rsid w:val="00E32D92"/>
    <w:rsid w:val="00E33444"/>
    <w:rsid w:val="00E3411F"/>
    <w:rsid w:val="00E34F0E"/>
    <w:rsid w:val="00E363AF"/>
    <w:rsid w:val="00E36988"/>
    <w:rsid w:val="00E37DDB"/>
    <w:rsid w:val="00E411F8"/>
    <w:rsid w:val="00E42F3E"/>
    <w:rsid w:val="00E43DE4"/>
    <w:rsid w:val="00E4448B"/>
    <w:rsid w:val="00E51B1C"/>
    <w:rsid w:val="00E51EEC"/>
    <w:rsid w:val="00E524BC"/>
    <w:rsid w:val="00E5646A"/>
    <w:rsid w:val="00E611E2"/>
    <w:rsid w:val="00E6472D"/>
    <w:rsid w:val="00E65613"/>
    <w:rsid w:val="00E65F1B"/>
    <w:rsid w:val="00E67B86"/>
    <w:rsid w:val="00E67BE7"/>
    <w:rsid w:val="00E77F60"/>
    <w:rsid w:val="00E81039"/>
    <w:rsid w:val="00E8307E"/>
    <w:rsid w:val="00E84898"/>
    <w:rsid w:val="00E871E4"/>
    <w:rsid w:val="00E907C0"/>
    <w:rsid w:val="00E943E3"/>
    <w:rsid w:val="00E96AA4"/>
    <w:rsid w:val="00EA40BB"/>
    <w:rsid w:val="00EA479D"/>
    <w:rsid w:val="00EB1C03"/>
    <w:rsid w:val="00EB5441"/>
    <w:rsid w:val="00EC1157"/>
    <w:rsid w:val="00EC59E2"/>
    <w:rsid w:val="00EC736A"/>
    <w:rsid w:val="00ED57CF"/>
    <w:rsid w:val="00EE046A"/>
    <w:rsid w:val="00EE0C7B"/>
    <w:rsid w:val="00EE111E"/>
    <w:rsid w:val="00EE2482"/>
    <w:rsid w:val="00EE66EC"/>
    <w:rsid w:val="00EF1C2A"/>
    <w:rsid w:val="00EF54B0"/>
    <w:rsid w:val="00EF696D"/>
    <w:rsid w:val="00F01BFD"/>
    <w:rsid w:val="00F01D8C"/>
    <w:rsid w:val="00F021ED"/>
    <w:rsid w:val="00F04045"/>
    <w:rsid w:val="00F17A6A"/>
    <w:rsid w:val="00F21047"/>
    <w:rsid w:val="00F213C3"/>
    <w:rsid w:val="00F219B2"/>
    <w:rsid w:val="00F22178"/>
    <w:rsid w:val="00F22D08"/>
    <w:rsid w:val="00F25C7F"/>
    <w:rsid w:val="00F275B2"/>
    <w:rsid w:val="00F335E4"/>
    <w:rsid w:val="00F36AAC"/>
    <w:rsid w:val="00F37ACD"/>
    <w:rsid w:val="00F41B0B"/>
    <w:rsid w:val="00F47625"/>
    <w:rsid w:val="00F55414"/>
    <w:rsid w:val="00F56AB4"/>
    <w:rsid w:val="00F5764E"/>
    <w:rsid w:val="00F579D5"/>
    <w:rsid w:val="00F61D54"/>
    <w:rsid w:val="00F625A5"/>
    <w:rsid w:val="00F63C49"/>
    <w:rsid w:val="00F67087"/>
    <w:rsid w:val="00F67E7F"/>
    <w:rsid w:val="00F71197"/>
    <w:rsid w:val="00F74E08"/>
    <w:rsid w:val="00F80EA4"/>
    <w:rsid w:val="00F81F4A"/>
    <w:rsid w:val="00F8747E"/>
    <w:rsid w:val="00F93EDD"/>
    <w:rsid w:val="00F9629C"/>
    <w:rsid w:val="00FA2888"/>
    <w:rsid w:val="00FA53EE"/>
    <w:rsid w:val="00FA63E5"/>
    <w:rsid w:val="00FB5E97"/>
    <w:rsid w:val="00FB69CD"/>
    <w:rsid w:val="00FB780B"/>
    <w:rsid w:val="00FC0F17"/>
    <w:rsid w:val="00FC1049"/>
    <w:rsid w:val="00FC2D7E"/>
    <w:rsid w:val="00FC3C14"/>
    <w:rsid w:val="00FC4661"/>
    <w:rsid w:val="00FC646E"/>
    <w:rsid w:val="00FC7980"/>
    <w:rsid w:val="00FD3036"/>
    <w:rsid w:val="00FD3977"/>
    <w:rsid w:val="00FD41FF"/>
    <w:rsid w:val="00FD4516"/>
    <w:rsid w:val="00FD59C3"/>
    <w:rsid w:val="00FD6654"/>
    <w:rsid w:val="00FE466E"/>
    <w:rsid w:val="00FF2612"/>
    <w:rsid w:val="00FF2B6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602B226"/>
  <w15:docId w15:val="{96704608-8388-4F7A-B5E5-D77907D2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167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E11167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E111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1116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1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2CFF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536D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9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na.h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2226-9837-48DB-ACF8-1635513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10</cp:revision>
  <cp:lastPrinted>2019-07-26T09:27:00Z</cp:lastPrinted>
  <dcterms:created xsi:type="dcterms:W3CDTF">2019-07-25T14:39:00Z</dcterms:created>
  <dcterms:modified xsi:type="dcterms:W3CDTF">2019-07-26T09:27:00Z</dcterms:modified>
</cp:coreProperties>
</file>