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cs="Tahoma"/>
          <w:b/>
          <w:b/>
          <w:sz w:val="20"/>
          <w:szCs w:val="20"/>
          <w:lang w:val="hr-HR" w:eastAsia="hr-HR"/>
        </w:rPr>
      </w:pPr>
      <w:r>
        <w:rPr>
          <w:rFonts w:cs="Tahoma" w:ascii="Tahoma" w:hAnsi="Tahoma"/>
          <w:b/>
          <w:sz w:val="20"/>
          <w:szCs w:val="20"/>
          <w:lang w:val="hr-HR" w:eastAsia="hr-HR"/>
        </w:rPr>
      </w:r>
    </w:p>
    <w:p>
      <w:pPr>
        <w:pStyle w:val="Normal"/>
        <w:rPr>
          <w:rFonts w:ascii="Tahoma" w:hAnsi="Tahoma" w:cs="Tahoma"/>
          <w:b/>
          <w:b/>
          <w:sz w:val="20"/>
          <w:szCs w:val="20"/>
          <w:lang w:val="hr-HR" w:eastAsia="hr-HR"/>
        </w:rPr>
      </w:pPr>
      <w:r>
        <w:rPr>
          <w:rFonts w:cs="Tahoma" w:ascii="Tahoma" w:hAnsi="Tahoma"/>
          <w:b/>
          <w:sz w:val="20"/>
          <w:szCs w:val="20"/>
          <w:lang w:val="hr-HR" w:eastAsia="hr-HR"/>
        </w:rPr>
      </w:r>
    </w:p>
    <w:p>
      <w:pPr>
        <w:pStyle w:val="Normal"/>
        <w:rPr>
          <w:rFonts w:ascii="Tahoma" w:hAnsi="Tahoma" w:cs="Tahoma"/>
          <w:b/>
          <w:b/>
          <w:sz w:val="20"/>
          <w:szCs w:val="20"/>
          <w:lang w:val="hr-HR" w:eastAsia="hr-HR"/>
        </w:rPr>
      </w:pPr>
      <w:r>
        <w:rPr>
          <w:rFonts w:cs="Tahoma" w:ascii="Tahoma" w:hAnsi="Tahoma"/>
          <w:b/>
          <w:sz w:val="20"/>
          <w:szCs w:val="20"/>
          <w:lang w:val="hr-HR" w:eastAsia="hr-HR"/>
        </w:rPr>
      </w:r>
    </w:p>
    <w:p>
      <w:pPr>
        <w:pStyle w:val="Normal"/>
        <w:jc w:val="right"/>
        <w:rPr>
          <w:rFonts w:ascii="Tahoma" w:hAnsi="Tahoma" w:cs="Tahoma"/>
          <w:b/>
          <w:b/>
          <w:sz w:val="20"/>
          <w:szCs w:val="20"/>
          <w:lang w:val="hr-HR" w:eastAsia="hr-HR"/>
        </w:rPr>
      </w:pPr>
      <w:r>
        <w:rPr>
          <w:rFonts w:cs="Tahoma" w:ascii="Tahoma" w:hAnsi="Tahoma"/>
          <w:b/>
          <w:sz w:val="20"/>
          <w:szCs w:val="20"/>
          <w:lang w:val="hr-HR" w:eastAsia="hr-HR"/>
        </w:rPr>
        <w:tab/>
        <w:tab/>
        <w:tab/>
        <w:tab/>
        <w:tab/>
        <w:tab/>
        <w:t>PRIOPĆENJE ZA MEDIJE</w:t>
      </w:r>
    </w:p>
    <w:p>
      <w:pPr>
        <w:pStyle w:val="Normal"/>
        <w:jc w:val="right"/>
        <w:rPr>
          <w:rFonts w:ascii="Tahoma" w:hAnsi="Tahoma" w:cs="Tahoma"/>
          <w:b/>
          <w:b/>
          <w:sz w:val="20"/>
          <w:szCs w:val="20"/>
          <w:lang w:val="hr-HR" w:eastAsia="hr-HR"/>
        </w:rPr>
      </w:pPr>
      <w:r>
        <w:rPr>
          <w:rFonts w:cs="Tahoma" w:ascii="Tahoma" w:hAnsi="Tahoma"/>
          <w:b/>
          <w:sz w:val="20"/>
          <w:szCs w:val="20"/>
          <w:lang w:val="hr-HR" w:eastAsia="hr-HR"/>
        </w:rPr>
      </w:r>
    </w:p>
    <w:p>
      <w:pPr>
        <w:pStyle w:val="Normal"/>
        <w:spacing w:lineRule="auto" w:line="312" w:before="0" w:after="0"/>
        <w:jc w:val="both"/>
        <w:rPr>
          <w:rFonts w:ascii="Tahoma" w:hAnsi="Tahoma" w:cs="Tahoma"/>
          <w:sz w:val="20"/>
          <w:szCs w:val="20"/>
          <w:lang w:val="hr-HR" w:eastAsia="hr-HR"/>
        </w:rPr>
      </w:pPr>
      <w:r>
        <w:rPr>
          <w:rFonts w:cs="Tahoma" w:ascii="Tahoma" w:hAnsi="Tahoma"/>
          <w:sz w:val="20"/>
          <w:szCs w:val="20"/>
          <w:lang w:val="hr-HR" w:eastAsia="hr-HR"/>
        </w:rPr>
      </w:r>
    </w:p>
    <w:p>
      <w:pPr>
        <w:pStyle w:val="Normal"/>
        <w:spacing w:lineRule="auto" w:line="312" w:before="0" w:after="0"/>
        <w:jc w:val="center"/>
        <w:rPr>
          <w:rFonts w:ascii="Tahoma" w:hAnsi="Tahoma" w:cs="Tahoma"/>
          <w:sz w:val="28"/>
          <w:szCs w:val="28"/>
          <w:lang w:val="hr-HR" w:eastAsia="hr-HR"/>
        </w:rPr>
      </w:pPr>
      <w:r>
        <w:rPr>
          <w:rFonts w:cs="Tahoma" w:ascii="Tahoma" w:hAnsi="Tahoma"/>
          <w:sz w:val="28"/>
          <w:szCs w:val="28"/>
          <w:lang w:val="hr-HR" w:eastAsia="hr-HR"/>
        </w:rPr>
        <w:t>Na INA benzinskim postajama počela</w:t>
      </w:r>
    </w:p>
    <w:p>
      <w:pPr>
        <w:pStyle w:val="Normal"/>
        <w:spacing w:lineRule="auto" w:line="312" w:before="0" w:after="0"/>
        <w:jc w:val="center"/>
        <w:rPr>
          <w:rFonts w:ascii="Tahoma" w:hAnsi="Tahoma" w:cs="Tahoma"/>
          <w:sz w:val="28"/>
          <w:szCs w:val="28"/>
          <w:lang w:val="hr-HR" w:eastAsia="hr-HR"/>
        </w:rPr>
      </w:pPr>
      <w:r>
        <w:rPr>
          <w:rFonts w:cs="Tahoma" w:ascii="Tahoma" w:hAnsi="Tahoma"/>
          <w:sz w:val="28"/>
          <w:szCs w:val="28"/>
          <w:lang w:val="hr-HR" w:eastAsia="hr-HR"/>
        </w:rPr>
        <w:t>prodaja ulaznica za Europsko prvenstvo u vaterpolu</w:t>
      </w:r>
    </w:p>
    <w:p>
      <w:pPr>
        <w:pStyle w:val="Normal"/>
        <w:spacing w:lineRule="auto" w:line="312" w:before="0" w:after="0"/>
        <w:rPr>
          <w:rFonts w:ascii="Tahoma" w:hAnsi="Tahoma" w:cs="Tahoma"/>
          <w:sz w:val="28"/>
          <w:szCs w:val="28"/>
          <w:lang w:val="hr-HR" w:eastAsia="hr-HR"/>
        </w:rPr>
      </w:pPr>
      <w:r>
        <w:rPr>
          <w:rFonts w:cs="Tahoma" w:ascii="Tahoma" w:hAnsi="Tahoma"/>
          <w:sz w:val="28"/>
          <w:szCs w:val="28"/>
          <w:lang w:val="hr-HR" w:eastAsia="hr-HR"/>
        </w:rPr>
      </w:r>
    </w:p>
    <w:p>
      <w:pPr>
        <w:pStyle w:val="Normal"/>
        <w:spacing w:lineRule="auto" w:line="312" w:before="0" w:after="0"/>
        <w:jc w:val="both"/>
        <w:rPr/>
      </w:pPr>
      <w:r>
        <w:rPr>
          <w:rFonts w:cs="Tahoma" w:ascii="Tahoma" w:hAnsi="Tahoma"/>
          <w:sz w:val="22"/>
          <w:szCs w:val="22"/>
          <w:lang w:val="hr-HR" w:eastAsia="hr-HR"/>
        </w:rPr>
        <w:t xml:space="preserve">Zagreb, 06. kolovoza 2010. - Od danas na benzinskim postajama INE počinje prodaja ulaznica za Europsko prvenstvo u vaterpolu, koje će se održati u Zagrebu, na bazenu Mladosti od 29. kolovoza do 11. rujna 2010. Ina, najveća hrvatska naftna kompanija službeni je partner Europskog prvenstva u vaterpolo 2010., a svi ljubitelji ovog sporta ulaznice i navijačke rekvizite će moći kupiti na 10 odabranih Ininih prodajnih mjesta širom Hrvatske. Također, brojni navijački artikli bit će dostupni i na dodatnih 40 Ininih benzinskih postaja. Popis benzinskih postaja dostupan je na </w:t>
      </w:r>
      <w:hyperlink r:id="rId2">
        <w:r>
          <w:rPr>
            <w:rStyle w:val="InternetLink"/>
            <w:rFonts w:cs="Tahoma" w:ascii="Tahoma" w:hAnsi="Tahoma"/>
            <w:sz w:val="22"/>
            <w:szCs w:val="22"/>
            <w:lang w:val="hr-HR" w:eastAsia="hr-HR"/>
          </w:rPr>
          <w:t>www.ina.hr</w:t>
        </w:r>
      </w:hyperlink>
      <w:r>
        <w:rPr>
          <w:rFonts w:cs="Tahoma" w:ascii="Tahoma" w:hAnsi="Tahoma"/>
          <w:sz w:val="22"/>
          <w:szCs w:val="22"/>
          <w:lang w:val="hr-HR" w:eastAsia="hr-HR"/>
        </w:rPr>
        <w:t xml:space="preserve"> </w:t>
      </w:r>
    </w:p>
    <w:p>
      <w:pPr>
        <w:pStyle w:val="Normal"/>
        <w:spacing w:lineRule="auto" w:line="312" w:before="0" w:after="0"/>
        <w:jc w:val="both"/>
        <w:rPr>
          <w:rFonts w:ascii="Tahoma" w:hAnsi="Tahoma" w:cs="Tahoma"/>
          <w:i/>
          <w:i/>
          <w:sz w:val="22"/>
          <w:szCs w:val="22"/>
          <w:lang w:val="hr-HR" w:eastAsia="hr-HR"/>
        </w:rPr>
      </w:pPr>
      <w:r>
        <w:rPr>
          <w:rFonts w:cs="Tahoma" w:ascii="Tahoma" w:hAnsi="Tahoma"/>
          <w:i/>
          <w:sz w:val="22"/>
          <w:szCs w:val="22"/>
          <w:lang w:val="hr-HR" w:eastAsia="hr-HR"/>
        </w:rPr>
      </w:r>
    </w:p>
    <w:p>
      <w:pPr>
        <w:pStyle w:val="Normal"/>
        <w:spacing w:lineRule="auto" w:line="312" w:before="0" w:after="0"/>
        <w:jc w:val="both"/>
        <w:rPr/>
      </w:pPr>
      <w:r>
        <w:rPr>
          <w:rFonts w:eastAsia="Tahoma" w:cs="Tahoma" w:ascii="Tahoma" w:hAnsi="Tahoma"/>
          <w:i/>
          <w:sz w:val="22"/>
          <w:szCs w:val="22"/>
          <w:lang w:val="hr-HR" w:eastAsia="hr-HR"/>
        </w:rPr>
        <w:t xml:space="preserve"> </w:t>
      </w:r>
      <w:r>
        <w:rPr>
          <w:rFonts w:cs="Tahoma" w:ascii="Tahoma" w:hAnsi="Tahoma"/>
          <w:i/>
          <w:sz w:val="22"/>
          <w:szCs w:val="22"/>
          <w:lang w:val="hr-HR" w:eastAsia="hr-HR"/>
        </w:rPr>
        <w:t>„</w:t>
      </w:r>
      <w:r>
        <w:rPr>
          <w:rFonts w:cs="Tahoma" w:ascii="Tahoma" w:hAnsi="Tahoma"/>
          <w:i/>
          <w:sz w:val="22"/>
          <w:szCs w:val="22"/>
          <w:lang w:val="hr-HR" w:eastAsia="hr-HR"/>
        </w:rPr>
        <w:t xml:space="preserve">INA, kao društveno odgovorna kompanija, i dalje prepoznaje ulogu i važnost hrvatskog sporta, kao i potrebu za njegovim kontinuiranim razvojem. Upravo smo iz tih razloga odlučili  podržati ovaj iznimno vrijedan sportski događaj i time postati službeni partner Europskog prvenstva u vaterpolu 2010. </w:t>
      </w:r>
      <w:r>
        <w:rPr>
          <w:rFonts w:cs="Tahoma" w:ascii="Tahoma" w:hAnsi="Tahoma"/>
          <w:i/>
          <w:iCs/>
          <w:sz w:val="22"/>
          <w:szCs w:val="22"/>
          <w:lang w:val="hr-HR"/>
        </w:rPr>
        <w:t>Ova izuzetna manifestacija još je jedan dokaz ulaganja u hrvatske potencijale putem koje INA daje  punu podršku hrvatskom sportu te želi motivirati i druge pojedince i klubove na nizanje daljnjih sportskih uspjeha.</w:t>
      </w:r>
      <w:r>
        <w:rPr>
          <w:rFonts w:cs="Tahoma" w:ascii="Tahoma" w:hAnsi="Tahoma"/>
          <w:i/>
          <w:sz w:val="22"/>
          <w:szCs w:val="22"/>
          <w:lang w:val="hr-HR" w:eastAsia="hr-HR"/>
        </w:rPr>
        <w:t>“</w:t>
      </w:r>
      <w:r>
        <w:rPr>
          <w:rFonts w:cs="Tahoma" w:ascii="Tahoma" w:hAnsi="Tahoma"/>
          <w:sz w:val="22"/>
          <w:szCs w:val="22"/>
          <w:lang w:val="hr-HR" w:eastAsia="hr-HR"/>
        </w:rPr>
        <w:t xml:space="preserve"> – izjavio je predsjednik Uprave Ine Zoltán Áldott.</w:t>
      </w:r>
    </w:p>
    <w:p>
      <w:pPr>
        <w:pStyle w:val="Normal"/>
        <w:spacing w:lineRule="auto" w:line="312" w:before="0" w:after="0"/>
        <w:jc w:val="both"/>
        <w:rPr>
          <w:rFonts w:ascii="Tahoma" w:hAnsi="Tahoma" w:cs="Tahoma"/>
          <w:sz w:val="22"/>
          <w:szCs w:val="22"/>
          <w:lang w:val="hr-HR" w:eastAsia="hr-HR"/>
        </w:rPr>
      </w:pPr>
      <w:r>
        <w:rPr>
          <w:rFonts w:cs="Tahoma" w:ascii="Tahoma" w:hAnsi="Tahoma"/>
          <w:sz w:val="22"/>
          <w:szCs w:val="22"/>
          <w:lang w:val="hr-HR" w:eastAsia="hr-HR"/>
        </w:rPr>
      </w:r>
    </w:p>
    <w:p>
      <w:pPr>
        <w:pStyle w:val="Normal"/>
        <w:spacing w:lineRule="auto" w:line="312" w:before="0" w:after="0"/>
        <w:jc w:val="both"/>
        <w:rPr>
          <w:rFonts w:ascii="Tahoma" w:hAnsi="Tahoma" w:cs="Tahoma"/>
          <w:sz w:val="22"/>
          <w:szCs w:val="22"/>
          <w:lang w:val="hr-HR" w:eastAsia="hr-HR"/>
        </w:rPr>
      </w:pPr>
      <w:r>
        <w:rPr>
          <w:rFonts w:cs="Tahoma" w:ascii="Tahoma" w:hAnsi="Tahoma"/>
          <w:sz w:val="22"/>
          <w:szCs w:val="22"/>
          <w:lang w:val="hr-HR" w:eastAsia="hr-HR"/>
        </w:rPr>
        <w:t>25 dana prije početka najvećeg ovogodišnjeg sportskog događaja u Hrvatskoj, pripreme su u punom jeku, a naši reprezentativci, nakon odličnog rezultata na Svjetskom kupu u Oradei, brusit će formu na pripremama u Rijeci od 6. do 14. te u Dubrovniku od 18. do 25. kolovoza.</w:t>
      </w:r>
    </w:p>
    <w:p>
      <w:pPr>
        <w:pStyle w:val="Normal"/>
        <w:spacing w:lineRule="auto" w:line="312" w:before="0" w:after="0"/>
        <w:jc w:val="both"/>
        <w:rPr>
          <w:rFonts w:ascii="Tahoma" w:hAnsi="Tahoma" w:cs="Tahoma"/>
          <w:sz w:val="22"/>
          <w:szCs w:val="22"/>
          <w:lang w:val="hr-HR" w:eastAsia="hr-HR"/>
        </w:rPr>
      </w:pPr>
      <w:r>
        <w:rPr>
          <w:rFonts w:cs="Tahoma" w:ascii="Tahoma" w:hAnsi="Tahoma"/>
          <w:sz w:val="22"/>
          <w:szCs w:val="22"/>
          <w:lang w:val="hr-HR" w:eastAsia="hr-HR"/>
        </w:rPr>
      </w:r>
    </w:p>
    <w:p>
      <w:pPr>
        <w:pStyle w:val="Normal"/>
        <w:spacing w:lineRule="auto" w:line="312" w:before="0" w:after="0"/>
        <w:jc w:val="both"/>
        <w:rPr>
          <w:rFonts w:ascii="Tahoma" w:hAnsi="Tahoma" w:cs="Tahoma"/>
          <w:sz w:val="22"/>
          <w:szCs w:val="22"/>
          <w:lang w:val="hr-HR" w:eastAsia="hr-HR"/>
        </w:rPr>
      </w:pPr>
      <w:r>
        <w:rPr>
          <w:rFonts w:cs="Tahoma" w:ascii="Tahoma" w:hAnsi="Tahoma"/>
          <w:sz w:val="22"/>
          <w:szCs w:val="22"/>
          <w:lang w:val="hr-HR" w:eastAsia="hr-HR"/>
        </w:rPr>
        <w:t>„</w:t>
      </w:r>
      <w:r>
        <w:rPr>
          <w:rFonts w:cs="Tahoma" w:ascii="Tahoma" w:hAnsi="Tahoma"/>
          <w:i/>
          <w:sz w:val="22"/>
          <w:szCs w:val="22"/>
          <w:lang w:val="hr-HR" w:eastAsia="hr-HR"/>
        </w:rPr>
        <w:t>Hrvatska ima dugu vaterpolsku tradiciju u kojoj je osvajala brojne medalje, a izuzetno nam je zadovoljstvo što kao domaćini Europskog prvenstva imamo priliku popeti se na tron pred našom publikom.  Osim što ćemo kvalitetnom organizacijom Prvenstva promovirati Hrvatsku na najbolji način, cilj Saveza je i privući nove generacije na plivališta, stvarati vlastite igrače, poboljšati rad u klubovima i svake godine imati snažnu reprezentaciju. Stoga smo izuzetno zahvalni INI koja je kao službeni partner Europskog prvenstva u vaterpolo 2010.  podržala naše ciljeve</w:t>
      </w:r>
      <w:r>
        <w:rPr>
          <w:rFonts w:cs="Tahoma" w:ascii="Tahoma" w:hAnsi="Tahoma"/>
          <w:sz w:val="22"/>
          <w:szCs w:val="22"/>
          <w:lang w:val="hr-HR" w:eastAsia="hr-HR"/>
        </w:rPr>
        <w:t>“, izjavio je Perica Bukić, predsjednik Hrvatskog vaterpolo saveza.</w:t>
      </w:r>
    </w:p>
    <w:p>
      <w:pPr>
        <w:pStyle w:val="Normal"/>
        <w:spacing w:lineRule="auto" w:line="312" w:before="0" w:after="0"/>
        <w:jc w:val="both"/>
        <w:rPr>
          <w:rFonts w:ascii="Tahoma" w:hAnsi="Tahoma" w:cs="Tahoma"/>
          <w:sz w:val="22"/>
          <w:szCs w:val="22"/>
          <w:lang w:val="hr-HR" w:eastAsia="hr-HR"/>
        </w:rPr>
      </w:pPr>
      <w:r>
        <w:rPr>
          <w:rFonts w:cs="Tahoma" w:ascii="Tahoma" w:hAnsi="Tahoma"/>
          <w:sz w:val="22"/>
          <w:szCs w:val="22"/>
          <w:lang w:val="hr-HR" w:eastAsia="hr-HR"/>
        </w:rPr>
      </w:r>
    </w:p>
    <w:p>
      <w:pPr>
        <w:pStyle w:val="Normal"/>
        <w:spacing w:lineRule="auto" w:line="312" w:before="0" w:after="0"/>
        <w:jc w:val="both"/>
        <w:rPr/>
      </w:pPr>
      <w:r>
        <w:rPr>
          <w:rFonts w:cs="Tahoma" w:ascii="Tahoma" w:hAnsi="Tahoma"/>
          <w:sz w:val="22"/>
          <w:szCs w:val="22"/>
          <w:lang w:val="hr-HR" w:eastAsia="hr-HR"/>
        </w:rPr>
        <w:t>Zagreb će u sklopu Europskog prvenstva ugostiti 12 muških i 8 ženskih reprezentacija. Hrvatske vaterpolistice snage će odmjeriti u grupi s Rusijom, Italijom i Grčkom, a vaterpolisti će u pohod na medalju krenuti razigravanjem u grupi s Crnom Gorom, Italijom, Rusijom, Španjolskom i Turskom.</w:t>
      </w:r>
    </w:p>
    <w:p>
      <w:pPr>
        <w:pStyle w:val="Normal"/>
        <w:spacing w:lineRule="auto" w:line="312" w:before="0" w:after="0"/>
        <w:jc w:val="both"/>
        <w:rPr>
          <w:rFonts w:ascii="Tahoma" w:hAnsi="Tahoma" w:cs="Tahoma"/>
          <w:sz w:val="22"/>
          <w:szCs w:val="22"/>
          <w:lang w:val="hr-HR" w:eastAsia="hr-HR"/>
        </w:rPr>
      </w:pPr>
      <w:r>
        <w:rPr>
          <w:rFonts w:cs="Tahoma" w:ascii="Tahoma" w:hAnsi="Tahoma"/>
          <w:sz w:val="22"/>
          <w:szCs w:val="22"/>
          <w:lang w:val="hr-HR" w:eastAsia="hr-HR"/>
        </w:rPr>
      </w:r>
    </w:p>
    <w:p>
      <w:pPr>
        <w:pStyle w:val="Normal"/>
        <w:spacing w:lineRule="auto" w:line="312" w:before="0" w:after="0"/>
        <w:jc w:val="both"/>
        <w:rPr>
          <w:rFonts w:ascii="Tahoma" w:hAnsi="Tahoma" w:cs="Tahoma"/>
          <w:sz w:val="22"/>
          <w:szCs w:val="22"/>
          <w:lang w:val="hr-HR" w:eastAsia="hr-HR"/>
        </w:rPr>
      </w:pPr>
      <w:r>
        <w:rPr>
          <w:rFonts w:cs="Tahoma" w:ascii="Tahoma" w:hAnsi="Tahoma"/>
          <w:sz w:val="22"/>
          <w:szCs w:val="22"/>
          <w:lang w:val="hr-HR" w:eastAsia="hr-HR"/>
        </w:rPr>
      </w:r>
    </w:p>
    <w:p>
      <w:pPr>
        <w:pStyle w:val="Normal"/>
        <w:spacing w:lineRule="auto" w:line="312" w:before="0" w:after="0"/>
        <w:jc w:val="both"/>
        <w:rPr>
          <w:rFonts w:ascii="Tahoma" w:hAnsi="Tahoma" w:cs="Tahoma"/>
          <w:b/>
          <w:b/>
          <w:sz w:val="22"/>
          <w:szCs w:val="22"/>
          <w:highlight w:val="cyan"/>
          <w:lang w:val="hr-HR" w:eastAsia="hr-HR"/>
        </w:rPr>
      </w:pPr>
      <w:r>
        <w:rPr>
          <w:rFonts w:cs="Tahoma" w:ascii="Tahoma" w:hAnsi="Tahoma"/>
          <w:b/>
          <w:sz w:val="22"/>
          <w:szCs w:val="22"/>
          <w:lang w:val="hr-HR" w:eastAsia="hr-HR"/>
        </w:rPr>
        <w:t xml:space="preserve">INA-Industrija nafte, d.d.   </w:t>
      </w:r>
      <w:r>
        <w:rPr>
          <w:rFonts w:cs="Arial" w:ascii="Arial" w:hAnsi="Arial"/>
          <w:b/>
          <w:bCs/>
          <w:color w:val="00ABC9"/>
          <w:sz w:val="20"/>
          <w:szCs w:val="20"/>
          <w:lang w:val="hr-HR"/>
        </w:rPr>
        <w:t xml:space="preserve"> </w:t>
        <w:tab/>
        <w:tab/>
        <w:tab/>
        <w:tab/>
      </w:r>
      <w:r>
        <w:rPr>
          <w:rFonts w:cs="Tahoma" w:ascii="Tahoma" w:hAnsi="Tahoma"/>
          <w:b/>
          <w:lang w:val="hr-HR" w:eastAsia="hr-HR"/>
        </w:rPr>
        <w:t>Hrvatski vaterpolo savez</w:t>
      </w:r>
      <w:r>
        <w:rPr>
          <w:rFonts w:cs="Arial" w:ascii="Arial" w:hAnsi="Arial"/>
          <w:b/>
          <w:bCs/>
          <w:color w:val="00ABC9"/>
          <w:sz w:val="20"/>
          <w:szCs w:val="20"/>
          <w:lang w:val="hr-HR"/>
        </w:rPr>
        <w:t xml:space="preserve">                                                                                 </w:t>
      </w:r>
    </w:p>
    <w:p>
      <w:pPr>
        <w:pStyle w:val="Normal"/>
        <w:spacing w:lineRule="auto" w:line="312" w:before="0" w:after="0"/>
        <w:jc w:val="both"/>
        <w:rPr>
          <w:rFonts w:ascii="Tahoma" w:hAnsi="Tahoma" w:cs="Tahoma"/>
          <w:b/>
          <w:b/>
          <w:sz w:val="22"/>
          <w:szCs w:val="22"/>
          <w:highlight w:val="cyan"/>
          <w:lang w:val="hr-HR" w:eastAsia="hr-HR"/>
        </w:rPr>
      </w:pPr>
      <w:r>
        <w:rPr>
          <w:rFonts w:cs="Tahoma" w:ascii="Tahoma" w:hAnsi="Tahoma"/>
          <w:b/>
          <w:sz w:val="22"/>
          <w:szCs w:val="22"/>
          <w:highlight w:val="cyan"/>
          <w:lang w:val="hr-HR" w:eastAsia="hr-HR"/>
        </w:rPr>
      </w:r>
    </w:p>
    <w:p>
      <w:pPr>
        <w:pStyle w:val="Normal"/>
        <w:spacing w:lineRule="auto" w:line="312" w:before="0" w:after="0"/>
        <w:jc w:val="both"/>
        <w:rPr>
          <w:rFonts w:ascii="Tahoma" w:hAnsi="Tahoma" w:cs="Tahoma"/>
          <w:b/>
          <w:b/>
          <w:sz w:val="22"/>
          <w:szCs w:val="22"/>
          <w:highlight w:val="cyan"/>
          <w:lang w:val="hr-HR" w:eastAsia="hr-HR"/>
        </w:rPr>
      </w:pPr>
      <w:r>
        <w:rPr>
          <w:rFonts w:cs="Tahoma" w:ascii="Tahoma" w:hAnsi="Tahoma"/>
          <w:b/>
          <w:sz w:val="22"/>
          <w:szCs w:val="22"/>
          <w:highlight w:val="cyan"/>
          <w:lang w:val="hr-HR" w:eastAsia="hr-HR"/>
        </w:rPr>
      </w:r>
    </w:p>
    <w:p>
      <w:pPr>
        <w:pStyle w:val="Normal"/>
        <w:spacing w:lineRule="auto" w:line="312" w:before="0" w:after="0"/>
        <w:jc w:val="both"/>
        <w:rPr>
          <w:rFonts w:ascii="Tahoma" w:hAnsi="Tahoma" w:cs="Tahoma"/>
          <w:b/>
          <w:b/>
          <w:sz w:val="22"/>
          <w:szCs w:val="22"/>
          <w:highlight w:val="cyan"/>
          <w:lang w:val="hr-HR" w:eastAsia="hr-HR"/>
        </w:rPr>
      </w:pPr>
      <w:r>
        <w:rPr>
          <w:rFonts w:cs="Tahoma" w:ascii="Tahoma" w:hAnsi="Tahoma"/>
          <w:b/>
          <w:sz w:val="22"/>
          <w:szCs w:val="22"/>
          <w:highlight w:val="cyan"/>
          <w:lang w:val="hr-HR" w:eastAsia="hr-HR"/>
        </w:rPr>
      </w:r>
    </w:p>
    <w:p>
      <w:pPr>
        <w:pStyle w:val="Normal"/>
        <w:rPr>
          <w:rFonts w:ascii="Arial" w:hAnsi="Arial" w:cs="Arial"/>
          <w:color w:val="1F497D"/>
          <w:sz w:val="22"/>
          <w:szCs w:val="22"/>
          <w:highlight w:val="cyan"/>
          <w:lang w:val="pl-PL" w:eastAsia="hr-HR"/>
        </w:rPr>
      </w:pPr>
      <w:r>
        <w:rPr>
          <w:rFonts w:cs="Arial" w:ascii="Arial" w:hAnsi="Arial"/>
          <w:color w:val="1F497D"/>
          <w:sz w:val="22"/>
          <w:szCs w:val="22"/>
          <w:highlight w:val="cyan"/>
          <w:lang w:val="pl-PL" w:eastAsia="hr-HR"/>
        </w:rPr>
      </w:r>
    </w:p>
    <w:p>
      <w:pPr>
        <w:pStyle w:val="Normal"/>
        <w:spacing w:lineRule="auto" w:line="312" w:before="0" w:after="0"/>
        <w:jc w:val="both"/>
        <w:rPr>
          <w:rFonts w:ascii="Tahoma" w:hAnsi="Tahoma" w:cs="Tahoma"/>
          <w:color w:val="1F497D"/>
          <w:sz w:val="22"/>
          <w:szCs w:val="22"/>
          <w:highlight w:val="cyan"/>
          <w:lang w:val="hr-HR" w:eastAsia="hr-HR"/>
        </w:rPr>
      </w:pPr>
      <w:r>
        <w:rPr>
          <w:rFonts w:cs="Tahoma" w:ascii="Tahoma" w:hAnsi="Tahoma"/>
          <w:color w:val="1F497D"/>
          <w:sz w:val="22"/>
          <w:szCs w:val="22"/>
          <w:highlight w:val="cyan"/>
          <w:lang w:val="hr-HR" w:eastAsia="hr-HR"/>
        </w:rPr>
      </w:r>
    </w:p>
    <w:p>
      <w:pPr>
        <w:pStyle w:val="Normal"/>
        <w:spacing w:lineRule="auto" w:line="312" w:before="0" w:after="0"/>
        <w:jc w:val="both"/>
        <w:rPr>
          <w:rFonts w:ascii="Tahoma" w:hAnsi="Tahoma" w:cs="Tahoma"/>
          <w:sz w:val="22"/>
          <w:szCs w:val="22"/>
          <w:highlight w:val="cyan"/>
          <w:lang w:val="hr-HR" w:eastAsia="hr-HR"/>
        </w:rPr>
      </w:pPr>
      <w:r>
        <w:rPr>
          <w:rFonts w:cs="Tahoma" w:ascii="Tahoma" w:hAnsi="Tahoma"/>
          <w:sz w:val="22"/>
          <w:szCs w:val="22"/>
          <w:highlight w:val="cyan"/>
          <w:lang w:val="hr-HR" w:eastAsia="hr-HR"/>
        </w:rPr>
      </w:r>
    </w:p>
    <w:sectPr>
      <w:headerReference w:type="default" r:id="rId3"/>
      <w:footerReference w:type="default" r:id="rId4"/>
      <w:type w:val="nextPage"/>
      <w:pgSz w:w="11906" w:h="16838"/>
      <w:pgMar w:left="1417" w:right="1417" w:header="0" w:top="1417" w:footer="0" w:bottom="141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ee"/>
    <w:family w:val="roman"/>
    <w:pitch w:val="variable"/>
  </w:font>
  <w:font w:name="Times New Roman">
    <w:charset w:val="ee"/>
    <w:family w:val="roman"/>
    <w:pitch w:val="variable"/>
  </w:font>
  <w:font w:name="Courier New">
    <w:charset w:val="ee"/>
    <w:family w:val="modern"/>
    <w:pitch w:val="default"/>
  </w:font>
  <w:font w:name="Wingdings">
    <w:charset w:val="02"/>
    <w:family w:val="auto"/>
    <w:pitch w:val="variable"/>
  </w:font>
  <w:font w:name="Tahoma">
    <w:charset w:val="ee"/>
    <w:family w:val="swiss"/>
    <w:pitch w:val="variable"/>
  </w:font>
  <w:font w:name="Liberation Sans">
    <w:altName w:val="Arial"/>
    <w:charset w:val="00"/>
    <w:family w:val="swiss"/>
    <w:pitch w:val="variable"/>
  </w:font>
  <w:font w:name="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hr-HR" w:eastAsia="hr-HR"/>
      </w:rPr>
    </w:pPr>
    <w:r>
      <w:rPr>
        <w:lang w:val="hr-HR" w:eastAsia="hr-HR"/>
      </w:rPr>
      <w:drawing>
        <wp:inline distT="0" distB="0" distL="0" distR="0">
          <wp:extent cx="4046855" cy="2095500"/>
          <wp:effectExtent l="0" t="0" r="0" b="0"/>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1"/>
                  <a:srcRect l="-9" t="-17" r="-9" b="-17"/>
                  <a:stretch>
                    <a:fillRect/>
                  </a:stretch>
                </pic:blipFill>
                <pic:spPr bwMode="auto">
                  <a:xfrm>
                    <a:off x="0" y="0"/>
                    <a:ext cx="4046855" cy="20955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lang w:val="hr-HR" w:eastAsia="hr-HR"/>
      </w:rPr>
      <w:drawing>
        <wp:inline distT="0" distB="0" distL="0" distR="0">
          <wp:extent cx="4000500" cy="1371600"/>
          <wp:effectExtent l="0" t="0" r="0" b="0"/>
          <wp:docPr id="1" name="Picture 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
                  <pic:cNvPicPr>
                    <a:picLocks noChangeAspect="1" noChangeArrowheads="1"/>
                  </pic:cNvPicPr>
                </pic:nvPicPr>
                <pic:blipFill>
                  <a:blip r:embed="rId1"/>
                  <a:srcRect l="-9" t="-26" r="-9" b="-26"/>
                  <a:stretch>
                    <a:fillRect/>
                  </a:stretch>
                </pic:blipFill>
                <pic:spPr bwMode="auto">
                  <a:xfrm>
                    <a:off x="0" y="0"/>
                    <a:ext cx="4000500" cy="1371600"/>
                  </a:xfrm>
                  <a:prstGeom prst="rect">
                    <a:avLst/>
                  </a:prstGeom>
                </pic:spPr>
              </pic:pic>
            </a:graphicData>
          </a:graphic>
        </wp:inline>
      </w:drawing>
    </w:r>
    <w:r>
      <w:rPr>
        <w:lang w:val="hr-HR" w:eastAsia="hr-HR"/>
      </w:rPr>
      <w:drawing>
        <wp:inline distT="0" distB="0" distL="0" distR="0">
          <wp:extent cx="1424305" cy="57023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rcRect l="-7" t="-18" r="-7" b="-18"/>
                  <a:stretch>
                    <a:fillRect/>
                  </a:stretch>
                </pic:blipFill>
                <pic:spPr bwMode="auto">
                  <a:xfrm>
                    <a:off x="0" y="0"/>
                    <a:ext cx="1424305" cy="570230"/>
                  </a:xfrm>
                  <a:prstGeom prst="rect">
                    <a:avLst/>
                  </a:prstGeom>
                </pic:spPr>
              </pic:pic>
            </a:graphicData>
          </a:graphic>
        </wp:inline>
      </w:drawing>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hr-HR" w:eastAsia="zh-CN" w:bidi="hi-IN"/>
      </w:rPr>
    </w:rPrDefault>
    <w:pPrDefault>
      <w:pPr/>
    </w:pPrDefault>
  </w:docDefaults>
  <w:style w:type="paragraph" w:styleId="Normal">
    <w:name w:val="Normal"/>
    <w:qFormat/>
    <w:pPr>
      <w:widowControl/>
      <w:bidi w:val="0"/>
      <w:spacing w:before="0" w:after="200"/>
    </w:pPr>
    <w:rPr>
      <w:rFonts w:ascii="Cambria" w:hAnsi="Cambria" w:eastAsia="Cambria" w:cs="Times New Roman"/>
      <w:color w:val="auto"/>
      <w:sz w:val="24"/>
      <w:szCs w:val="24"/>
      <w:lang w:val="en-US" w:bidi="ar-SA" w:eastAsia="zh-CN"/>
    </w:rPr>
  </w:style>
  <w:style w:type="character" w:styleId="WW8Num1z0">
    <w:name w:val="WW8Num1z0"/>
    <w:qFormat/>
    <w:rPr>
      <w:rFonts w:ascii="Times New Roman" w:hAnsi="Times New Roman" w:eastAsia="Calibri"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DefaultParagraphFont">
    <w:name w:val="Default Paragraph Font"/>
    <w:qFormat/>
    <w:rPr/>
  </w:style>
  <w:style w:type="character" w:styleId="CharChar2">
    <w:name w:val=" Char Char2"/>
    <w:basedOn w:val="DefaultParagraphFont"/>
    <w:qFormat/>
    <w:rPr>
      <w:sz w:val="24"/>
      <w:szCs w:val="24"/>
    </w:rPr>
  </w:style>
  <w:style w:type="character" w:styleId="CharChar1">
    <w:name w:val=" Char Char1"/>
    <w:basedOn w:val="DefaultParagraphFont"/>
    <w:qFormat/>
    <w:rPr>
      <w:sz w:val="24"/>
      <w:szCs w:val="24"/>
    </w:rPr>
  </w:style>
  <w:style w:type="character" w:styleId="InternetLink">
    <w:name w:val="Internet Link"/>
    <w:basedOn w:val="DefaultParagraphFont"/>
    <w:rPr>
      <w:color w:val="0000FF"/>
      <w:u w:val="single"/>
    </w:rPr>
  </w:style>
  <w:style w:type="character" w:styleId="CharChar">
    <w:name w:val=" Char Char"/>
    <w:basedOn w:val="DefaultParagraphFont"/>
    <w:qFormat/>
    <w:rPr>
      <w:rFonts w:ascii="Tahoma" w:hAnsi="Tahoma" w:cs="Tahoma"/>
      <w:sz w:val="16"/>
      <w:szCs w:val="16"/>
      <w:lang w:val="en-US"/>
    </w:rPr>
  </w:style>
  <w:style w:type="character" w:styleId="CommentReference">
    <w:name w:val="Comment Reference"/>
    <w:basedOn w:val="DefaultParagraphFont"/>
    <w:qFormat/>
    <w:rPr>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spacing w:before="0" w:after="0"/>
    </w:pPr>
    <w:rPr/>
  </w:style>
  <w:style w:type="paragraph" w:styleId="Footer">
    <w:name w:val="Footer"/>
    <w:basedOn w:val="Normal"/>
    <w:pPr>
      <w:spacing w:before="0" w:after="0"/>
    </w:pPr>
    <w:rPr/>
  </w:style>
  <w:style w:type="paragraph" w:styleId="ListParagraph">
    <w:name w:val="List Paragraph"/>
    <w:basedOn w:val="Normal"/>
    <w:qFormat/>
    <w:pPr>
      <w:ind w:left="708" w:hanging="0"/>
    </w:pPr>
    <w:rPr/>
  </w:style>
  <w:style w:type="paragraph" w:styleId="BalloonText">
    <w:name w:val="Balloon Text"/>
    <w:basedOn w:val="Normal"/>
    <w:qFormat/>
    <w:pPr>
      <w:spacing w:before="0" w:after="0"/>
    </w:pPr>
    <w:rPr>
      <w:rFonts w:ascii="Tahoma" w:hAnsi="Tahoma" w:cs="Tahoma"/>
      <w:sz w:val="16"/>
      <w:szCs w:val="16"/>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a.h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LibreOffice/6.3.2.2$Windows_X86_64 LibreOffice_project/98b30e735bda24bc04ab42594c85f7fd8be07b9c</Application>
  <Pages>2</Pages>
  <Words>369</Words>
  <Characters>2127</Characters>
  <CharactersWithSpaces>2588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2010-08-06T11:46:00Z</dcterms:created>
  <dc:creator>her</dc:creator>
  <dc:description/>
  <cp:keywords/>
  <dc:language>hr-HR</dc:language>
  <cp:lastModifiedBy>IDulovic</cp:lastModifiedBy>
  <cp:lastPrinted>2010-05-20T11:37:00Z</cp:lastPrinted>
  <dcterms:modified xsi:type="dcterms:W3CDTF">2010-08-06T11:46:00Z</dcterms:modified>
  <cp:revision>2</cp:revision>
  <dc:subject/>
  <dc:title>PRIOPĆENJE ZA MEDIJE</dc:title>
</cp:coreProperties>
</file>