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FC" w:rsidRPr="007C400C" w:rsidRDefault="00F425FC" w:rsidP="00F425FC">
      <w:pPr>
        <w:rPr>
          <w:sz w:val="2"/>
          <w:szCs w:val="2"/>
        </w:rPr>
      </w:pPr>
      <w:r w:rsidRPr="007C400C">
        <w:rPr>
          <w:sz w:val="2"/>
          <w:szCs w:val="2"/>
        </w:rPr>
        <w:tab/>
      </w:r>
    </w:p>
    <w:p w:rsidR="00F425FC" w:rsidRPr="007C400C" w:rsidRDefault="00F425FC" w:rsidP="00F425FC">
      <w:pPr>
        <w:tabs>
          <w:tab w:val="left" w:pos="708"/>
          <w:tab w:val="left" w:pos="6345"/>
        </w:tabs>
        <w:rPr>
          <w:sz w:val="18"/>
        </w:rPr>
      </w:pPr>
      <w:r w:rsidRPr="007C400C">
        <w:rPr>
          <w:sz w:val="18"/>
        </w:rPr>
        <w:tab/>
      </w:r>
      <w:r w:rsidRPr="007C400C">
        <w:rPr>
          <w:sz w:val="18"/>
        </w:rPr>
        <w:tab/>
      </w:r>
    </w:p>
    <w:p w:rsidR="00F425FC" w:rsidRPr="007C400C" w:rsidRDefault="00F425FC" w:rsidP="00F425FC">
      <w:pPr>
        <w:rPr>
          <w:sz w:val="2"/>
        </w:rPr>
      </w:pPr>
    </w:p>
    <w:p w:rsidR="00F425FC" w:rsidRPr="007C400C" w:rsidRDefault="00F425FC" w:rsidP="00F425FC">
      <w:pPr>
        <w:rPr>
          <w:sz w:val="2"/>
        </w:rPr>
        <w:sectPr w:rsidR="00F425FC" w:rsidRPr="007C400C" w:rsidSect="00F425FC">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F425FC" w:rsidRPr="007C400C" w:rsidRDefault="00F425FC" w:rsidP="00F425FC">
      <w:pPr>
        <w:rPr>
          <w:rFonts w:cs="Arial"/>
          <w:sz w:val="18"/>
        </w:rPr>
      </w:pPr>
      <w:r w:rsidRPr="007C400C">
        <w:rPr>
          <w:rFonts w:cs="Arial"/>
          <w:sz w:val="18"/>
          <w:szCs w:val="18"/>
        </w:rPr>
        <w:lastRenderedPageBreak/>
        <w:t>Sektor korporativnih komunikacija</w:t>
      </w:r>
      <w:r w:rsidRPr="007C400C">
        <w:rPr>
          <w:rFonts w:cs="Arial"/>
          <w:sz w:val="18"/>
        </w:rPr>
        <w:tab/>
      </w:r>
    </w:p>
    <w:p w:rsidR="00F425FC" w:rsidRPr="007C400C" w:rsidRDefault="00F425FC" w:rsidP="00F425FC">
      <w:pPr>
        <w:rPr>
          <w:rFonts w:cs="Arial"/>
          <w:sz w:val="18"/>
        </w:rPr>
      </w:pPr>
    </w:p>
    <w:p w:rsidR="00F425FC" w:rsidRPr="007C400C" w:rsidRDefault="00F425FC" w:rsidP="00F425FC">
      <w:pPr>
        <w:rPr>
          <w:rFonts w:cs="Arial"/>
          <w:sz w:val="18"/>
        </w:rPr>
      </w:pPr>
      <w:r w:rsidRPr="007C400C">
        <w:rPr>
          <w:rFonts w:cs="Arial"/>
          <w:sz w:val="18"/>
        </w:rPr>
        <w:t>Av. V. Holjevca 10</w:t>
      </w:r>
    </w:p>
    <w:p w:rsidR="00F425FC" w:rsidRPr="007C400C" w:rsidRDefault="00F425FC" w:rsidP="00F425FC">
      <w:pPr>
        <w:rPr>
          <w:rFonts w:cs="Arial"/>
          <w:sz w:val="18"/>
        </w:rPr>
      </w:pPr>
      <w:r w:rsidRPr="007C400C">
        <w:rPr>
          <w:rFonts w:cs="Arial"/>
          <w:sz w:val="18"/>
        </w:rPr>
        <w:t>Zagreb 10002</w:t>
      </w:r>
    </w:p>
    <w:p w:rsidR="00F425FC" w:rsidRPr="007C400C" w:rsidRDefault="00F425FC" w:rsidP="00F425FC">
      <w:pPr>
        <w:rPr>
          <w:rFonts w:cs="Arial"/>
          <w:sz w:val="2"/>
        </w:rPr>
      </w:pPr>
    </w:p>
    <w:p w:rsidR="00F425FC" w:rsidRPr="007C400C" w:rsidRDefault="00F425FC" w:rsidP="00F425FC">
      <w:pPr>
        <w:rPr>
          <w:rFonts w:cs="Arial"/>
          <w:sz w:val="2"/>
        </w:rPr>
        <w:sectPr w:rsidR="00F425FC"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F425FC" w:rsidRPr="007C400C" w:rsidRDefault="00F425FC" w:rsidP="00F425FC">
      <w:pPr>
        <w:rPr>
          <w:rFonts w:cs="Arial"/>
          <w:sz w:val="18"/>
        </w:rPr>
      </w:pPr>
      <w:r w:rsidRPr="007C400C">
        <w:rPr>
          <w:rFonts w:cs="Arial"/>
          <w:sz w:val="18"/>
        </w:rPr>
        <w:lastRenderedPageBreak/>
        <w:tab/>
      </w:r>
    </w:p>
    <w:p w:rsidR="00F425FC" w:rsidRPr="007C400C" w:rsidRDefault="00F425FC" w:rsidP="00F425FC">
      <w:pPr>
        <w:rPr>
          <w:rFonts w:cs="Arial"/>
          <w:sz w:val="18"/>
        </w:rPr>
      </w:pPr>
      <w:r w:rsidRPr="007C400C">
        <w:rPr>
          <w:rFonts w:cs="Arial"/>
          <w:sz w:val="18"/>
        </w:rPr>
        <w:t>Tel:  01 6450 406</w:t>
      </w:r>
    </w:p>
    <w:p w:rsidR="00F425FC" w:rsidRPr="007C400C" w:rsidRDefault="00F425FC" w:rsidP="00F425FC">
      <w:pPr>
        <w:rPr>
          <w:rFonts w:cs="Arial"/>
          <w:sz w:val="18"/>
        </w:rPr>
      </w:pPr>
      <w:r w:rsidRPr="007C400C">
        <w:rPr>
          <w:rFonts w:cs="Arial"/>
          <w:sz w:val="18"/>
        </w:rPr>
        <w:t>Fax: 01 6452 406</w:t>
      </w:r>
    </w:p>
    <w:p w:rsidR="00F425FC" w:rsidRPr="007C400C" w:rsidRDefault="00F425FC" w:rsidP="00F425FC">
      <w:pPr>
        <w:rPr>
          <w:rFonts w:cs="Arial"/>
          <w:sz w:val="18"/>
        </w:rPr>
      </w:pPr>
    </w:p>
    <w:p w:rsidR="00F425FC" w:rsidRPr="007C400C" w:rsidRDefault="00F425FC" w:rsidP="00F425FC">
      <w:pPr>
        <w:rPr>
          <w:rFonts w:cs="Arial"/>
          <w:sz w:val="18"/>
        </w:rPr>
      </w:pPr>
    </w:p>
    <w:p w:rsidR="00F425FC" w:rsidRPr="007C400C" w:rsidRDefault="00F425FC" w:rsidP="00F425FC">
      <w:pPr>
        <w:rPr>
          <w:rFonts w:cs="Arial"/>
          <w:sz w:val="18"/>
        </w:rPr>
        <w:sectPr w:rsidR="00F425FC"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F425FC" w:rsidRPr="007C400C" w:rsidRDefault="00F425FC" w:rsidP="00F425FC">
      <w:pPr>
        <w:tabs>
          <w:tab w:val="left" w:pos="8220"/>
        </w:tabs>
        <w:rPr>
          <w:rFonts w:cs="Arial"/>
          <w:b/>
        </w:rPr>
      </w:pPr>
    </w:p>
    <w:p w:rsidR="00F425FC" w:rsidRPr="007C400C" w:rsidRDefault="00F425FC" w:rsidP="00F425FC">
      <w:pPr>
        <w:tabs>
          <w:tab w:val="left" w:pos="8220"/>
        </w:tabs>
        <w:ind w:left="5664"/>
        <w:jc w:val="center"/>
        <w:rPr>
          <w:rFonts w:cs="Arial"/>
          <w:b/>
        </w:rPr>
      </w:pPr>
      <w:r w:rsidRPr="007C400C">
        <w:rPr>
          <w:rFonts w:cs="Arial"/>
          <w:b/>
        </w:rPr>
        <w:t xml:space="preserve">                                                                                             </w:t>
      </w:r>
    </w:p>
    <w:p w:rsidR="00F425FC" w:rsidRPr="007C400C" w:rsidRDefault="00F425FC" w:rsidP="00F425FC">
      <w:pPr>
        <w:tabs>
          <w:tab w:val="left" w:pos="8220"/>
        </w:tabs>
        <w:ind w:left="5664"/>
        <w:jc w:val="center"/>
        <w:rPr>
          <w:rFonts w:cs="Arial"/>
          <w:b/>
        </w:rPr>
      </w:pPr>
      <w:r w:rsidRPr="007C400C">
        <w:rPr>
          <w:rFonts w:cs="Arial"/>
          <w:b/>
        </w:rPr>
        <w:t>PRIOPĆENJE</w:t>
      </w:r>
    </w:p>
    <w:p w:rsidR="00F425FC" w:rsidRPr="007C400C" w:rsidRDefault="00F425FC" w:rsidP="00F425FC">
      <w:pPr>
        <w:rPr>
          <w:rFonts w:cs="Arial"/>
          <w:sz w:val="18"/>
        </w:rPr>
        <w:sectPr w:rsidR="00F425FC" w:rsidRPr="007C400C" w:rsidSect="003B0A1B">
          <w:type w:val="continuous"/>
          <w:pgSz w:w="11906" w:h="16838" w:code="9"/>
          <w:pgMar w:top="1440" w:right="1134" w:bottom="1843" w:left="1418" w:header="851" w:footer="567" w:gutter="0"/>
          <w:cols w:space="708"/>
          <w:formProt w:val="0"/>
          <w:docGrid w:linePitch="360"/>
        </w:sectPr>
      </w:pPr>
    </w:p>
    <w:p w:rsidR="00F425FC" w:rsidRPr="007C400C" w:rsidRDefault="00F425FC" w:rsidP="00F425FC">
      <w:pPr>
        <w:rPr>
          <w:rFonts w:cs="Arial"/>
          <w:sz w:val="20"/>
        </w:rPr>
        <w:sectPr w:rsidR="00F425FC" w:rsidRPr="007C400C" w:rsidSect="003B0A1B">
          <w:type w:val="continuous"/>
          <w:pgSz w:w="11906" w:h="16838" w:code="9"/>
          <w:pgMar w:top="3402" w:right="1134" w:bottom="1843" w:left="1418" w:header="851" w:footer="459" w:gutter="0"/>
          <w:cols w:space="708"/>
          <w:docGrid w:linePitch="360"/>
        </w:sectPr>
      </w:pPr>
    </w:p>
    <w:p w:rsidR="00F425FC" w:rsidRPr="007C400C" w:rsidRDefault="00F425FC" w:rsidP="00F425F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F425FC"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F425FC" w:rsidRPr="007C400C" w:rsidRDefault="00F425FC" w:rsidP="00F425FC">
      <w:pPr>
        <w:pStyle w:val="CharCharCharCharCharChar1CharChar"/>
        <w:spacing w:line="276" w:lineRule="auto"/>
        <w:ind w:left="0" w:right="140" w:firstLine="0"/>
        <w:rPr>
          <w:rFonts w:asciiTheme="minorHAnsi" w:hAnsiTheme="minorHAnsi" w:cs="Arial"/>
          <w:b/>
          <w:bCs/>
          <w:color w:val="006699"/>
          <w:sz w:val="28"/>
          <w:szCs w:val="28"/>
          <w:lang w:val="hr-HR"/>
        </w:rPr>
      </w:pPr>
      <w:r w:rsidRPr="007C400C">
        <w:rPr>
          <w:rFonts w:asciiTheme="minorHAnsi" w:hAnsiTheme="minorHAnsi" w:cs="Arial"/>
          <w:b/>
          <w:bCs/>
          <w:color w:val="006699"/>
          <w:sz w:val="28"/>
          <w:szCs w:val="28"/>
          <w:lang w:val="hr-HR"/>
        </w:rPr>
        <w:lastRenderedPageBreak/>
        <w:t xml:space="preserve">INA </w:t>
      </w:r>
      <w:r>
        <w:rPr>
          <w:rFonts w:asciiTheme="minorHAnsi" w:hAnsiTheme="minorHAnsi" w:cs="Arial"/>
          <w:b/>
          <w:bCs/>
          <w:color w:val="006699"/>
          <w:sz w:val="28"/>
          <w:szCs w:val="28"/>
          <w:lang w:val="hr-HR"/>
        </w:rPr>
        <w:t xml:space="preserve">donijela odluku o provedbi novog </w:t>
      </w:r>
      <w:r w:rsidRPr="007C400C">
        <w:rPr>
          <w:rFonts w:asciiTheme="minorHAnsi" w:hAnsiTheme="minorHAnsi" w:cs="Arial"/>
          <w:b/>
          <w:bCs/>
          <w:color w:val="006699"/>
          <w:sz w:val="28"/>
          <w:szCs w:val="28"/>
          <w:lang w:val="hr-HR"/>
        </w:rPr>
        <w:t>model</w:t>
      </w:r>
      <w:r>
        <w:rPr>
          <w:rFonts w:asciiTheme="minorHAnsi" w:hAnsiTheme="minorHAnsi" w:cs="Arial"/>
          <w:b/>
          <w:bCs/>
          <w:color w:val="006699"/>
          <w:sz w:val="28"/>
          <w:szCs w:val="28"/>
          <w:lang w:val="hr-HR"/>
        </w:rPr>
        <w:t>a</w:t>
      </w:r>
      <w:r w:rsidRPr="007C400C">
        <w:rPr>
          <w:rFonts w:asciiTheme="minorHAnsi" w:hAnsiTheme="minorHAnsi" w:cs="Arial"/>
          <w:b/>
          <w:bCs/>
          <w:color w:val="006699"/>
          <w:sz w:val="28"/>
          <w:szCs w:val="28"/>
          <w:lang w:val="hr-HR"/>
        </w:rPr>
        <w:t xml:space="preserve"> upravljanja maloprodajnom mrežom</w:t>
      </w:r>
    </w:p>
    <w:p w:rsidR="00F425FC" w:rsidRPr="00CF294B" w:rsidRDefault="00DF6918" w:rsidP="00F425FC">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sidRPr="00CF294B">
        <w:rPr>
          <w:rFonts w:asciiTheme="minorHAnsi" w:hAnsiTheme="minorHAnsi" w:cs="Arial"/>
          <w:b/>
          <w:sz w:val="24"/>
        </w:rPr>
        <w:t>Provedba n</w:t>
      </w:r>
      <w:r w:rsidR="00F425FC" w:rsidRPr="00CF294B">
        <w:rPr>
          <w:rFonts w:asciiTheme="minorHAnsi" w:hAnsiTheme="minorHAnsi" w:cs="Arial"/>
          <w:b/>
          <w:sz w:val="24"/>
        </w:rPr>
        <w:t>ov</w:t>
      </w:r>
      <w:r w:rsidRPr="00CF294B">
        <w:rPr>
          <w:rFonts w:asciiTheme="minorHAnsi" w:hAnsiTheme="minorHAnsi" w:cs="Arial"/>
          <w:b/>
          <w:sz w:val="24"/>
        </w:rPr>
        <w:t>og</w:t>
      </w:r>
      <w:r w:rsidR="00F425FC" w:rsidRPr="00CF294B">
        <w:rPr>
          <w:rFonts w:asciiTheme="minorHAnsi" w:hAnsiTheme="minorHAnsi" w:cs="Arial"/>
          <w:b/>
          <w:sz w:val="24"/>
        </w:rPr>
        <w:t xml:space="preserve"> model</w:t>
      </w:r>
      <w:r w:rsidRPr="00CF294B">
        <w:rPr>
          <w:rFonts w:asciiTheme="minorHAnsi" w:hAnsiTheme="minorHAnsi" w:cs="Arial"/>
          <w:b/>
          <w:sz w:val="24"/>
        </w:rPr>
        <w:t>a</w:t>
      </w:r>
      <w:r w:rsidR="00F425FC" w:rsidRPr="00CF294B">
        <w:rPr>
          <w:rFonts w:asciiTheme="minorHAnsi" w:hAnsiTheme="minorHAnsi" w:cs="Arial"/>
          <w:b/>
          <w:sz w:val="24"/>
        </w:rPr>
        <w:t xml:space="preserve"> upravljanja maloprodajnom mrežom</w:t>
      </w:r>
      <w:r w:rsidRPr="00CF294B">
        <w:rPr>
          <w:rFonts w:asciiTheme="minorHAnsi" w:hAnsiTheme="minorHAnsi" w:cs="Arial"/>
          <w:b/>
          <w:sz w:val="24"/>
        </w:rPr>
        <w:t xml:space="preserve"> kreće</w:t>
      </w:r>
      <w:r w:rsidR="00F425FC" w:rsidRPr="00CF294B">
        <w:rPr>
          <w:rFonts w:asciiTheme="minorHAnsi" w:hAnsiTheme="minorHAnsi" w:cs="Arial"/>
          <w:b/>
          <w:sz w:val="24"/>
        </w:rPr>
        <w:t xml:space="preserve"> 1. prosinca 2015.</w:t>
      </w:r>
      <w:r w:rsidR="0002028B" w:rsidRPr="00CF294B">
        <w:rPr>
          <w:rFonts w:asciiTheme="minorHAnsi" w:hAnsiTheme="minorHAnsi" w:cs="Arial"/>
          <w:b/>
          <w:sz w:val="24"/>
        </w:rPr>
        <w:t>, dok će INA MS na upravljanje preuzeti benzinske postaje 1. veljače 2016.</w:t>
      </w:r>
    </w:p>
    <w:p w:rsidR="00F425FC" w:rsidRPr="00CF294B" w:rsidRDefault="00F425FC" w:rsidP="00F425FC">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sidRPr="00CF294B">
        <w:rPr>
          <w:rFonts w:asciiTheme="minorHAnsi" w:hAnsiTheme="minorHAnsi" w:cs="Arial"/>
          <w:b/>
          <w:sz w:val="24"/>
        </w:rPr>
        <w:t xml:space="preserve">Materijalni uvjeti za radnike INA MS prilagođeni su tržištu rada, ali </w:t>
      </w:r>
      <w:r w:rsidR="00DF6918" w:rsidRPr="00CF294B">
        <w:rPr>
          <w:rFonts w:asciiTheme="minorHAnsi" w:hAnsiTheme="minorHAnsi" w:cs="Arial"/>
          <w:b/>
          <w:sz w:val="24"/>
        </w:rPr>
        <w:t xml:space="preserve">su i dalje </w:t>
      </w:r>
      <w:r w:rsidRPr="00CF294B">
        <w:rPr>
          <w:rFonts w:asciiTheme="minorHAnsi" w:hAnsiTheme="minorHAnsi" w:cs="Arial"/>
          <w:b/>
          <w:sz w:val="24"/>
        </w:rPr>
        <w:t>iznad prosjeka konkurencije na tržištu maloprodaje naftnih derivata</w:t>
      </w:r>
    </w:p>
    <w:p w:rsidR="00F425FC" w:rsidRPr="00CF294B" w:rsidRDefault="00F425FC" w:rsidP="00F425FC">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sidRPr="00CF294B">
        <w:rPr>
          <w:rFonts w:asciiTheme="minorHAnsi" w:hAnsiTheme="minorHAnsi" w:cs="Arial"/>
          <w:b/>
          <w:sz w:val="24"/>
        </w:rPr>
        <w:t xml:space="preserve">Tvrtka INA MS dio je INA Grupe i u stopostotnom je vlasništvu Ine </w:t>
      </w:r>
    </w:p>
    <w:p w:rsidR="00F425FC" w:rsidRPr="00CF294B" w:rsidRDefault="00F425FC" w:rsidP="00F425FC">
      <w:pPr>
        <w:ind w:right="140"/>
        <w:jc w:val="both"/>
        <w:rPr>
          <w:rFonts w:ascii="Calibri" w:eastAsiaTheme="minorHAnsi" w:hAnsi="Calibri"/>
          <w:b/>
          <w:bCs/>
          <w:sz w:val="28"/>
          <w:szCs w:val="28"/>
        </w:rPr>
      </w:pPr>
    </w:p>
    <w:p w:rsidR="00F425FC" w:rsidRPr="00CF294B" w:rsidRDefault="00F425FC" w:rsidP="00F425FC">
      <w:pPr>
        <w:ind w:right="140"/>
        <w:jc w:val="both"/>
        <w:rPr>
          <w:rFonts w:ascii="Calibri" w:hAnsi="Calibri"/>
          <w:szCs w:val="22"/>
        </w:rPr>
      </w:pPr>
      <w:r w:rsidRPr="00CF294B">
        <w:rPr>
          <w:rFonts w:ascii="Calibri" w:hAnsi="Calibri"/>
          <w:b/>
          <w:bCs/>
          <w:szCs w:val="22"/>
        </w:rPr>
        <w:t xml:space="preserve">Zagreb, </w:t>
      </w:r>
      <w:r w:rsidR="009F4470">
        <w:rPr>
          <w:rFonts w:ascii="Calibri" w:hAnsi="Calibri"/>
          <w:b/>
          <w:bCs/>
          <w:szCs w:val="22"/>
        </w:rPr>
        <w:t>2</w:t>
      </w:r>
      <w:r w:rsidR="00A4692C">
        <w:rPr>
          <w:rFonts w:ascii="Calibri" w:hAnsi="Calibri"/>
          <w:b/>
          <w:bCs/>
          <w:szCs w:val="22"/>
        </w:rPr>
        <w:t>3</w:t>
      </w:r>
      <w:bookmarkStart w:id="0" w:name="_GoBack"/>
      <w:bookmarkEnd w:id="0"/>
      <w:r w:rsidRPr="00CF294B">
        <w:rPr>
          <w:rFonts w:ascii="Calibri" w:hAnsi="Calibri"/>
          <w:b/>
          <w:bCs/>
          <w:szCs w:val="22"/>
        </w:rPr>
        <w:t>. studenog 2015.</w:t>
      </w:r>
      <w:r w:rsidRPr="00CF294B">
        <w:rPr>
          <w:rFonts w:ascii="Calibri" w:hAnsi="Calibri"/>
          <w:szCs w:val="22"/>
        </w:rPr>
        <w:t xml:space="preserve"> – </w:t>
      </w:r>
      <w:r w:rsidRPr="00CF294B">
        <w:rPr>
          <w:rFonts w:ascii="Calibri" w:hAnsi="Calibri"/>
          <w:b/>
          <w:szCs w:val="22"/>
        </w:rPr>
        <w:t xml:space="preserve">Nastavno na Sporazum o poslovno održivom modelu upravljanja maloprodajnom mrežom kojeg su ljetos potpisali sindikati, Radničko vijeće, INA i INA Maloprodajni servisi d.o.o. (INA MS) te odaziv </w:t>
      </w:r>
      <w:r w:rsidR="00DF6918" w:rsidRPr="00CF294B">
        <w:rPr>
          <w:rFonts w:ascii="Calibri" w:hAnsi="Calibri"/>
          <w:b/>
          <w:szCs w:val="22"/>
        </w:rPr>
        <w:t>radnik</w:t>
      </w:r>
      <w:r w:rsidRPr="00CF294B">
        <w:rPr>
          <w:rFonts w:ascii="Calibri" w:hAnsi="Calibri"/>
          <w:b/>
          <w:szCs w:val="22"/>
        </w:rPr>
        <w:t>a kojima je ponuđen prelazak u tvrtku INA MS, Uprava Ine donijela je odluku o početku provedbe novog modela upravljanja maloprodajnom mrežom s danom 1. prosinca 2015.</w:t>
      </w:r>
      <w:r w:rsidRPr="00CF294B">
        <w:rPr>
          <w:rFonts w:ascii="Calibri" w:hAnsi="Calibri"/>
          <w:szCs w:val="22"/>
        </w:rPr>
        <w:t xml:space="preserve"> </w:t>
      </w:r>
    </w:p>
    <w:p w:rsidR="00F425FC" w:rsidRPr="00CF294B" w:rsidRDefault="00F425FC" w:rsidP="00F425FC">
      <w:pPr>
        <w:ind w:right="140"/>
        <w:jc w:val="both"/>
        <w:rPr>
          <w:rFonts w:ascii="Calibri" w:hAnsi="Calibri"/>
          <w:szCs w:val="22"/>
        </w:rPr>
      </w:pPr>
    </w:p>
    <w:p w:rsidR="00F425FC" w:rsidRPr="00CF294B" w:rsidRDefault="00DF6918" w:rsidP="00F425FC">
      <w:pPr>
        <w:ind w:right="140"/>
        <w:jc w:val="both"/>
        <w:rPr>
          <w:rFonts w:ascii="Calibri" w:hAnsi="Calibri"/>
          <w:szCs w:val="22"/>
        </w:rPr>
      </w:pPr>
      <w:r w:rsidRPr="00CF294B">
        <w:rPr>
          <w:rFonts w:ascii="Calibri" w:hAnsi="Calibri"/>
          <w:szCs w:val="22"/>
        </w:rPr>
        <w:t xml:space="preserve">Ponudu za </w:t>
      </w:r>
      <w:r w:rsidR="00F425FC" w:rsidRPr="00CF294B">
        <w:rPr>
          <w:rFonts w:ascii="Calibri" w:hAnsi="Calibri"/>
          <w:szCs w:val="22"/>
        </w:rPr>
        <w:t xml:space="preserve"> prelazak u novu tvrtku </w:t>
      </w:r>
      <w:r w:rsidR="002E572C" w:rsidRPr="00CF294B">
        <w:rPr>
          <w:rFonts w:ascii="Calibri" w:hAnsi="Calibri"/>
          <w:szCs w:val="22"/>
        </w:rPr>
        <w:t xml:space="preserve">prihvatilo je </w:t>
      </w:r>
      <w:r w:rsidR="0002028B" w:rsidRPr="00CF294B">
        <w:rPr>
          <w:rFonts w:ascii="Calibri" w:hAnsi="Calibri"/>
          <w:szCs w:val="22"/>
        </w:rPr>
        <w:t>69</w:t>
      </w:r>
      <w:r w:rsidR="002E572C" w:rsidRPr="00CF294B">
        <w:rPr>
          <w:rFonts w:ascii="Calibri" w:hAnsi="Calibri"/>
          <w:szCs w:val="22"/>
        </w:rPr>
        <w:t xml:space="preserve"> posto radnika,</w:t>
      </w:r>
      <w:r w:rsidRPr="00CF294B">
        <w:rPr>
          <w:rFonts w:ascii="Calibri" w:hAnsi="Calibri"/>
          <w:szCs w:val="22"/>
        </w:rPr>
        <w:t xml:space="preserve"> što im je osiguralo</w:t>
      </w:r>
      <w:r w:rsidR="00F425FC" w:rsidRPr="00CF294B">
        <w:rPr>
          <w:rFonts w:ascii="Calibri" w:hAnsi="Calibri"/>
          <w:szCs w:val="22"/>
        </w:rPr>
        <w:t xml:space="preserve"> kontinuitet staža, materijalna prava prilagođena tržištu rada</w:t>
      </w:r>
      <w:r w:rsidRPr="00CF294B">
        <w:rPr>
          <w:rFonts w:ascii="Calibri" w:hAnsi="Calibri"/>
          <w:szCs w:val="22"/>
        </w:rPr>
        <w:t>, no</w:t>
      </w:r>
      <w:r w:rsidR="00F425FC" w:rsidRPr="00CF294B">
        <w:rPr>
          <w:rFonts w:ascii="Calibri" w:hAnsi="Calibri"/>
          <w:szCs w:val="22"/>
        </w:rPr>
        <w:t xml:space="preserve"> </w:t>
      </w:r>
      <w:r w:rsidR="00010BD9" w:rsidRPr="00CF294B">
        <w:rPr>
          <w:rFonts w:ascii="Calibri" w:hAnsi="Calibri"/>
          <w:szCs w:val="22"/>
        </w:rPr>
        <w:t xml:space="preserve">i dalje </w:t>
      </w:r>
      <w:r w:rsidR="00F425FC" w:rsidRPr="00CF294B">
        <w:rPr>
          <w:rFonts w:ascii="Calibri" w:hAnsi="Calibri"/>
          <w:szCs w:val="22"/>
        </w:rPr>
        <w:t>konkurentna primanjima na maloprodajnom tržištu te šestomjesečno obeštećenje razlike plaće.</w:t>
      </w:r>
      <w:r w:rsidRPr="00CF294B">
        <w:rPr>
          <w:rFonts w:ascii="Calibri" w:hAnsi="Calibri"/>
          <w:szCs w:val="22"/>
        </w:rPr>
        <w:t xml:space="preserve"> Radnici koji nisu željeli prijeći u novu tvrtku bit će zbrinuti sukladno kolektivnom ugovoru te će dobiti otpremninu u iznosu značajno višem od hrvatskog prosjeka. </w:t>
      </w:r>
      <w:r w:rsidR="0002028B" w:rsidRPr="00CF294B">
        <w:rPr>
          <w:rFonts w:ascii="Calibri" w:hAnsi="Calibri"/>
          <w:szCs w:val="22"/>
        </w:rPr>
        <w:t xml:space="preserve">Oko </w:t>
      </w:r>
      <w:r w:rsidR="00CF294B" w:rsidRPr="00CF294B">
        <w:rPr>
          <w:rFonts w:ascii="Calibri" w:hAnsi="Calibri"/>
          <w:szCs w:val="22"/>
        </w:rPr>
        <w:t>700</w:t>
      </w:r>
      <w:r w:rsidR="0002028B" w:rsidRPr="00CF294B">
        <w:rPr>
          <w:rFonts w:ascii="Calibri" w:hAnsi="Calibri"/>
          <w:szCs w:val="22"/>
        </w:rPr>
        <w:t xml:space="preserve"> n</w:t>
      </w:r>
      <w:r w:rsidR="004316D3" w:rsidRPr="00CF294B">
        <w:rPr>
          <w:rFonts w:ascii="Calibri" w:hAnsi="Calibri"/>
          <w:szCs w:val="22"/>
        </w:rPr>
        <w:t>e</w:t>
      </w:r>
      <w:r w:rsidR="0002028B" w:rsidRPr="00CF294B">
        <w:rPr>
          <w:rFonts w:ascii="Calibri" w:hAnsi="Calibri"/>
          <w:szCs w:val="22"/>
        </w:rPr>
        <w:t>popunjenih radnih</w:t>
      </w:r>
      <w:r w:rsidRPr="00CF294B">
        <w:rPr>
          <w:rFonts w:ascii="Calibri" w:hAnsi="Calibri"/>
          <w:szCs w:val="22"/>
        </w:rPr>
        <w:t xml:space="preserve"> mjesta prodavača bit će popunjen</w:t>
      </w:r>
      <w:r w:rsidR="0002028B" w:rsidRPr="00CF294B">
        <w:rPr>
          <w:rFonts w:ascii="Calibri" w:hAnsi="Calibri"/>
          <w:szCs w:val="22"/>
        </w:rPr>
        <w:t>o</w:t>
      </w:r>
      <w:r w:rsidRPr="00CF294B">
        <w:rPr>
          <w:rFonts w:ascii="Calibri" w:hAnsi="Calibri"/>
          <w:szCs w:val="22"/>
        </w:rPr>
        <w:t xml:space="preserve"> novim zapošljavanjem s tržišta rada</w:t>
      </w:r>
      <w:r w:rsidR="00010BD9" w:rsidRPr="00CF294B">
        <w:rPr>
          <w:rFonts w:ascii="Calibri" w:hAnsi="Calibri"/>
          <w:szCs w:val="22"/>
        </w:rPr>
        <w:t xml:space="preserve"> kako bi INA MS osigurali nesmetani rad svih benzinskih postaja</w:t>
      </w:r>
      <w:r w:rsidRPr="00CF294B">
        <w:rPr>
          <w:rFonts w:ascii="Calibri" w:hAnsi="Calibri"/>
          <w:szCs w:val="22"/>
        </w:rPr>
        <w:t>.</w:t>
      </w:r>
      <w:r w:rsidR="0002028B" w:rsidRPr="00CF294B">
        <w:rPr>
          <w:rFonts w:ascii="Calibri" w:hAnsi="Calibri"/>
          <w:szCs w:val="22"/>
        </w:rPr>
        <w:t xml:space="preserve"> Na natječaj je pristiglo više od 4500 molbi.</w:t>
      </w:r>
    </w:p>
    <w:p w:rsidR="00DF6918" w:rsidRPr="00CF294B" w:rsidRDefault="00DF6918" w:rsidP="00DF6918">
      <w:pPr>
        <w:ind w:right="140"/>
        <w:jc w:val="both"/>
        <w:rPr>
          <w:rFonts w:ascii="Calibri" w:hAnsi="Calibri"/>
          <w:szCs w:val="22"/>
        </w:rPr>
      </w:pPr>
    </w:p>
    <w:p w:rsidR="0002028B" w:rsidRPr="00CF294B" w:rsidRDefault="0002028B" w:rsidP="00DF6918">
      <w:pPr>
        <w:ind w:right="140"/>
        <w:jc w:val="both"/>
        <w:rPr>
          <w:rFonts w:ascii="Calibri" w:hAnsi="Calibri"/>
          <w:szCs w:val="22"/>
        </w:rPr>
      </w:pPr>
      <w:r w:rsidRPr="00CF294B">
        <w:rPr>
          <w:rFonts w:ascii="Calibri" w:hAnsi="Calibri"/>
          <w:szCs w:val="22"/>
        </w:rPr>
        <w:t xml:space="preserve">Tvrtka INA MS dio je INA Grupe i u stopostotnom je vlasništvu Ine te će 1. veljače 2016. preuzeti na upravljanje sve benzinske postaje osim 60 postaja koje su na osnovi ranijih odluka Uprave predane ili će biti predane na upravljanje poduzetnicima u okviru modela „Postani poduzetnik“. </w:t>
      </w:r>
    </w:p>
    <w:p w:rsidR="0002028B" w:rsidRPr="00CF294B" w:rsidRDefault="0002028B" w:rsidP="00DF6918">
      <w:pPr>
        <w:ind w:right="140"/>
        <w:jc w:val="both"/>
        <w:rPr>
          <w:rFonts w:ascii="Calibri" w:hAnsi="Calibri"/>
          <w:szCs w:val="22"/>
        </w:rPr>
      </w:pPr>
    </w:p>
    <w:p w:rsidR="00F425FC" w:rsidRPr="007C400C" w:rsidRDefault="00DF6918" w:rsidP="00DF6918">
      <w:pPr>
        <w:ind w:right="140"/>
        <w:jc w:val="both"/>
        <w:rPr>
          <w:rFonts w:ascii="Calibri" w:hAnsi="Calibri"/>
          <w:szCs w:val="22"/>
        </w:rPr>
      </w:pPr>
      <w:r w:rsidRPr="00CF294B">
        <w:rPr>
          <w:rFonts w:ascii="Calibri" w:hAnsi="Calibri"/>
          <w:szCs w:val="22"/>
        </w:rPr>
        <w:t>Zadržavanje razine kvalitete usluge ključni je preduvjet uspješne realizacije novog modela, što će omogućiti Ini da bude konkurentnija na maloprodajnom tržištu te će otvoriti prostor za nastavak snažnog investicijskog ciklusa koji je započeo prije nekoliko godina.</w:t>
      </w:r>
      <w:r w:rsidR="00010BD9" w:rsidRPr="00CF294B">
        <w:rPr>
          <w:rFonts w:ascii="Calibri" w:hAnsi="Calibri"/>
          <w:szCs w:val="22"/>
        </w:rPr>
        <w:t xml:space="preserve"> Maloprodaja je jedna od temeljnih djelatnosti Ine te kompanija i dalje nastavlja razvijati svoju maloprodajnu mrežu kroz kapitalna</w:t>
      </w:r>
      <w:r w:rsidR="00010BD9" w:rsidRPr="00DF6918">
        <w:rPr>
          <w:rFonts w:ascii="Calibri" w:hAnsi="Calibri"/>
          <w:szCs w:val="22"/>
        </w:rPr>
        <w:t xml:space="preserve"> ulaganja u benzinske postaje te unapređenje kvalitete usluga.</w:t>
      </w:r>
    </w:p>
    <w:p w:rsidR="00F425FC" w:rsidRPr="007C400C" w:rsidRDefault="00F425FC" w:rsidP="00F425FC">
      <w:pPr>
        <w:spacing w:before="100" w:beforeAutospacing="1" w:after="100" w:afterAutospacing="1"/>
        <w:ind w:right="140"/>
        <w:jc w:val="both"/>
        <w:outlineLvl w:val="0"/>
        <w:rPr>
          <w:rFonts w:cs="Arial"/>
          <w:i/>
          <w:iCs/>
          <w:sz w:val="20"/>
          <w:szCs w:val="20"/>
          <w:lang w:eastAsia="hr-HR"/>
        </w:rPr>
      </w:pPr>
    </w:p>
    <w:p w:rsidR="00F425FC" w:rsidRPr="007C400C" w:rsidRDefault="00F425FC" w:rsidP="00F425FC">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Pr>
          <w:rFonts w:asciiTheme="minorHAnsi" w:eastAsia="Calibri" w:hAnsiTheme="minorHAnsi" w:cs="Arial"/>
          <w:sz w:val="20"/>
          <w:szCs w:val="20"/>
        </w:rPr>
        <w:t>,</w:t>
      </w:r>
      <w:r w:rsidRPr="007C400C">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w:t>
      </w:r>
      <w:r w:rsidRPr="002E572C">
        <w:rPr>
          <w:rFonts w:asciiTheme="minorHAnsi" w:eastAsia="Calibri" w:hAnsiTheme="minorHAnsi" w:cs="Arial"/>
          <w:sz w:val="20"/>
          <w:szCs w:val="20"/>
        </w:rPr>
        <w:t>od 438 benzinskih</w:t>
      </w:r>
      <w:r w:rsidRPr="007C400C">
        <w:rPr>
          <w:rFonts w:asciiTheme="minorHAnsi" w:eastAsia="Calibri" w:hAnsiTheme="minorHAnsi" w:cs="Arial"/>
          <w:sz w:val="20"/>
          <w:szCs w:val="20"/>
        </w:rPr>
        <w:t xml:space="preserve"> postaja u Hrvatskoj i u susjednim zemljama.</w:t>
      </w:r>
    </w:p>
    <w:p w:rsidR="00F425FC" w:rsidRPr="007C400C" w:rsidRDefault="00F425FC" w:rsidP="00F425FC">
      <w:pPr>
        <w:jc w:val="both"/>
        <w:rPr>
          <w:rFonts w:asciiTheme="minorHAnsi" w:eastAsia="Calibri" w:hAnsiTheme="minorHAnsi" w:cs="Arial"/>
          <w:b/>
          <w:sz w:val="20"/>
          <w:szCs w:val="20"/>
        </w:rPr>
      </w:pP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F425FC" w:rsidRPr="00DF6918" w:rsidRDefault="00F425FC" w:rsidP="00DF6918">
      <w:pPr>
        <w:jc w:val="both"/>
        <w:rPr>
          <w:rFonts w:asciiTheme="minorHAnsi" w:hAnsiTheme="minorHAnsi" w:cs="Arial"/>
          <w:sz w:val="20"/>
          <w:szCs w:val="20"/>
        </w:r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sectPr w:rsidR="00F425FC" w:rsidRPr="00DF6918" w:rsidSect="00DF6918">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560" w:right="1134" w:bottom="2552" w:left="1418" w:header="851"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66" w:rsidRDefault="00B51066">
      <w:r>
        <w:separator/>
      </w:r>
    </w:p>
  </w:endnote>
  <w:endnote w:type="continuationSeparator" w:id="0">
    <w:p w:rsidR="00B51066" w:rsidRDefault="00B5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B51066"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45181">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5BB7D0CB" wp14:editId="35D1DBCF">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56B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B5106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645181">
          <w:pPr>
            <w:pStyle w:val="Footer"/>
            <w:rPr>
              <w:rFonts w:cs="Arial"/>
              <w:b/>
              <w:bCs/>
              <w:sz w:val="12"/>
            </w:rPr>
          </w:pPr>
          <w:r>
            <w:rPr>
              <w:rFonts w:cs="Arial"/>
              <w:b/>
              <w:bCs/>
              <w:sz w:val="12"/>
            </w:rPr>
            <w:t>INA, d.d.</w:t>
          </w:r>
        </w:p>
        <w:p w:rsidR="005922EC" w:rsidRDefault="00645181">
          <w:pPr>
            <w:pStyle w:val="Footer"/>
            <w:rPr>
              <w:rFonts w:cs="Arial"/>
              <w:sz w:val="12"/>
            </w:rPr>
          </w:pPr>
          <w:r>
            <w:rPr>
              <w:rFonts w:cs="Arial"/>
              <w:sz w:val="12"/>
            </w:rPr>
            <w:t xml:space="preserve">Avenija Većeslava Holjevca 10 </w:t>
          </w:r>
        </w:p>
        <w:p w:rsidR="005922EC" w:rsidRDefault="00645181">
          <w:pPr>
            <w:pStyle w:val="Footer"/>
            <w:rPr>
              <w:rFonts w:cs="Arial"/>
              <w:sz w:val="12"/>
            </w:rPr>
          </w:pPr>
          <w:r>
            <w:rPr>
              <w:rFonts w:cs="Arial"/>
              <w:sz w:val="12"/>
            </w:rPr>
            <w:t>10 002 Zagreb           p.p. 555</w:t>
          </w:r>
        </w:p>
        <w:p w:rsidR="005922EC" w:rsidRDefault="00645181">
          <w:pPr>
            <w:pStyle w:val="Footer"/>
            <w:rPr>
              <w:rFonts w:cs="Arial"/>
              <w:sz w:val="12"/>
            </w:rPr>
          </w:pPr>
          <w:r>
            <w:rPr>
              <w:rFonts w:cs="Arial"/>
              <w:sz w:val="12"/>
            </w:rPr>
            <w:t xml:space="preserve">Hrvatska - </w:t>
          </w:r>
          <w:r>
            <w:rPr>
              <w:rFonts w:cs="Arial"/>
              <w:i/>
              <w:iCs/>
              <w:sz w:val="12"/>
            </w:rPr>
            <w:t>Croatia</w:t>
          </w:r>
        </w:p>
        <w:p w:rsidR="005922EC" w:rsidRDefault="00645181">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5922EC" w:rsidRDefault="00645181">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645181">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645181">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5922EC" w:rsidRDefault="00645181">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5922EC" w:rsidRDefault="00645181">
          <w:pPr>
            <w:pStyle w:val="Footer"/>
            <w:rPr>
              <w:rFonts w:cs="Arial"/>
              <w:sz w:val="12"/>
            </w:rPr>
          </w:pPr>
          <w:r>
            <w:rPr>
              <w:rFonts w:cs="Arial"/>
              <w:sz w:val="12"/>
            </w:rPr>
            <w:t>Trgovački sud u Zagrebu</w:t>
          </w:r>
        </w:p>
        <w:p w:rsidR="005922EC" w:rsidRDefault="00645181">
          <w:pPr>
            <w:pStyle w:val="Footer"/>
            <w:rPr>
              <w:rFonts w:cs="Arial"/>
              <w:i/>
              <w:iCs/>
              <w:sz w:val="12"/>
            </w:rPr>
          </w:pPr>
          <w:r>
            <w:rPr>
              <w:rFonts w:cs="Arial"/>
              <w:i/>
              <w:iCs/>
              <w:sz w:val="12"/>
            </w:rPr>
            <w:t>Commercial Court</w:t>
          </w:r>
        </w:p>
        <w:p w:rsidR="005922EC" w:rsidRDefault="00645181">
          <w:pPr>
            <w:pStyle w:val="Footer"/>
            <w:rPr>
              <w:rFonts w:cs="Arial"/>
              <w:sz w:val="12"/>
            </w:rPr>
          </w:pPr>
          <w:r>
            <w:rPr>
              <w:rFonts w:cs="Arial"/>
              <w:sz w:val="12"/>
            </w:rPr>
            <w:t>MBS: 080000604</w:t>
          </w:r>
        </w:p>
        <w:p w:rsidR="005922EC" w:rsidRDefault="00645181">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5922EC" w:rsidRDefault="00645181">
          <w:pPr>
            <w:pStyle w:val="Footer"/>
            <w:rPr>
              <w:rFonts w:cs="Arial"/>
              <w:sz w:val="12"/>
            </w:rPr>
          </w:pPr>
          <w:r>
            <w:rPr>
              <w:rFonts w:cs="Arial"/>
              <w:sz w:val="12"/>
            </w:rPr>
            <w:t xml:space="preserve">9.000.000.000 Kn </w:t>
          </w:r>
        </w:p>
        <w:p w:rsidR="005922EC" w:rsidRDefault="00645181">
          <w:pPr>
            <w:pStyle w:val="Footer"/>
            <w:rPr>
              <w:rFonts w:cs="Arial"/>
              <w:sz w:val="12"/>
            </w:rPr>
          </w:pPr>
          <w:r>
            <w:rPr>
              <w:rFonts w:cs="Arial"/>
              <w:sz w:val="12"/>
            </w:rPr>
            <w:t>Broj izdanih dionica / Nominalna vrijednost</w:t>
          </w:r>
        </w:p>
        <w:p w:rsidR="005922EC" w:rsidRDefault="00645181">
          <w:pPr>
            <w:pStyle w:val="Footer"/>
            <w:rPr>
              <w:rFonts w:cs="Arial"/>
              <w:i/>
              <w:iCs/>
              <w:sz w:val="12"/>
            </w:rPr>
          </w:pPr>
          <w:r>
            <w:rPr>
              <w:rFonts w:cs="Arial"/>
              <w:i/>
              <w:iCs/>
              <w:sz w:val="12"/>
            </w:rPr>
            <w:t>No. of issued shares / Nominal value</w:t>
          </w:r>
        </w:p>
        <w:p w:rsidR="005922EC" w:rsidRDefault="00645181">
          <w:pPr>
            <w:pStyle w:val="Footer"/>
            <w:rPr>
              <w:rFonts w:cs="Arial"/>
              <w:sz w:val="12"/>
            </w:rPr>
          </w:pPr>
          <w:r>
            <w:rPr>
              <w:rFonts w:cs="Arial"/>
              <w:sz w:val="12"/>
            </w:rPr>
            <w:t>10.000.000 / 900,00 Kn</w:t>
          </w:r>
        </w:p>
        <w:p w:rsidR="005922EC" w:rsidRDefault="00645181">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B51066">
          <w:pPr>
            <w:pStyle w:val="Footer"/>
            <w:rPr>
              <w:rFonts w:cs="Arial"/>
              <w:b/>
              <w:bCs/>
              <w:sz w:val="12"/>
            </w:rPr>
          </w:pPr>
        </w:p>
      </w:tc>
      <w:tc>
        <w:tcPr>
          <w:tcW w:w="1526" w:type="dxa"/>
          <w:tcBorders>
            <w:top w:val="nil"/>
            <w:left w:val="nil"/>
            <w:bottom w:val="nil"/>
            <w:right w:val="nil"/>
          </w:tcBorders>
        </w:tcPr>
        <w:p w:rsidR="005922EC" w:rsidRDefault="00645181">
          <w:pPr>
            <w:pStyle w:val="Footer"/>
            <w:spacing w:line="216" w:lineRule="auto"/>
            <w:ind w:left="-108"/>
            <w:rPr>
              <w:rFonts w:cs="Arial"/>
              <w:sz w:val="12"/>
            </w:rPr>
          </w:pPr>
          <w:r>
            <w:rPr>
              <w:rFonts w:cs="Arial"/>
              <w:sz w:val="12"/>
            </w:rPr>
            <w:t>Privredna banka Zagreb</w:t>
          </w:r>
        </w:p>
        <w:p w:rsidR="005922EC" w:rsidRDefault="00645181">
          <w:pPr>
            <w:pStyle w:val="Footer"/>
            <w:spacing w:line="216" w:lineRule="auto"/>
            <w:ind w:left="-108"/>
            <w:rPr>
              <w:rFonts w:cs="Arial"/>
              <w:sz w:val="12"/>
            </w:rPr>
          </w:pPr>
          <w:r>
            <w:rPr>
              <w:rFonts w:cs="Arial"/>
              <w:sz w:val="12"/>
            </w:rPr>
            <w:t>Raiffeisen banka</w:t>
          </w:r>
        </w:p>
        <w:p w:rsidR="005922EC" w:rsidRDefault="00645181">
          <w:pPr>
            <w:pStyle w:val="Footer"/>
            <w:spacing w:line="216" w:lineRule="auto"/>
            <w:ind w:left="-108"/>
            <w:rPr>
              <w:rFonts w:cs="Arial"/>
              <w:sz w:val="12"/>
            </w:rPr>
          </w:pPr>
          <w:r>
            <w:rPr>
              <w:rFonts w:cs="Arial"/>
              <w:sz w:val="12"/>
            </w:rPr>
            <w:t>Zagrebačka banka Zagreb</w:t>
          </w:r>
        </w:p>
        <w:p w:rsidR="005922EC" w:rsidRDefault="00645181">
          <w:pPr>
            <w:pStyle w:val="Footer"/>
            <w:spacing w:line="216" w:lineRule="auto"/>
            <w:ind w:left="-108"/>
            <w:rPr>
              <w:rFonts w:cs="Arial"/>
              <w:sz w:val="12"/>
            </w:rPr>
          </w:pPr>
          <w:r>
            <w:rPr>
              <w:rFonts w:cs="Arial"/>
              <w:sz w:val="12"/>
            </w:rPr>
            <w:t>Dresdner bank</w:t>
          </w:r>
        </w:p>
        <w:p w:rsidR="005922EC" w:rsidRDefault="00645181">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645181">
          <w:pPr>
            <w:pStyle w:val="Footer"/>
            <w:spacing w:line="216" w:lineRule="auto"/>
            <w:ind w:left="-108"/>
            <w:rPr>
              <w:rFonts w:cs="Arial"/>
              <w:sz w:val="12"/>
            </w:rPr>
          </w:pPr>
          <w:r>
            <w:rPr>
              <w:rFonts w:cs="Arial"/>
              <w:sz w:val="12"/>
            </w:rPr>
            <w:t>Račkoga 6, 10000 Zagreb</w:t>
          </w:r>
        </w:p>
        <w:p w:rsidR="005922EC" w:rsidRDefault="00645181">
          <w:pPr>
            <w:pStyle w:val="Footer"/>
            <w:spacing w:line="216" w:lineRule="auto"/>
            <w:ind w:left="-108"/>
            <w:rPr>
              <w:rFonts w:cs="Arial"/>
              <w:sz w:val="12"/>
            </w:rPr>
          </w:pPr>
          <w:r>
            <w:rPr>
              <w:rFonts w:cs="Arial"/>
              <w:sz w:val="12"/>
            </w:rPr>
            <w:t>Petrinjska 59, 10000 Zagreb</w:t>
          </w:r>
        </w:p>
        <w:p w:rsidR="005922EC" w:rsidRDefault="00645181">
          <w:pPr>
            <w:pStyle w:val="Footer"/>
            <w:spacing w:line="216" w:lineRule="auto"/>
            <w:ind w:left="-108"/>
            <w:rPr>
              <w:rFonts w:cs="Arial"/>
              <w:sz w:val="12"/>
            </w:rPr>
          </w:pPr>
          <w:r>
            <w:rPr>
              <w:rFonts w:cs="Arial"/>
              <w:sz w:val="12"/>
            </w:rPr>
            <w:t>Paromlinska 2, 10000 Zagreb</w:t>
          </w:r>
        </w:p>
        <w:p w:rsidR="005922EC" w:rsidRDefault="00645181">
          <w:pPr>
            <w:pStyle w:val="Footer"/>
            <w:spacing w:line="216" w:lineRule="auto"/>
            <w:ind w:left="-108"/>
            <w:rPr>
              <w:rFonts w:cs="Arial"/>
              <w:sz w:val="12"/>
            </w:rPr>
          </w:pPr>
          <w:r>
            <w:rPr>
              <w:rFonts w:cs="Arial"/>
              <w:sz w:val="12"/>
            </w:rPr>
            <w:t>Gajeva 1, 10000 Zagreb</w:t>
          </w:r>
        </w:p>
        <w:p w:rsidR="005922EC" w:rsidRDefault="00645181">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645181">
          <w:pPr>
            <w:pStyle w:val="Footer"/>
            <w:spacing w:line="216" w:lineRule="auto"/>
            <w:ind w:left="-108" w:right="-108"/>
            <w:rPr>
              <w:rFonts w:cs="Arial"/>
              <w:sz w:val="12"/>
            </w:rPr>
          </w:pPr>
          <w:r>
            <w:rPr>
              <w:rFonts w:cs="Arial"/>
              <w:sz w:val="12"/>
            </w:rPr>
            <w:t>2340009-1100022902</w:t>
          </w:r>
        </w:p>
        <w:p w:rsidR="005922EC" w:rsidRDefault="00645181">
          <w:pPr>
            <w:pStyle w:val="Footer"/>
            <w:spacing w:line="216" w:lineRule="auto"/>
            <w:ind w:left="-108" w:right="-108"/>
            <w:rPr>
              <w:rFonts w:cs="Arial"/>
              <w:sz w:val="12"/>
            </w:rPr>
          </w:pPr>
          <w:r>
            <w:rPr>
              <w:rFonts w:cs="Arial"/>
              <w:sz w:val="12"/>
            </w:rPr>
            <w:t>2484008-1100619483</w:t>
          </w:r>
        </w:p>
        <w:p w:rsidR="005922EC" w:rsidRDefault="00645181">
          <w:pPr>
            <w:pStyle w:val="Footer"/>
            <w:spacing w:line="216" w:lineRule="auto"/>
            <w:ind w:left="-108" w:right="-108"/>
            <w:rPr>
              <w:rFonts w:cs="Arial"/>
              <w:sz w:val="12"/>
            </w:rPr>
          </w:pPr>
          <w:r>
            <w:rPr>
              <w:rFonts w:cs="Arial"/>
              <w:sz w:val="12"/>
            </w:rPr>
            <w:t>2360000-1101303595</w:t>
          </w:r>
        </w:p>
        <w:p w:rsidR="005922EC" w:rsidRDefault="00645181">
          <w:pPr>
            <w:pStyle w:val="Footer"/>
            <w:spacing w:line="216" w:lineRule="auto"/>
            <w:ind w:left="-108" w:right="-108"/>
            <w:rPr>
              <w:rFonts w:cs="Arial"/>
              <w:sz w:val="12"/>
            </w:rPr>
          </w:pPr>
          <w:r>
            <w:rPr>
              <w:rFonts w:cs="Arial"/>
              <w:sz w:val="12"/>
            </w:rPr>
            <w:t>2504000-1120002224</w:t>
          </w:r>
        </w:p>
        <w:p w:rsidR="005922EC" w:rsidRDefault="00645181">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B51066">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645181">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5922EC" w:rsidRDefault="00645181">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5922EC" w:rsidRDefault="00B51066">
          <w:pPr>
            <w:pStyle w:val="Footer"/>
            <w:spacing w:line="216" w:lineRule="auto"/>
            <w:ind w:right="-108"/>
            <w:rPr>
              <w:rFonts w:cs="Arial"/>
              <w:sz w:val="2"/>
            </w:rPr>
          </w:pPr>
        </w:p>
        <w:p w:rsidR="005922EC" w:rsidRDefault="00B51066">
          <w:pPr>
            <w:pStyle w:val="Footer"/>
            <w:spacing w:line="216" w:lineRule="auto"/>
            <w:ind w:right="-108"/>
            <w:rPr>
              <w:rFonts w:cs="Arial"/>
              <w:sz w:val="2"/>
            </w:rPr>
          </w:pPr>
        </w:p>
        <w:p w:rsidR="005922EC" w:rsidRDefault="00645181">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5922EC" w:rsidRDefault="00B51066">
          <w:pPr>
            <w:pStyle w:val="Footer"/>
            <w:rPr>
              <w:rFonts w:cs="Arial"/>
              <w:sz w:val="12"/>
            </w:rPr>
          </w:pPr>
        </w:p>
      </w:tc>
    </w:tr>
  </w:tbl>
  <w:p w:rsidR="005922EC" w:rsidRPr="00BE07FB" w:rsidRDefault="00B51066">
    <w:pPr>
      <w:rPr>
        <w:sz w:val="2"/>
        <w:szCs w:val="2"/>
      </w:rPr>
    </w:pPr>
  </w:p>
  <w:p w:rsidR="005922EC" w:rsidRPr="00B976E5" w:rsidRDefault="00B51066"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rsidP="005E2581">
    <w:pPr>
      <w:pStyle w:val="Footer"/>
      <w:ind w:right="360"/>
      <w:rPr>
        <w:sz w:val="2"/>
      </w:rPr>
    </w:pPr>
  </w:p>
  <w:p w:rsidR="005922EC" w:rsidRDefault="00B51066">
    <w:pPr>
      <w:pStyle w:val="Footer"/>
      <w:rPr>
        <w:sz w:val="2"/>
      </w:rPr>
    </w:pPr>
  </w:p>
  <w:p w:rsidR="005922EC" w:rsidRDefault="00B51066" w:rsidP="001F421D">
    <w:pPr>
      <w:pStyle w:val="Footer"/>
      <w:ind w:right="360"/>
      <w:rPr>
        <w:sz w:val="2"/>
      </w:rPr>
    </w:pPr>
  </w:p>
  <w:p w:rsidR="005922EC" w:rsidRDefault="00B51066"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645181">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B51066"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64518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B51066">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64518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64518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64518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B51066">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645181">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645181"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B51066">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645181" w:rsidP="00F44E41">
                <w:pPr>
                  <w:pStyle w:val="Footer"/>
                  <w:spacing w:before="20" w:after="20"/>
                  <w:rPr>
                    <w:rFonts w:cs="Arial"/>
                    <w:b/>
                    <w:bCs/>
                    <w:sz w:val="14"/>
                    <w:szCs w:val="14"/>
                  </w:rPr>
                </w:pPr>
                <w:r w:rsidRPr="00E22D6A">
                  <w:rPr>
                    <w:rFonts w:cs="Arial"/>
                    <w:b/>
                    <w:bCs/>
                    <w:sz w:val="14"/>
                    <w:szCs w:val="14"/>
                  </w:rPr>
                  <w:t>INA, d.d.</w:t>
                </w:r>
              </w:p>
              <w:p w:rsidR="005922EC" w:rsidRPr="00126238" w:rsidRDefault="00645181" w:rsidP="00F44E41">
                <w:pPr>
                  <w:pStyle w:val="Footer"/>
                  <w:rPr>
                    <w:rFonts w:cs="Arial"/>
                    <w:sz w:val="11"/>
                    <w:szCs w:val="11"/>
                  </w:rPr>
                </w:pPr>
                <w:r w:rsidRPr="00126238">
                  <w:rPr>
                    <w:rFonts w:cs="Arial"/>
                    <w:sz w:val="11"/>
                    <w:szCs w:val="11"/>
                  </w:rPr>
                  <w:t xml:space="preserve">Avenija Većeslava Holjevca 10 </w:t>
                </w:r>
              </w:p>
              <w:p w:rsidR="005922EC" w:rsidRPr="00126238" w:rsidRDefault="00645181" w:rsidP="00F44E41">
                <w:pPr>
                  <w:pStyle w:val="Footer"/>
                  <w:rPr>
                    <w:rFonts w:cs="Arial"/>
                    <w:sz w:val="11"/>
                    <w:szCs w:val="11"/>
                  </w:rPr>
                </w:pPr>
                <w:r w:rsidRPr="00126238">
                  <w:rPr>
                    <w:rFonts w:cs="Arial"/>
                    <w:sz w:val="11"/>
                    <w:szCs w:val="11"/>
                  </w:rPr>
                  <w:t>10 002 Zagreb    p.p. 555</w:t>
                </w:r>
              </w:p>
              <w:p w:rsidR="005922EC" w:rsidRPr="00126238" w:rsidRDefault="00645181"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645181" w:rsidP="00F44E41">
                <w:pPr>
                  <w:pStyle w:val="Footer"/>
                  <w:ind w:right="-72"/>
                  <w:rPr>
                    <w:rFonts w:cs="Arial"/>
                    <w:sz w:val="11"/>
                    <w:szCs w:val="11"/>
                  </w:rPr>
                </w:pPr>
                <w:r w:rsidRPr="00126238">
                  <w:rPr>
                    <w:rFonts w:cs="Arial"/>
                    <w:sz w:val="11"/>
                    <w:szCs w:val="11"/>
                  </w:rPr>
                  <w:t xml:space="preserve">Telefon - </w:t>
                </w:r>
                <w:r w:rsidRPr="00126238">
                  <w:rPr>
                    <w:rFonts w:cs="Arial"/>
                    <w:i/>
                    <w:iCs/>
                    <w:sz w:val="11"/>
                    <w:szCs w:val="11"/>
                  </w:rPr>
                  <w:t>Telephone</w:t>
                </w:r>
                <w:r w:rsidRPr="00126238">
                  <w:rPr>
                    <w:rFonts w:cs="Arial"/>
                    <w:sz w:val="11"/>
                    <w:szCs w:val="11"/>
                  </w:rPr>
                  <w:t xml:space="preserve"> +385(1)6450000</w:t>
                </w:r>
              </w:p>
              <w:p w:rsidR="005922EC" w:rsidRPr="00CD53EE" w:rsidRDefault="00645181"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645181"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645181" w:rsidP="00F44E41">
                <w:pPr>
                  <w:pStyle w:val="Footer"/>
                  <w:ind w:left="-108"/>
                  <w:rPr>
                    <w:rFonts w:cs="Arial"/>
                    <w:sz w:val="10"/>
                    <w:szCs w:val="10"/>
                  </w:rPr>
                </w:pPr>
                <w:r w:rsidRPr="00E938AF">
                  <w:rPr>
                    <w:rFonts w:cs="Arial"/>
                    <w:sz w:val="10"/>
                    <w:szCs w:val="10"/>
                  </w:rPr>
                  <w:t xml:space="preserve">Adresa - </w:t>
                </w:r>
                <w:r w:rsidRPr="00E938AF">
                  <w:rPr>
                    <w:rFonts w:cs="Arial"/>
                    <w:i/>
                    <w:iCs/>
                    <w:sz w:val="10"/>
                    <w:szCs w:val="10"/>
                  </w:rPr>
                  <w:t>Address</w:t>
                </w:r>
              </w:p>
            </w:tc>
            <w:tc>
              <w:tcPr>
                <w:tcW w:w="1528" w:type="dxa"/>
                <w:tcBorders>
                  <w:top w:val="single" w:sz="4" w:space="0" w:color="auto"/>
                  <w:left w:val="nil"/>
                  <w:bottom w:val="nil"/>
                  <w:right w:val="nil"/>
                </w:tcBorders>
                <w:vAlign w:val="center"/>
              </w:tcPr>
              <w:p w:rsidR="005922EC" w:rsidRPr="00E938AF" w:rsidRDefault="00645181"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r>
                  <w:rPr>
                    <w:rFonts w:cs="Arial"/>
                    <w:i/>
                    <w:iCs/>
                    <w:sz w:val="10"/>
                    <w:szCs w:val="10"/>
                  </w:rPr>
                  <w:t>Number</w:t>
                </w:r>
              </w:p>
            </w:tc>
            <w:tc>
              <w:tcPr>
                <w:tcW w:w="2159" w:type="dxa"/>
                <w:vMerge w:val="restart"/>
                <w:tcBorders>
                  <w:top w:val="single" w:sz="4" w:space="0" w:color="auto"/>
                  <w:left w:val="nil"/>
                  <w:right w:val="nil"/>
                </w:tcBorders>
                <w:tcMar>
                  <w:left w:w="57" w:type="dxa"/>
                  <w:right w:w="57" w:type="dxa"/>
                </w:tcMar>
              </w:tcPr>
              <w:p w:rsidR="005922EC" w:rsidRPr="00126238" w:rsidRDefault="00645181"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645181"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645181"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645181"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645181"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645181"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645181"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645181"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645181"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645181"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645181"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B51066" w:rsidP="00F44E41">
                <w:pPr>
                  <w:pStyle w:val="Footer"/>
                  <w:rPr>
                    <w:rFonts w:cs="Arial"/>
                    <w:b/>
                    <w:bCs/>
                    <w:sz w:val="11"/>
                    <w:szCs w:val="11"/>
                  </w:rPr>
                </w:pPr>
              </w:p>
            </w:tc>
            <w:tc>
              <w:tcPr>
                <w:tcW w:w="1554" w:type="dxa"/>
                <w:tcBorders>
                  <w:top w:val="nil"/>
                  <w:left w:val="nil"/>
                  <w:bottom w:val="nil"/>
                  <w:right w:val="nil"/>
                </w:tcBorders>
              </w:tcPr>
              <w:p w:rsidR="005922EC" w:rsidRPr="00E938AF" w:rsidRDefault="00645181"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645181"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Raiffeisenbank Austria d.d. </w:t>
                </w:r>
              </w:p>
              <w:p w:rsidR="005922EC" w:rsidRPr="00E938AF" w:rsidRDefault="00645181"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645181"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645181"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645181" w:rsidP="00F44E41">
                <w:pPr>
                  <w:pStyle w:val="Footer"/>
                  <w:spacing w:line="216" w:lineRule="auto"/>
                  <w:ind w:left="-108"/>
                  <w:rPr>
                    <w:rFonts w:ascii="Arial Narrow" w:hAnsi="Arial Narrow" w:cs="Arial"/>
                    <w:sz w:val="10"/>
                    <w:szCs w:val="10"/>
                  </w:rPr>
                </w:pPr>
                <w:r w:rsidRPr="00AC0994">
                  <w:rPr>
                    <w:rFonts w:ascii="Arial Narrow" w:hAnsi="Arial Narrow"/>
                    <w:sz w:val="10"/>
                    <w:szCs w:val="10"/>
                  </w:rPr>
                  <w:t xml:space="preserve">Erste&amp;Steiermärkische Bank </w:t>
                </w:r>
                <w:r w:rsidRPr="00AC0994">
                  <w:rPr>
                    <w:rFonts w:ascii="Arial Narrow" w:hAnsi="Arial Narrow" w:cs="Arial"/>
                    <w:sz w:val="10"/>
                    <w:szCs w:val="10"/>
                  </w:rPr>
                  <w:t xml:space="preserve">d.d. </w:t>
                </w:r>
              </w:p>
              <w:p w:rsidR="005922EC" w:rsidRDefault="00645181" w:rsidP="00F44E41">
                <w:pPr>
                  <w:pStyle w:val="Footer"/>
                  <w:spacing w:line="216" w:lineRule="auto"/>
                  <w:ind w:left="-108"/>
                  <w:rPr>
                    <w:rFonts w:ascii="Arial Narrow" w:hAnsi="Arial Narrow"/>
                    <w:sz w:val="10"/>
                    <w:szCs w:val="10"/>
                  </w:rPr>
                </w:pPr>
                <w:r w:rsidRPr="00E938AF">
                  <w:rPr>
                    <w:rFonts w:ascii="Arial Narrow" w:hAnsi="Arial Narrow"/>
                    <w:sz w:val="10"/>
                    <w:szCs w:val="10"/>
                  </w:rPr>
                  <w:t xml:space="preserve">Sberbank d.d. </w:t>
                </w:r>
              </w:p>
              <w:p w:rsidR="005922EC" w:rsidRPr="00E938AF" w:rsidRDefault="00645181"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645181"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UniCredit Bank Austria AG</w:t>
                </w:r>
              </w:p>
              <w:p w:rsidR="005922EC" w:rsidRPr="00E938AF" w:rsidRDefault="00B51066" w:rsidP="00F44E41">
                <w:pPr>
                  <w:pStyle w:val="Footer"/>
                  <w:spacing w:line="216" w:lineRule="auto"/>
                  <w:ind w:left="-108"/>
                  <w:rPr>
                    <w:rFonts w:ascii="Arial Narrow" w:hAnsi="Arial Narrow"/>
                    <w:sz w:val="10"/>
                    <w:szCs w:val="10"/>
                    <w:lang w:bidi="ta-IN"/>
                  </w:rPr>
                </w:pPr>
              </w:p>
              <w:p w:rsidR="005922EC" w:rsidRDefault="00645181"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B51066" w:rsidP="00F44E41">
                <w:pPr>
                  <w:pStyle w:val="Footer"/>
                  <w:spacing w:line="216" w:lineRule="auto"/>
                  <w:ind w:left="-108"/>
                  <w:rPr>
                    <w:rFonts w:ascii="Arial Narrow" w:hAnsi="Arial Narrow"/>
                    <w:sz w:val="10"/>
                    <w:szCs w:val="10"/>
                    <w:lang w:bidi="ta-IN"/>
                  </w:rPr>
                </w:pPr>
              </w:p>
              <w:p w:rsidR="005922EC" w:rsidRDefault="00645181"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B51066" w:rsidP="00F44E41">
                <w:pPr>
                  <w:pStyle w:val="Footer"/>
                  <w:spacing w:line="216" w:lineRule="auto"/>
                  <w:ind w:left="-108"/>
                  <w:rPr>
                    <w:rFonts w:ascii="Arial Narrow" w:hAnsi="Arial Narrow"/>
                    <w:sz w:val="10"/>
                    <w:szCs w:val="10"/>
                    <w:lang w:bidi="ta-IN"/>
                  </w:rPr>
                </w:pPr>
              </w:p>
              <w:p w:rsidR="005922EC" w:rsidRPr="00126238" w:rsidRDefault="00645181"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645181"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645181"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645181"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645181"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645181"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645181"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645181"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645181"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Avenu</w:t>
                </w:r>
                <w:r>
                  <w:rPr>
                    <w:rFonts w:ascii="Arial Narrow" w:hAnsi="Arial Narrow"/>
                    <w:sz w:val="10"/>
                    <w:szCs w:val="10"/>
                    <w:lang w:bidi="ta-IN"/>
                  </w:rPr>
                  <w:t>e Pierre Mendes 30, 75013 Paris</w:t>
                </w:r>
              </w:p>
              <w:p w:rsidR="005922EC" w:rsidRDefault="00645181" w:rsidP="00F44E41">
                <w:pPr>
                  <w:pStyle w:val="Footer"/>
                  <w:spacing w:line="216" w:lineRule="auto"/>
                  <w:ind w:left="-108" w:right="-66"/>
                  <w:rPr>
                    <w:rFonts w:ascii="Arial Narrow" w:hAnsi="Arial Narrow"/>
                    <w:sz w:val="10"/>
                    <w:szCs w:val="10"/>
                    <w:lang w:bidi="ta-IN"/>
                  </w:rPr>
                </w:pPr>
                <w:r>
                  <w:rPr>
                    <w:rFonts w:ascii="Arial Narrow" w:hAnsi="Arial Narrow"/>
                    <w:sz w:val="10"/>
                    <w:szCs w:val="10"/>
                    <w:lang w:bidi="ta-IN"/>
                  </w:rPr>
                  <w:t>Schottengasse 6-8, A-1010 Wien</w:t>
                </w:r>
              </w:p>
              <w:p w:rsidR="005922EC" w:rsidRDefault="00B51066" w:rsidP="00F44E41">
                <w:pPr>
                  <w:pStyle w:val="Footer"/>
                  <w:spacing w:line="216" w:lineRule="auto"/>
                  <w:ind w:left="-108" w:right="-66"/>
                  <w:rPr>
                    <w:rFonts w:ascii="Arial Narrow" w:hAnsi="Arial Narrow"/>
                    <w:sz w:val="10"/>
                    <w:szCs w:val="10"/>
                    <w:lang w:bidi="ta-IN"/>
                  </w:rPr>
                </w:pPr>
              </w:p>
              <w:p w:rsidR="005922EC" w:rsidRDefault="00645181"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Hollande 2, Case Postale 5060 1211 Geneve </w:t>
                </w:r>
                <w:r>
                  <w:rPr>
                    <w:rFonts w:ascii="Arial Narrow" w:hAnsi="Arial Narrow"/>
                    <w:sz w:val="10"/>
                    <w:szCs w:val="10"/>
                    <w:lang w:bidi="ta-IN"/>
                  </w:rPr>
                  <w:t>11</w:t>
                </w:r>
              </w:p>
              <w:p w:rsidR="005922EC" w:rsidRDefault="00B51066" w:rsidP="00F44E41">
                <w:pPr>
                  <w:pStyle w:val="Footer"/>
                  <w:spacing w:line="216" w:lineRule="auto"/>
                  <w:ind w:left="-108" w:right="-66"/>
                  <w:rPr>
                    <w:rFonts w:ascii="Arial Narrow" w:hAnsi="Arial Narrow"/>
                    <w:sz w:val="10"/>
                    <w:szCs w:val="10"/>
                    <w:lang w:bidi="ta-IN"/>
                  </w:rPr>
                </w:pPr>
              </w:p>
              <w:p w:rsidR="005922EC" w:rsidRDefault="00645181"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B51066" w:rsidP="00F44E41">
                <w:pPr>
                  <w:pStyle w:val="Footer"/>
                  <w:spacing w:line="216" w:lineRule="auto"/>
                  <w:ind w:left="-108" w:right="-66"/>
                  <w:rPr>
                    <w:rFonts w:ascii="Arial Narrow" w:hAnsi="Arial Narrow"/>
                    <w:sz w:val="10"/>
                    <w:szCs w:val="10"/>
                    <w:lang w:bidi="ta-IN"/>
                  </w:rPr>
                </w:pPr>
              </w:p>
              <w:p w:rsidR="005922EC" w:rsidRPr="00E938AF" w:rsidRDefault="00645181"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4 quai General - Guisan, CH 1204</w:t>
                </w:r>
              </w:p>
            </w:tc>
            <w:tc>
              <w:tcPr>
                <w:tcW w:w="1528" w:type="dxa"/>
                <w:tcBorders>
                  <w:top w:val="nil"/>
                  <w:left w:val="nil"/>
                  <w:bottom w:val="nil"/>
                  <w:right w:val="nil"/>
                </w:tcBorders>
              </w:tcPr>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645181"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645181"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645181"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645181"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645181"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B51066"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645181"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645181"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B51066" w:rsidP="00F44E41">
                <w:pPr>
                  <w:pStyle w:val="Footer"/>
                  <w:spacing w:line="216" w:lineRule="auto"/>
                  <w:ind w:right="-108"/>
                  <w:rPr>
                    <w:rFonts w:cs="Arial"/>
                    <w:sz w:val="4"/>
                    <w:szCs w:val="4"/>
                  </w:rPr>
                </w:pPr>
              </w:p>
              <w:p w:rsidR="005922EC" w:rsidRPr="00CD53EE" w:rsidRDefault="00645181" w:rsidP="00F44E4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rsidR="005922EC" w:rsidRPr="00CD53EE" w:rsidRDefault="00B51066" w:rsidP="00F44E41">
                <w:pPr>
                  <w:pStyle w:val="Footer"/>
                  <w:rPr>
                    <w:rFonts w:cs="Arial"/>
                    <w:sz w:val="11"/>
                    <w:szCs w:val="11"/>
                  </w:rPr>
                </w:pPr>
              </w:p>
            </w:tc>
          </w:tr>
        </w:tbl>
        <w:p w:rsidR="005922EC" w:rsidRPr="00CD53EE" w:rsidRDefault="00B51066"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B51066" w:rsidP="00F44E41">
          <w:pPr>
            <w:pStyle w:val="Footer"/>
            <w:rPr>
              <w:rFonts w:cs="Arial"/>
              <w:b/>
              <w:bCs/>
              <w:sz w:val="11"/>
              <w:szCs w:val="11"/>
            </w:rPr>
          </w:pPr>
        </w:p>
      </w:tc>
    </w:tr>
  </w:tbl>
  <w:p w:rsidR="005922EC" w:rsidRDefault="00B51066"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645181"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B51066"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645181"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645181"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A4692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A4692C">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645181"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B51066"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645181"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645181"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A4692C">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A4692C">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B51066" w:rsidP="00F44E41">
    <w:pPr>
      <w:rPr>
        <w:sz w:val="2"/>
        <w:szCs w:val="2"/>
      </w:rPr>
    </w:pPr>
  </w:p>
  <w:p w:rsidR="005922EC" w:rsidRPr="00374688" w:rsidRDefault="00B51066"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Footer"/>
      <w:rPr>
        <w:sz w:val="2"/>
      </w:rPr>
    </w:pPr>
  </w:p>
  <w:p w:rsidR="005922EC" w:rsidRDefault="00B51066">
    <w:pPr>
      <w:pStyle w:val="Footer"/>
      <w:rPr>
        <w:sz w:val="2"/>
      </w:rPr>
    </w:pPr>
  </w:p>
  <w:p w:rsidR="005922EC" w:rsidRPr="000164F0" w:rsidRDefault="00B51066">
    <w:pPr>
      <w:pStyle w:val="Footer"/>
      <w:rPr>
        <w:sz w:val="8"/>
        <w:szCs w:val="8"/>
      </w:rPr>
    </w:pPr>
  </w:p>
  <w:p w:rsidR="005922EC" w:rsidRDefault="00645181">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B51066">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645181" w:rsidP="00F44E41">
                <w:pPr>
                  <w:pStyle w:val="Footer"/>
                  <w:spacing w:before="20" w:after="20"/>
                  <w:rPr>
                    <w:rFonts w:cs="Arial"/>
                    <w:b/>
                    <w:bCs/>
                    <w:sz w:val="14"/>
                    <w:szCs w:val="14"/>
                  </w:rPr>
                </w:pPr>
                <w:r w:rsidRPr="00473D9C">
                  <w:rPr>
                    <w:rFonts w:cs="Arial"/>
                    <w:b/>
                    <w:bCs/>
                    <w:sz w:val="14"/>
                    <w:szCs w:val="14"/>
                  </w:rPr>
                  <w:t>INA, d.d.</w:t>
                </w:r>
              </w:p>
              <w:p w:rsidR="005922EC" w:rsidRPr="00473D9C" w:rsidRDefault="00645181" w:rsidP="00F44E41">
                <w:pPr>
                  <w:pStyle w:val="Footer"/>
                  <w:rPr>
                    <w:rFonts w:cs="Arial"/>
                    <w:sz w:val="11"/>
                    <w:szCs w:val="11"/>
                  </w:rPr>
                </w:pPr>
                <w:r w:rsidRPr="00473D9C">
                  <w:rPr>
                    <w:rFonts w:cs="Arial"/>
                    <w:sz w:val="11"/>
                    <w:szCs w:val="11"/>
                  </w:rPr>
                  <w:t xml:space="preserve">Avenija Većeslava Holjevca 10 </w:t>
                </w:r>
              </w:p>
              <w:p w:rsidR="005922EC" w:rsidRPr="00473D9C" w:rsidRDefault="00645181" w:rsidP="00F44E41">
                <w:pPr>
                  <w:pStyle w:val="Footer"/>
                  <w:rPr>
                    <w:rFonts w:cs="Arial"/>
                    <w:sz w:val="11"/>
                    <w:szCs w:val="11"/>
                  </w:rPr>
                </w:pPr>
                <w:r w:rsidRPr="00473D9C">
                  <w:rPr>
                    <w:rFonts w:cs="Arial"/>
                    <w:sz w:val="11"/>
                    <w:szCs w:val="11"/>
                  </w:rPr>
                  <w:t>10 002 Zagreb    p.p. 555</w:t>
                </w:r>
              </w:p>
              <w:p w:rsidR="005922EC" w:rsidRPr="00473D9C" w:rsidRDefault="00645181"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645181" w:rsidP="00F44E41">
                <w:pPr>
                  <w:pStyle w:val="Footer"/>
                  <w:ind w:right="-72"/>
                  <w:rPr>
                    <w:rFonts w:cs="Arial"/>
                    <w:sz w:val="11"/>
                    <w:szCs w:val="11"/>
                  </w:rPr>
                </w:pPr>
                <w:r w:rsidRPr="00473D9C">
                  <w:rPr>
                    <w:rFonts w:cs="Arial"/>
                    <w:sz w:val="11"/>
                    <w:szCs w:val="11"/>
                  </w:rPr>
                  <w:t xml:space="preserve">Telefon - </w:t>
                </w:r>
                <w:r w:rsidRPr="00473D9C">
                  <w:rPr>
                    <w:rFonts w:cs="Arial"/>
                    <w:i/>
                    <w:iCs/>
                    <w:sz w:val="11"/>
                    <w:szCs w:val="11"/>
                  </w:rPr>
                  <w:t>Telephone</w:t>
                </w:r>
                <w:r w:rsidRPr="00473D9C">
                  <w:rPr>
                    <w:rFonts w:cs="Arial"/>
                    <w:sz w:val="11"/>
                    <w:szCs w:val="11"/>
                  </w:rPr>
                  <w:t xml:space="preserve"> +385(1)6450000</w:t>
                </w:r>
              </w:p>
              <w:p w:rsidR="005922EC" w:rsidRPr="00473D9C" w:rsidRDefault="00645181"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645181"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645181" w:rsidP="00F44E41">
                <w:pPr>
                  <w:pStyle w:val="Footer"/>
                  <w:ind w:left="-108"/>
                  <w:rPr>
                    <w:rFonts w:cs="Arial"/>
                    <w:sz w:val="10"/>
                    <w:szCs w:val="10"/>
                  </w:rPr>
                </w:pPr>
                <w:r w:rsidRPr="00473D9C">
                  <w:rPr>
                    <w:rFonts w:cs="Arial"/>
                    <w:sz w:val="10"/>
                    <w:szCs w:val="10"/>
                  </w:rPr>
                  <w:t xml:space="preserve">Adresa - </w:t>
                </w:r>
                <w:r w:rsidRPr="00473D9C">
                  <w:rPr>
                    <w:rFonts w:cs="Arial"/>
                    <w:i/>
                    <w:iCs/>
                    <w:sz w:val="10"/>
                    <w:szCs w:val="10"/>
                  </w:rPr>
                  <w:t>Address</w:t>
                </w:r>
              </w:p>
            </w:tc>
            <w:tc>
              <w:tcPr>
                <w:tcW w:w="1528" w:type="dxa"/>
                <w:tcBorders>
                  <w:top w:val="single" w:sz="4" w:space="0" w:color="auto"/>
                  <w:left w:val="nil"/>
                  <w:bottom w:val="nil"/>
                  <w:right w:val="nil"/>
                </w:tcBorders>
                <w:vAlign w:val="center"/>
              </w:tcPr>
              <w:p w:rsidR="005922EC" w:rsidRPr="00473D9C" w:rsidRDefault="00645181"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IBAN Number</w:t>
                </w:r>
              </w:p>
            </w:tc>
            <w:tc>
              <w:tcPr>
                <w:tcW w:w="2159" w:type="dxa"/>
                <w:vMerge w:val="restart"/>
                <w:tcBorders>
                  <w:top w:val="single" w:sz="4" w:space="0" w:color="auto"/>
                  <w:left w:val="nil"/>
                  <w:right w:val="nil"/>
                </w:tcBorders>
                <w:tcMar>
                  <w:left w:w="57" w:type="dxa"/>
                  <w:right w:w="57" w:type="dxa"/>
                </w:tcMar>
              </w:tcPr>
              <w:p w:rsidR="005922EC" w:rsidRPr="00473D9C" w:rsidRDefault="00645181"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645181"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645181"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645181"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645181"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645181"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645181"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645181"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645181"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645181"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B51066" w:rsidP="00F44E41">
                <w:pPr>
                  <w:pStyle w:val="Footer"/>
                  <w:rPr>
                    <w:rFonts w:cs="Arial"/>
                    <w:b/>
                    <w:bCs/>
                    <w:sz w:val="11"/>
                    <w:szCs w:val="11"/>
                  </w:rPr>
                </w:pPr>
              </w:p>
            </w:tc>
            <w:tc>
              <w:tcPr>
                <w:tcW w:w="1554" w:type="dxa"/>
                <w:tcBorders>
                  <w:top w:val="nil"/>
                  <w:left w:val="nil"/>
                  <w:bottom w:val="nil"/>
                  <w:right w:val="nil"/>
                </w:tcBorders>
              </w:tcPr>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Raiffeisenbank Austria d.d. </w:t>
                </w:r>
              </w:p>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645181"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645181" w:rsidP="00F44E41">
                <w:pPr>
                  <w:pStyle w:val="Footer"/>
                  <w:spacing w:line="216" w:lineRule="auto"/>
                  <w:ind w:left="-108"/>
                  <w:rPr>
                    <w:rFonts w:ascii="Arial Narrow" w:hAnsi="Arial Narrow"/>
                    <w:sz w:val="10"/>
                    <w:szCs w:val="10"/>
                  </w:rPr>
                </w:pPr>
                <w:r w:rsidRPr="00473D9C">
                  <w:rPr>
                    <w:rFonts w:ascii="Arial Narrow" w:hAnsi="Arial Narrow"/>
                    <w:sz w:val="10"/>
                    <w:szCs w:val="10"/>
                  </w:rPr>
                  <w:t xml:space="preserve">Sberbank d.d. </w:t>
                </w:r>
              </w:p>
              <w:p w:rsidR="005922EC" w:rsidRPr="00473D9C" w:rsidRDefault="00645181"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645181"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UniCredit Bank Austria AG</w:t>
                </w:r>
              </w:p>
              <w:p w:rsidR="005922EC" w:rsidRPr="00473D9C" w:rsidRDefault="00B51066" w:rsidP="00F44E41">
                <w:pPr>
                  <w:pStyle w:val="Footer"/>
                  <w:spacing w:line="216" w:lineRule="auto"/>
                  <w:ind w:left="-108"/>
                  <w:rPr>
                    <w:rFonts w:ascii="Arial Narrow" w:hAnsi="Arial Narrow"/>
                    <w:sz w:val="10"/>
                    <w:szCs w:val="10"/>
                    <w:lang w:bidi="ta-IN"/>
                  </w:rPr>
                </w:pPr>
              </w:p>
              <w:p w:rsidR="005922EC" w:rsidRPr="00473D9C" w:rsidRDefault="00645181"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B51066" w:rsidP="00F44E41">
                <w:pPr>
                  <w:pStyle w:val="Footer"/>
                  <w:spacing w:line="216" w:lineRule="auto"/>
                  <w:ind w:left="-108"/>
                  <w:rPr>
                    <w:rFonts w:ascii="Arial Narrow" w:hAnsi="Arial Narrow"/>
                    <w:sz w:val="10"/>
                    <w:szCs w:val="10"/>
                    <w:lang w:bidi="ta-IN"/>
                  </w:rPr>
                </w:pPr>
              </w:p>
              <w:p w:rsidR="005922EC" w:rsidRPr="00473D9C" w:rsidRDefault="00645181"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B51066" w:rsidP="00F44E41">
                <w:pPr>
                  <w:pStyle w:val="Footer"/>
                  <w:spacing w:line="216" w:lineRule="auto"/>
                  <w:ind w:left="-108"/>
                  <w:rPr>
                    <w:rFonts w:ascii="Arial Narrow" w:hAnsi="Arial Narrow"/>
                    <w:sz w:val="10"/>
                    <w:szCs w:val="10"/>
                    <w:lang w:bidi="ta-IN"/>
                  </w:rPr>
                </w:pPr>
              </w:p>
              <w:p w:rsidR="005922EC" w:rsidRPr="00473D9C" w:rsidRDefault="00645181"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645181"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Jurišićeva 4, 10000 Zagreb</w:t>
                </w:r>
              </w:p>
              <w:p w:rsidR="005922EC" w:rsidRPr="00473D9C" w:rsidRDefault="00645181"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645181"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Avenue Pierre Mendes 30, 75013 Paris</w:t>
                </w:r>
              </w:p>
              <w:p w:rsidR="005922EC" w:rsidRPr="00473D9C" w:rsidRDefault="00645181"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Schottengasse 6-8, A-1010 Wien</w:t>
                </w:r>
              </w:p>
              <w:p w:rsidR="005922EC" w:rsidRPr="00473D9C" w:rsidRDefault="00B51066" w:rsidP="00F44E41">
                <w:pPr>
                  <w:pStyle w:val="Footer"/>
                  <w:spacing w:line="216" w:lineRule="auto"/>
                  <w:ind w:left="-108" w:right="-66"/>
                  <w:rPr>
                    <w:rFonts w:ascii="Arial Narrow" w:hAnsi="Arial Narrow"/>
                    <w:sz w:val="10"/>
                    <w:szCs w:val="10"/>
                    <w:lang w:bidi="ta-IN"/>
                  </w:rPr>
                </w:pPr>
              </w:p>
              <w:p w:rsidR="005922EC" w:rsidRPr="00473D9C" w:rsidRDefault="00645181"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Place de Hollande 2, Case Postale 5060 1211 Geneve 11</w:t>
                </w:r>
              </w:p>
              <w:p w:rsidR="005922EC" w:rsidRPr="00473D9C" w:rsidRDefault="00B51066" w:rsidP="00F44E41">
                <w:pPr>
                  <w:pStyle w:val="Footer"/>
                  <w:spacing w:line="216" w:lineRule="auto"/>
                  <w:ind w:left="-108" w:right="-66"/>
                  <w:rPr>
                    <w:rFonts w:ascii="Arial Narrow" w:hAnsi="Arial Narrow"/>
                    <w:sz w:val="10"/>
                    <w:szCs w:val="10"/>
                    <w:lang w:bidi="ta-IN"/>
                  </w:rPr>
                </w:pPr>
              </w:p>
              <w:p w:rsidR="005922EC" w:rsidRPr="00473D9C" w:rsidRDefault="00645181"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B51066" w:rsidP="00F44E41">
                <w:pPr>
                  <w:pStyle w:val="Footer"/>
                  <w:spacing w:line="216" w:lineRule="auto"/>
                  <w:ind w:left="-108" w:right="-66"/>
                  <w:rPr>
                    <w:rFonts w:ascii="Arial Narrow" w:hAnsi="Arial Narrow"/>
                    <w:sz w:val="10"/>
                    <w:szCs w:val="10"/>
                    <w:lang w:bidi="ta-IN"/>
                  </w:rPr>
                </w:pPr>
              </w:p>
              <w:p w:rsidR="005922EC" w:rsidRPr="00473D9C" w:rsidRDefault="00645181"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4 quai General - Guisan, CH 1204</w:t>
                </w:r>
              </w:p>
            </w:tc>
            <w:tc>
              <w:tcPr>
                <w:tcW w:w="1528" w:type="dxa"/>
                <w:tcBorders>
                  <w:top w:val="nil"/>
                  <w:left w:val="nil"/>
                  <w:bottom w:val="nil"/>
                  <w:right w:val="nil"/>
                </w:tcBorders>
              </w:tcPr>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645181"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645181"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645181"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B51066"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645181"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645181"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9B3D8A">
                  <w:rPr>
                    <w:sz w:val="11"/>
                    <w:szCs w:val="11"/>
                  </w:rPr>
                  <w:t>Ivan</w:t>
                </w:r>
                <w:r w:rsidRPr="002762CD">
                  <w:rPr>
                    <w:sz w:val="11"/>
                    <w:szCs w:val="11"/>
                  </w:rPr>
                  <w:t xml:space="preserve"> </w:t>
                </w:r>
                <w:r w:rsidRPr="009B3D8A">
                  <w:rPr>
                    <w:sz w:val="11"/>
                    <w:szCs w:val="11"/>
                  </w:rPr>
                  <w:t>Kre</w:t>
                </w:r>
                <w:r w:rsidRPr="002762CD">
                  <w:rPr>
                    <w:sz w:val="11"/>
                    <w:szCs w:val="11"/>
                  </w:rPr>
                  <w:t>š</w:t>
                </w:r>
                <w:r w:rsidRPr="009B3D8A">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B51066" w:rsidP="00F44E41">
                <w:pPr>
                  <w:pStyle w:val="Footer"/>
                  <w:spacing w:line="216" w:lineRule="auto"/>
                  <w:ind w:right="-108"/>
                  <w:rPr>
                    <w:rFonts w:cs="Arial"/>
                    <w:sz w:val="4"/>
                    <w:szCs w:val="4"/>
                  </w:rPr>
                </w:pPr>
              </w:p>
              <w:p w:rsidR="005922EC" w:rsidRPr="00473D9C" w:rsidRDefault="00645181"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B51066" w:rsidP="00F44E41">
                <w:pPr>
                  <w:pStyle w:val="Footer"/>
                  <w:rPr>
                    <w:rFonts w:cs="Arial"/>
                    <w:sz w:val="11"/>
                    <w:szCs w:val="11"/>
                  </w:rPr>
                </w:pPr>
              </w:p>
            </w:tc>
          </w:tr>
        </w:tbl>
        <w:p w:rsidR="005922EC" w:rsidRPr="00473D9C" w:rsidRDefault="00B51066"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B51066" w:rsidP="00F44E41">
          <w:pPr>
            <w:pStyle w:val="Footer"/>
            <w:rPr>
              <w:rFonts w:cs="Arial"/>
              <w:b/>
              <w:bCs/>
              <w:sz w:val="11"/>
              <w:szCs w:val="11"/>
            </w:rPr>
          </w:pPr>
        </w:p>
      </w:tc>
    </w:tr>
  </w:tbl>
  <w:p w:rsidR="005922EC" w:rsidRDefault="00B51066"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Footer"/>
      <w:rPr>
        <w:sz w:val="2"/>
      </w:rPr>
    </w:pPr>
  </w:p>
  <w:p w:rsidR="005922EC" w:rsidRDefault="00645181">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740D0675" wp14:editId="32BDA373">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0F3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B51066">
    <w:pPr>
      <w:pStyle w:val="Footer"/>
      <w:rPr>
        <w:sz w:val="8"/>
        <w:szCs w:val="8"/>
      </w:rPr>
    </w:pPr>
  </w:p>
  <w:p w:rsidR="005922EC" w:rsidRDefault="00645181">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F6918">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DF6918">
      <w:rPr>
        <w:rStyle w:val="PageNumber"/>
        <w:noProof/>
        <w:sz w:val="18"/>
      </w:rPr>
      <w:t>2</w:t>
    </w:r>
    <w:r>
      <w:rPr>
        <w:rStyle w:val="PageNumber"/>
        <w:sz w:val="18"/>
      </w:rPr>
      <w:fldChar w:fldCharType="end"/>
    </w:r>
  </w:p>
  <w:p w:rsidR="005922EC" w:rsidRDefault="00B51066">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45181">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303450D0" wp14:editId="620D13D4">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966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B5106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645181">
          <w:pPr>
            <w:pStyle w:val="Footer"/>
            <w:rPr>
              <w:rFonts w:cs="Arial"/>
              <w:b/>
              <w:bCs/>
              <w:sz w:val="12"/>
            </w:rPr>
          </w:pPr>
          <w:r>
            <w:rPr>
              <w:rFonts w:cs="Arial"/>
              <w:b/>
              <w:bCs/>
              <w:sz w:val="12"/>
            </w:rPr>
            <w:t>INA, d.d.</w:t>
          </w:r>
        </w:p>
        <w:p w:rsidR="005922EC" w:rsidRDefault="00645181">
          <w:pPr>
            <w:pStyle w:val="Footer"/>
            <w:rPr>
              <w:rFonts w:cs="Arial"/>
              <w:sz w:val="12"/>
            </w:rPr>
          </w:pPr>
          <w:r>
            <w:rPr>
              <w:rFonts w:cs="Arial"/>
              <w:sz w:val="12"/>
            </w:rPr>
            <w:t xml:space="preserve">Avenija Većeslava Holjevca 10 </w:t>
          </w:r>
        </w:p>
        <w:p w:rsidR="005922EC" w:rsidRDefault="00645181">
          <w:pPr>
            <w:pStyle w:val="Footer"/>
            <w:rPr>
              <w:rFonts w:cs="Arial"/>
              <w:sz w:val="12"/>
            </w:rPr>
          </w:pPr>
          <w:r>
            <w:rPr>
              <w:rFonts w:cs="Arial"/>
              <w:sz w:val="12"/>
            </w:rPr>
            <w:t>10 002 Zagreb           p.p. 555</w:t>
          </w:r>
        </w:p>
        <w:p w:rsidR="005922EC" w:rsidRDefault="00645181">
          <w:pPr>
            <w:pStyle w:val="Footer"/>
            <w:rPr>
              <w:rFonts w:cs="Arial"/>
              <w:sz w:val="12"/>
            </w:rPr>
          </w:pPr>
          <w:r>
            <w:rPr>
              <w:rFonts w:cs="Arial"/>
              <w:sz w:val="12"/>
            </w:rPr>
            <w:t xml:space="preserve">Hrvatska - </w:t>
          </w:r>
          <w:r>
            <w:rPr>
              <w:rFonts w:cs="Arial"/>
              <w:i/>
              <w:iCs/>
              <w:sz w:val="12"/>
            </w:rPr>
            <w:t>Croatia</w:t>
          </w:r>
        </w:p>
        <w:p w:rsidR="005922EC" w:rsidRDefault="00645181">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5922EC" w:rsidRDefault="00645181">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645181">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645181">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5922EC" w:rsidRDefault="00645181">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5922EC" w:rsidRDefault="00645181">
          <w:pPr>
            <w:pStyle w:val="Footer"/>
            <w:rPr>
              <w:rFonts w:cs="Arial"/>
              <w:sz w:val="12"/>
            </w:rPr>
          </w:pPr>
          <w:r>
            <w:rPr>
              <w:rFonts w:cs="Arial"/>
              <w:sz w:val="12"/>
            </w:rPr>
            <w:t>Trgovački sud u Zagrebu</w:t>
          </w:r>
        </w:p>
        <w:p w:rsidR="005922EC" w:rsidRDefault="00645181">
          <w:pPr>
            <w:pStyle w:val="Footer"/>
            <w:rPr>
              <w:rFonts w:cs="Arial"/>
              <w:i/>
              <w:iCs/>
              <w:sz w:val="12"/>
            </w:rPr>
          </w:pPr>
          <w:r>
            <w:rPr>
              <w:rFonts w:cs="Arial"/>
              <w:i/>
              <w:iCs/>
              <w:sz w:val="12"/>
            </w:rPr>
            <w:t>Commercial Court</w:t>
          </w:r>
        </w:p>
        <w:p w:rsidR="005922EC" w:rsidRDefault="00645181">
          <w:pPr>
            <w:pStyle w:val="Footer"/>
            <w:rPr>
              <w:rFonts w:cs="Arial"/>
              <w:sz w:val="12"/>
            </w:rPr>
          </w:pPr>
          <w:r>
            <w:rPr>
              <w:rFonts w:cs="Arial"/>
              <w:sz w:val="12"/>
            </w:rPr>
            <w:t>MBS: 080000604</w:t>
          </w:r>
        </w:p>
        <w:p w:rsidR="005922EC" w:rsidRDefault="00645181">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5922EC" w:rsidRDefault="00645181">
          <w:pPr>
            <w:pStyle w:val="Footer"/>
            <w:rPr>
              <w:rFonts w:cs="Arial"/>
              <w:sz w:val="12"/>
            </w:rPr>
          </w:pPr>
          <w:r>
            <w:rPr>
              <w:rFonts w:cs="Arial"/>
              <w:sz w:val="12"/>
            </w:rPr>
            <w:t xml:space="preserve">9.000.000.000 Kn </w:t>
          </w:r>
        </w:p>
        <w:p w:rsidR="005922EC" w:rsidRDefault="00645181">
          <w:pPr>
            <w:pStyle w:val="Footer"/>
            <w:rPr>
              <w:rFonts w:cs="Arial"/>
              <w:sz w:val="12"/>
            </w:rPr>
          </w:pPr>
          <w:r>
            <w:rPr>
              <w:rFonts w:cs="Arial"/>
              <w:sz w:val="12"/>
            </w:rPr>
            <w:t>Broj izdanih dionica / Nominalna vrijednost</w:t>
          </w:r>
        </w:p>
        <w:p w:rsidR="005922EC" w:rsidRDefault="00645181">
          <w:pPr>
            <w:pStyle w:val="Footer"/>
            <w:rPr>
              <w:rFonts w:cs="Arial"/>
              <w:i/>
              <w:iCs/>
              <w:sz w:val="12"/>
            </w:rPr>
          </w:pPr>
          <w:r>
            <w:rPr>
              <w:rFonts w:cs="Arial"/>
              <w:i/>
              <w:iCs/>
              <w:sz w:val="12"/>
            </w:rPr>
            <w:t>No. of issued shares / Nominal value</w:t>
          </w:r>
        </w:p>
        <w:p w:rsidR="005922EC" w:rsidRDefault="00645181">
          <w:pPr>
            <w:pStyle w:val="Footer"/>
            <w:rPr>
              <w:rFonts w:cs="Arial"/>
              <w:sz w:val="12"/>
            </w:rPr>
          </w:pPr>
          <w:r>
            <w:rPr>
              <w:rFonts w:cs="Arial"/>
              <w:sz w:val="12"/>
            </w:rPr>
            <w:t>10.000.000 / 900,00 Kn</w:t>
          </w:r>
        </w:p>
        <w:p w:rsidR="005922EC" w:rsidRDefault="00645181">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B51066">
          <w:pPr>
            <w:pStyle w:val="Footer"/>
            <w:rPr>
              <w:rFonts w:cs="Arial"/>
              <w:b/>
              <w:bCs/>
              <w:sz w:val="12"/>
            </w:rPr>
          </w:pPr>
        </w:p>
      </w:tc>
      <w:tc>
        <w:tcPr>
          <w:tcW w:w="1526" w:type="dxa"/>
          <w:tcBorders>
            <w:top w:val="nil"/>
            <w:left w:val="nil"/>
            <w:bottom w:val="nil"/>
            <w:right w:val="nil"/>
          </w:tcBorders>
        </w:tcPr>
        <w:p w:rsidR="005922EC" w:rsidRDefault="00645181">
          <w:pPr>
            <w:pStyle w:val="Footer"/>
            <w:spacing w:line="216" w:lineRule="auto"/>
            <w:ind w:left="-108"/>
            <w:rPr>
              <w:rFonts w:cs="Arial"/>
              <w:sz w:val="12"/>
            </w:rPr>
          </w:pPr>
          <w:r>
            <w:rPr>
              <w:rFonts w:cs="Arial"/>
              <w:sz w:val="12"/>
            </w:rPr>
            <w:t>Privredna banka Zagreb</w:t>
          </w:r>
        </w:p>
        <w:p w:rsidR="005922EC" w:rsidRDefault="00645181">
          <w:pPr>
            <w:pStyle w:val="Footer"/>
            <w:spacing w:line="216" w:lineRule="auto"/>
            <w:ind w:left="-108"/>
            <w:rPr>
              <w:rFonts w:cs="Arial"/>
              <w:sz w:val="12"/>
            </w:rPr>
          </w:pPr>
          <w:r>
            <w:rPr>
              <w:rFonts w:cs="Arial"/>
              <w:sz w:val="12"/>
            </w:rPr>
            <w:t>Raiffeisen banka</w:t>
          </w:r>
        </w:p>
        <w:p w:rsidR="005922EC" w:rsidRDefault="00645181">
          <w:pPr>
            <w:pStyle w:val="Footer"/>
            <w:spacing w:line="216" w:lineRule="auto"/>
            <w:ind w:left="-108"/>
            <w:rPr>
              <w:rFonts w:cs="Arial"/>
              <w:sz w:val="12"/>
            </w:rPr>
          </w:pPr>
          <w:r>
            <w:rPr>
              <w:rFonts w:cs="Arial"/>
              <w:sz w:val="12"/>
            </w:rPr>
            <w:t>Zagrebačka banka Zagreb</w:t>
          </w:r>
        </w:p>
        <w:p w:rsidR="005922EC" w:rsidRDefault="00645181">
          <w:pPr>
            <w:pStyle w:val="Footer"/>
            <w:spacing w:line="216" w:lineRule="auto"/>
            <w:ind w:left="-108"/>
            <w:rPr>
              <w:rFonts w:cs="Arial"/>
              <w:sz w:val="12"/>
            </w:rPr>
          </w:pPr>
          <w:r>
            <w:rPr>
              <w:rFonts w:cs="Arial"/>
              <w:sz w:val="12"/>
            </w:rPr>
            <w:t>Dresdner bank</w:t>
          </w:r>
        </w:p>
        <w:p w:rsidR="005922EC" w:rsidRDefault="00645181">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645181">
          <w:pPr>
            <w:pStyle w:val="Footer"/>
            <w:spacing w:line="216" w:lineRule="auto"/>
            <w:ind w:left="-108"/>
            <w:rPr>
              <w:rFonts w:cs="Arial"/>
              <w:sz w:val="12"/>
            </w:rPr>
          </w:pPr>
          <w:r>
            <w:rPr>
              <w:rFonts w:cs="Arial"/>
              <w:sz w:val="12"/>
            </w:rPr>
            <w:t>Račkoga 6, 10000 Zagreb</w:t>
          </w:r>
        </w:p>
        <w:p w:rsidR="005922EC" w:rsidRDefault="00645181">
          <w:pPr>
            <w:pStyle w:val="Footer"/>
            <w:spacing w:line="216" w:lineRule="auto"/>
            <w:ind w:left="-108"/>
            <w:rPr>
              <w:rFonts w:cs="Arial"/>
              <w:sz w:val="12"/>
            </w:rPr>
          </w:pPr>
          <w:r>
            <w:rPr>
              <w:rFonts w:cs="Arial"/>
              <w:sz w:val="12"/>
            </w:rPr>
            <w:t>Petrinjska 59, 10000 Zagreb</w:t>
          </w:r>
        </w:p>
        <w:p w:rsidR="005922EC" w:rsidRDefault="00645181">
          <w:pPr>
            <w:pStyle w:val="Footer"/>
            <w:spacing w:line="216" w:lineRule="auto"/>
            <w:ind w:left="-108"/>
            <w:rPr>
              <w:rFonts w:cs="Arial"/>
              <w:sz w:val="12"/>
            </w:rPr>
          </w:pPr>
          <w:r>
            <w:rPr>
              <w:rFonts w:cs="Arial"/>
              <w:sz w:val="12"/>
            </w:rPr>
            <w:t>Paromlinska 2, 10000 Zagreb</w:t>
          </w:r>
        </w:p>
        <w:p w:rsidR="005922EC" w:rsidRDefault="00645181">
          <w:pPr>
            <w:pStyle w:val="Footer"/>
            <w:spacing w:line="216" w:lineRule="auto"/>
            <w:ind w:left="-108"/>
            <w:rPr>
              <w:rFonts w:cs="Arial"/>
              <w:sz w:val="12"/>
            </w:rPr>
          </w:pPr>
          <w:r>
            <w:rPr>
              <w:rFonts w:cs="Arial"/>
              <w:sz w:val="12"/>
            </w:rPr>
            <w:t>Gajeva 1, 10000 Zagreb</w:t>
          </w:r>
        </w:p>
        <w:p w:rsidR="005922EC" w:rsidRDefault="00645181">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645181">
          <w:pPr>
            <w:pStyle w:val="Footer"/>
            <w:spacing w:line="216" w:lineRule="auto"/>
            <w:ind w:left="-108" w:right="-108"/>
            <w:rPr>
              <w:rFonts w:cs="Arial"/>
              <w:sz w:val="12"/>
            </w:rPr>
          </w:pPr>
          <w:r>
            <w:rPr>
              <w:rFonts w:cs="Arial"/>
              <w:sz w:val="12"/>
            </w:rPr>
            <w:t>2340009-1100022902</w:t>
          </w:r>
        </w:p>
        <w:p w:rsidR="005922EC" w:rsidRDefault="00645181">
          <w:pPr>
            <w:pStyle w:val="Footer"/>
            <w:spacing w:line="216" w:lineRule="auto"/>
            <w:ind w:left="-108" w:right="-108"/>
            <w:rPr>
              <w:rFonts w:cs="Arial"/>
              <w:sz w:val="12"/>
            </w:rPr>
          </w:pPr>
          <w:r>
            <w:rPr>
              <w:rFonts w:cs="Arial"/>
              <w:sz w:val="12"/>
            </w:rPr>
            <w:t>2484008-1100619483</w:t>
          </w:r>
        </w:p>
        <w:p w:rsidR="005922EC" w:rsidRDefault="00645181">
          <w:pPr>
            <w:pStyle w:val="Footer"/>
            <w:spacing w:line="216" w:lineRule="auto"/>
            <w:ind w:left="-108" w:right="-108"/>
            <w:rPr>
              <w:rFonts w:cs="Arial"/>
              <w:sz w:val="12"/>
            </w:rPr>
          </w:pPr>
          <w:r>
            <w:rPr>
              <w:rFonts w:cs="Arial"/>
              <w:sz w:val="12"/>
            </w:rPr>
            <w:t>2360000-1101303595</w:t>
          </w:r>
        </w:p>
        <w:p w:rsidR="005922EC" w:rsidRDefault="00645181">
          <w:pPr>
            <w:pStyle w:val="Footer"/>
            <w:spacing w:line="216" w:lineRule="auto"/>
            <w:ind w:left="-108" w:right="-108"/>
            <w:rPr>
              <w:rFonts w:cs="Arial"/>
              <w:sz w:val="12"/>
            </w:rPr>
          </w:pPr>
          <w:r>
            <w:rPr>
              <w:rFonts w:cs="Arial"/>
              <w:sz w:val="12"/>
            </w:rPr>
            <w:t>2504000-1120002224</w:t>
          </w:r>
        </w:p>
        <w:p w:rsidR="005922EC" w:rsidRDefault="00645181">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B51066">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645181">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5922EC" w:rsidRDefault="00645181">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5922EC" w:rsidRDefault="00B51066">
          <w:pPr>
            <w:pStyle w:val="Footer"/>
            <w:spacing w:line="216" w:lineRule="auto"/>
            <w:ind w:right="-108"/>
            <w:rPr>
              <w:rFonts w:cs="Arial"/>
              <w:sz w:val="2"/>
            </w:rPr>
          </w:pPr>
        </w:p>
        <w:p w:rsidR="005922EC" w:rsidRDefault="00B51066">
          <w:pPr>
            <w:pStyle w:val="Footer"/>
            <w:spacing w:line="216" w:lineRule="auto"/>
            <w:ind w:right="-108"/>
            <w:rPr>
              <w:rFonts w:cs="Arial"/>
              <w:sz w:val="2"/>
            </w:rPr>
          </w:pPr>
        </w:p>
        <w:p w:rsidR="005922EC" w:rsidRDefault="00645181">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5922EC" w:rsidRDefault="00B51066">
          <w:pPr>
            <w:pStyle w:val="Footer"/>
            <w:rPr>
              <w:rFonts w:cs="Arial"/>
              <w:sz w:val="12"/>
            </w:rPr>
          </w:pPr>
        </w:p>
      </w:tc>
    </w:tr>
  </w:tbl>
  <w:p w:rsidR="005922EC" w:rsidRPr="00BE07FB" w:rsidRDefault="00B51066">
    <w:pPr>
      <w:rPr>
        <w:sz w:val="2"/>
        <w:szCs w:val="2"/>
      </w:rPr>
    </w:pPr>
  </w:p>
  <w:p w:rsidR="005922EC" w:rsidRPr="00B976E5" w:rsidRDefault="00B51066"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Footer"/>
      <w:rPr>
        <w:sz w:val="2"/>
      </w:rPr>
    </w:pPr>
  </w:p>
  <w:p w:rsidR="005922EC" w:rsidRDefault="00645181">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0A734200" wp14:editId="02B7AEC1">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F12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B51066">
    <w:pPr>
      <w:pStyle w:val="Footer"/>
      <w:rPr>
        <w:sz w:val="8"/>
        <w:szCs w:val="8"/>
      </w:rPr>
    </w:pPr>
  </w:p>
  <w:p w:rsidR="005922EC" w:rsidRDefault="00645181">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A4692C">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A4692C">
      <w:rPr>
        <w:rStyle w:val="PageNumber"/>
        <w:noProof/>
        <w:sz w:val="18"/>
      </w:rPr>
      <w:t>2</w:t>
    </w:r>
    <w:r>
      <w:rPr>
        <w:rStyle w:val="PageNumber"/>
        <w:sz w:val="18"/>
      </w:rPr>
      <w:fldChar w:fldCharType="end"/>
    </w:r>
  </w:p>
  <w:p w:rsidR="005922EC" w:rsidRDefault="00B51066">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66" w:rsidRDefault="00B51066">
      <w:r>
        <w:separator/>
      </w:r>
    </w:p>
  </w:footnote>
  <w:footnote w:type="continuationSeparator" w:id="0">
    <w:p w:rsidR="00B51066" w:rsidRDefault="00B5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pPr>
      <w:pStyle w:val="Header"/>
      <w:jc w:val="right"/>
      <w:rPr>
        <w:sz w:val="2"/>
      </w:rPr>
    </w:pPr>
    <w:r>
      <w:rPr>
        <w:noProof/>
        <w:sz w:val="2"/>
        <w:lang w:eastAsia="hr-HR"/>
      </w:rPr>
      <w:drawing>
        <wp:anchor distT="0" distB="0" distL="114300" distR="114300" simplePos="0" relativeHeight="251659264" behindDoc="0" locked="0" layoutInCell="1" allowOverlap="1" wp14:anchorId="5EA467E8" wp14:editId="64330526">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B51066">
    <w:pPr>
      <w:pStyle w:val="Header"/>
      <w:jc w:val="right"/>
      <w:rPr>
        <w:sz w:val="2"/>
      </w:rPr>
    </w:pPr>
  </w:p>
  <w:p w:rsidR="005922EC" w:rsidRDefault="00B51066">
    <w:pPr>
      <w:pStyle w:val="Header"/>
      <w:jc w:val="right"/>
      <w:rPr>
        <w:sz w:val="2"/>
      </w:rPr>
    </w:pPr>
  </w:p>
  <w:p w:rsidR="005922EC" w:rsidRDefault="00B5106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pPr>
      <w:pStyle w:val="Header"/>
      <w:jc w:val="right"/>
      <w:rPr>
        <w:sz w:val="2"/>
      </w:rPr>
    </w:pPr>
    <w:r>
      <w:rPr>
        <w:noProof/>
        <w:sz w:val="2"/>
        <w:lang w:eastAsia="hr-HR"/>
      </w:rPr>
      <w:drawing>
        <wp:anchor distT="0" distB="0" distL="114300" distR="114300" simplePos="0" relativeHeight="251660288" behindDoc="0" locked="0" layoutInCell="1" allowOverlap="1" wp14:anchorId="145962CA" wp14:editId="442FAD02">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B51066">
    <w:pPr>
      <w:pStyle w:val="Header"/>
      <w:jc w:val="right"/>
      <w:rPr>
        <w:sz w:val="2"/>
      </w:rPr>
    </w:pPr>
  </w:p>
  <w:p w:rsidR="005922EC" w:rsidRDefault="00B51066">
    <w:pPr>
      <w:pStyle w:val="Header"/>
      <w:jc w:val="right"/>
      <w:rPr>
        <w:sz w:val="2"/>
      </w:rPr>
    </w:pPr>
  </w:p>
  <w:p w:rsidR="005922EC" w:rsidRPr="0056798D" w:rsidRDefault="00B51066"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45181">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Header"/>
      <w:jc w:val="right"/>
      <w:rPr>
        <w:sz w:val="2"/>
      </w:rPr>
    </w:pPr>
  </w:p>
  <w:p w:rsidR="005922EC" w:rsidRDefault="00B51066">
    <w:pPr>
      <w:pStyle w:val="Header"/>
      <w:jc w:val="right"/>
      <w:rPr>
        <w:sz w:val="2"/>
      </w:rPr>
    </w:pPr>
  </w:p>
  <w:p w:rsidR="005922EC" w:rsidRDefault="00B51066">
    <w:pPr>
      <w:pStyle w:val="Header"/>
      <w:jc w:val="right"/>
      <w:rPr>
        <w:sz w:val="2"/>
      </w:rPr>
    </w:pPr>
  </w:p>
  <w:p w:rsidR="005922EC" w:rsidRDefault="00B5106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B51066">
    <w:pPr>
      <w:pStyle w:val="Header"/>
      <w:jc w:val="right"/>
      <w:rPr>
        <w:sz w:val="2"/>
      </w:rPr>
    </w:pPr>
  </w:p>
  <w:p w:rsidR="005922EC" w:rsidRDefault="00B51066">
    <w:pPr>
      <w:pStyle w:val="Header"/>
      <w:jc w:val="right"/>
      <w:rPr>
        <w:sz w:val="2"/>
      </w:rPr>
    </w:pPr>
  </w:p>
  <w:p w:rsidR="005922EC" w:rsidRDefault="00B51066">
    <w:pPr>
      <w:pStyle w:val="Header"/>
      <w:jc w:val="right"/>
      <w:rPr>
        <w:sz w:val="2"/>
      </w:rPr>
    </w:pPr>
  </w:p>
  <w:p w:rsidR="005922EC" w:rsidRDefault="00B5106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5"/>
    <w:rsid w:val="00001599"/>
    <w:rsid w:val="000051E2"/>
    <w:rsid w:val="00010BD9"/>
    <w:rsid w:val="000145A6"/>
    <w:rsid w:val="00015C4D"/>
    <w:rsid w:val="0002028B"/>
    <w:rsid w:val="00021ECE"/>
    <w:rsid w:val="00022EA9"/>
    <w:rsid w:val="00032BE9"/>
    <w:rsid w:val="000373E9"/>
    <w:rsid w:val="00044D71"/>
    <w:rsid w:val="000462CF"/>
    <w:rsid w:val="000469FD"/>
    <w:rsid w:val="00054D7C"/>
    <w:rsid w:val="00060645"/>
    <w:rsid w:val="00061E08"/>
    <w:rsid w:val="00065832"/>
    <w:rsid w:val="000661C1"/>
    <w:rsid w:val="00066206"/>
    <w:rsid w:val="0007008C"/>
    <w:rsid w:val="000702DD"/>
    <w:rsid w:val="000722AB"/>
    <w:rsid w:val="000832EB"/>
    <w:rsid w:val="00090924"/>
    <w:rsid w:val="00094137"/>
    <w:rsid w:val="000A0BFF"/>
    <w:rsid w:val="000A2C32"/>
    <w:rsid w:val="000A3B0D"/>
    <w:rsid w:val="000A7751"/>
    <w:rsid w:val="000B01E2"/>
    <w:rsid w:val="000B085A"/>
    <w:rsid w:val="000B24A9"/>
    <w:rsid w:val="000B327E"/>
    <w:rsid w:val="000B4574"/>
    <w:rsid w:val="000B6944"/>
    <w:rsid w:val="000B7A64"/>
    <w:rsid w:val="000C0E1E"/>
    <w:rsid w:val="000C1D41"/>
    <w:rsid w:val="000C5C97"/>
    <w:rsid w:val="000C6661"/>
    <w:rsid w:val="000C6C79"/>
    <w:rsid w:val="000D4358"/>
    <w:rsid w:val="000D5FAE"/>
    <w:rsid w:val="000D6D36"/>
    <w:rsid w:val="000D7035"/>
    <w:rsid w:val="000E49A0"/>
    <w:rsid w:val="000E4E20"/>
    <w:rsid w:val="000F0F6A"/>
    <w:rsid w:val="000F1309"/>
    <w:rsid w:val="000F3B1C"/>
    <w:rsid w:val="000F5957"/>
    <w:rsid w:val="00100EF1"/>
    <w:rsid w:val="00107AF9"/>
    <w:rsid w:val="00113F76"/>
    <w:rsid w:val="0012099C"/>
    <w:rsid w:val="001271E6"/>
    <w:rsid w:val="001401E2"/>
    <w:rsid w:val="00142A5F"/>
    <w:rsid w:val="00145E00"/>
    <w:rsid w:val="00146DA5"/>
    <w:rsid w:val="0015281C"/>
    <w:rsid w:val="00152DFE"/>
    <w:rsid w:val="001534C8"/>
    <w:rsid w:val="001566F3"/>
    <w:rsid w:val="00160D04"/>
    <w:rsid w:val="00163305"/>
    <w:rsid w:val="001637B1"/>
    <w:rsid w:val="00163824"/>
    <w:rsid w:val="001644BB"/>
    <w:rsid w:val="00174F79"/>
    <w:rsid w:val="00191574"/>
    <w:rsid w:val="001951CA"/>
    <w:rsid w:val="001952DF"/>
    <w:rsid w:val="001A287F"/>
    <w:rsid w:val="001A31AD"/>
    <w:rsid w:val="001A34F1"/>
    <w:rsid w:val="001A3CE6"/>
    <w:rsid w:val="001A4D6E"/>
    <w:rsid w:val="001B289C"/>
    <w:rsid w:val="001B504C"/>
    <w:rsid w:val="001B605A"/>
    <w:rsid w:val="001B776C"/>
    <w:rsid w:val="001D2EE7"/>
    <w:rsid w:val="001D3476"/>
    <w:rsid w:val="001D34F7"/>
    <w:rsid w:val="001D6A54"/>
    <w:rsid w:val="001E6D31"/>
    <w:rsid w:val="001E7160"/>
    <w:rsid w:val="001F50E2"/>
    <w:rsid w:val="0020107F"/>
    <w:rsid w:val="00206582"/>
    <w:rsid w:val="002075BF"/>
    <w:rsid w:val="002101BB"/>
    <w:rsid w:val="002134E0"/>
    <w:rsid w:val="002135AA"/>
    <w:rsid w:val="002142D1"/>
    <w:rsid w:val="00214676"/>
    <w:rsid w:val="0022082F"/>
    <w:rsid w:val="00227AE4"/>
    <w:rsid w:val="00230CF6"/>
    <w:rsid w:val="00231C51"/>
    <w:rsid w:val="002321E8"/>
    <w:rsid w:val="00236461"/>
    <w:rsid w:val="00236510"/>
    <w:rsid w:val="002379B9"/>
    <w:rsid w:val="00241F86"/>
    <w:rsid w:val="00242B44"/>
    <w:rsid w:val="00244578"/>
    <w:rsid w:val="0024506A"/>
    <w:rsid w:val="00245D41"/>
    <w:rsid w:val="002462D3"/>
    <w:rsid w:val="00250EE8"/>
    <w:rsid w:val="00254208"/>
    <w:rsid w:val="0028085C"/>
    <w:rsid w:val="0028225E"/>
    <w:rsid w:val="00296A5C"/>
    <w:rsid w:val="002A2566"/>
    <w:rsid w:val="002A4D04"/>
    <w:rsid w:val="002B5522"/>
    <w:rsid w:val="002B59AD"/>
    <w:rsid w:val="002C08A3"/>
    <w:rsid w:val="002C08BB"/>
    <w:rsid w:val="002D14D8"/>
    <w:rsid w:val="002D2016"/>
    <w:rsid w:val="002D293B"/>
    <w:rsid w:val="002D7A9C"/>
    <w:rsid w:val="002D7CF5"/>
    <w:rsid w:val="002E0C16"/>
    <w:rsid w:val="002E0D3C"/>
    <w:rsid w:val="002E101E"/>
    <w:rsid w:val="002E572C"/>
    <w:rsid w:val="002F6C7E"/>
    <w:rsid w:val="002F73A7"/>
    <w:rsid w:val="002F793C"/>
    <w:rsid w:val="0030003C"/>
    <w:rsid w:val="00300BF1"/>
    <w:rsid w:val="003017DE"/>
    <w:rsid w:val="00305687"/>
    <w:rsid w:val="0030593C"/>
    <w:rsid w:val="003102A2"/>
    <w:rsid w:val="00314ACF"/>
    <w:rsid w:val="00314E86"/>
    <w:rsid w:val="00320AB2"/>
    <w:rsid w:val="00324A34"/>
    <w:rsid w:val="00331879"/>
    <w:rsid w:val="00332F6F"/>
    <w:rsid w:val="00334FD4"/>
    <w:rsid w:val="00343CB6"/>
    <w:rsid w:val="00345092"/>
    <w:rsid w:val="00346D6E"/>
    <w:rsid w:val="00346F31"/>
    <w:rsid w:val="0035496D"/>
    <w:rsid w:val="00362E4B"/>
    <w:rsid w:val="0037020F"/>
    <w:rsid w:val="0037245E"/>
    <w:rsid w:val="00376752"/>
    <w:rsid w:val="003875DB"/>
    <w:rsid w:val="00392126"/>
    <w:rsid w:val="003954FB"/>
    <w:rsid w:val="003A1B79"/>
    <w:rsid w:val="003A368B"/>
    <w:rsid w:val="003A3ED8"/>
    <w:rsid w:val="003A4B6F"/>
    <w:rsid w:val="003A4E8B"/>
    <w:rsid w:val="003B4966"/>
    <w:rsid w:val="003B6C9A"/>
    <w:rsid w:val="003C144F"/>
    <w:rsid w:val="003C17F1"/>
    <w:rsid w:val="003C2F82"/>
    <w:rsid w:val="003D0599"/>
    <w:rsid w:val="003D2C37"/>
    <w:rsid w:val="003D2E7E"/>
    <w:rsid w:val="003D4A35"/>
    <w:rsid w:val="003D5F85"/>
    <w:rsid w:val="003E05C8"/>
    <w:rsid w:val="003E0E1C"/>
    <w:rsid w:val="003E19D8"/>
    <w:rsid w:val="003E427D"/>
    <w:rsid w:val="003F1558"/>
    <w:rsid w:val="004027FF"/>
    <w:rsid w:val="004118D9"/>
    <w:rsid w:val="0041450B"/>
    <w:rsid w:val="00420474"/>
    <w:rsid w:val="0042469A"/>
    <w:rsid w:val="004316D3"/>
    <w:rsid w:val="0043257B"/>
    <w:rsid w:val="00432B8B"/>
    <w:rsid w:val="00434A8C"/>
    <w:rsid w:val="00437FE2"/>
    <w:rsid w:val="00440EDC"/>
    <w:rsid w:val="004420BD"/>
    <w:rsid w:val="00442626"/>
    <w:rsid w:val="00444AC7"/>
    <w:rsid w:val="004470F4"/>
    <w:rsid w:val="004500DF"/>
    <w:rsid w:val="0045128A"/>
    <w:rsid w:val="00453B5D"/>
    <w:rsid w:val="00454D5E"/>
    <w:rsid w:val="004616E4"/>
    <w:rsid w:val="00462A62"/>
    <w:rsid w:val="004667E0"/>
    <w:rsid w:val="00470848"/>
    <w:rsid w:val="00470A90"/>
    <w:rsid w:val="004750F9"/>
    <w:rsid w:val="00475D5E"/>
    <w:rsid w:val="00485353"/>
    <w:rsid w:val="0049679F"/>
    <w:rsid w:val="004A0B4A"/>
    <w:rsid w:val="004A2423"/>
    <w:rsid w:val="004A3BF9"/>
    <w:rsid w:val="004B442F"/>
    <w:rsid w:val="004B6427"/>
    <w:rsid w:val="004C05F6"/>
    <w:rsid w:val="004C19C0"/>
    <w:rsid w:val="004C7F3E"/>
    <w:rsid w:val="004C7FE9"/>
    <w:rsid w:val="004D31AC"/>
    <w:rsid w:val="004D7DA5"/>
    <w:rsid w:val="004E02CE"/>
    <w:rsid w:val="004E29DD"/>
    <w:rsid w:val="004E3C86"/>
    <w:rsid w:val="004F389C"/>
    <w:rsid w:val="004F6B76"/>
    <w:rsid w:val="004F779A"/>
    <w:rsid w:val="0050048C"/>
    <w:rsid w:val="0050232E"/>
    <w:rsid w:val="00502F07"/>
    <w:rsid w:val="00503FE8"/>
    <w:rsid w:val="005136D8"/>
    <w:rsid w:val="00514B91"/>
    <w:rsid w:val="00515FCD"/>
    <w:rsid w:val="005202E9"/>
    <w:rsid w:val="00523899"/>
    <w:rsid w:val="00533201"/>
    <w:rsid w:val="005356B0"/>
    <w:rsid w:val="0054365E"/>
    <w:rsid w:val="00557ADE"/>
    <w:rsid w:val="005608D7"/>
    <w:rsid w:val="005617A4"/>
    <w:rsid w:val="005621C3"/>
    <w:rsid w:val="0056268C"/>
    <w:rsid w:val="00565D92"/>
    <w:rsid w:val="00565DE4"/>
    <w:rsid w:val="0058072D"/>
    <w:rsid w:val="005853C4"/>
    <w:rsid w:val="00587A73"/>
    <w:rsid w:val="00587EF9"/>
    <w:rsid w:val="00590865"/>
    <w:rsid w:val="005A513D"/>
    <w:rsid w:val="005A65DE"/>
    <w:rsid w:val="005B6162"/>
    <w:rsid w:val="005B686C"/>
    <w:rsid w:val="005C38B7"/>
    <w:rsid w:val="005C7B15"/>
    <w:rsid w:val="005D1D72"/>
    <w:rsid w:val="005D7E75"/>
    <w:rsid w:val="005E18AA"/>
    <w:rsid w:val="005E21B4"/>
    <w:rsid w:val="005E4687"/>
    <w:rsid w:val="005F0DE1"/>
    <w:rsid w:val="005F4731"/>
    <w:rsid w:val="005F5925"/>
    <w:rsid w:val="005F6692"/>
    <w:rsid w:val="005F72ED"/>
    <w:rsid w:val="005F7428"/>
    <w:rsid w:val="006023CD"/>
    <w:rsid w:val="00603691"/>
    <w:rsid w:val="006052D2"/>
    <w:rsid w:val="00607A22"/>
    <w:rsid w:val="00612899"/>
    <w:rsid w:val="00613575"/>
    <w:rsid w:val="006157E1"/>
    <w:rsid w:val="00616F71"/>
    <w:rsid w:val="0061726E"/>
    <w:rsid w:val="00624C50"/>
    <w:rsid w:val="00626D73"/>
    <w:rsid w:val="00626E05"/>
    <w:rsid w:val="006279D2"/>
    <w:rsid w:val="00631EA1"/>
    <w:rsid w:val="0063315E"/>
    <w:rsid w:val="00636395"/>
    <w:rsid w:val="00641E5E"/>
    <w:rsid w:val="00643621"/>
    <w:rsid w:val="00645181"/>
    <w:rsid w:val="006453C9"/>
    <w:rsid w:val="00645CBA"/>
    <w:rsid w:val="00646606"/>
    <w:rsid w:val="00651D96"/>
    <w:rsid w:val="00652641"/>
    <w:rsid w:val="00652757"/>
    <w:rsid w:val="00652D1B"/>
    <w:rsid w:val="00656555"/>
    <w:rsid w:val="00656A56"/>
    <w:rsid w:val="0066019E"/>
    <w:rsid w:val="006642E2"/>
    <w:rsid w:val="006664D6"/>
    <w:rsid w:val="00674DAB"/>
    <w:rsid w:val="006771EC"/>
    <w:rsid w:val="0068281D"/>
    <w:rsid w:val="00682C6F"/>
    <w:rsid w:val="006852F1"/>
    <w:rsid w:val="00692231"/>
    <w:rsid w:val="00692745"/>
    <w:rsid w:val="006940DF"/>
    <w:rsid w:val="00697103"/>
    <w:rsid w:val="006A11AE"/>
    <w:rsid w:val="006A2B5B"/>
    <w:rsid w:val="006A32AD"/>
    <w:rsid w:val="006A6800"/>
    <w:rsid w:val="006B0989"/>
    <w:rsid w:val="006B29AA"/>
    <w:rsid w:val="006B3FDB"/>
    <w:rsid w:val="006B652A"/>
    <w:rsid w:val="006C29DD"/>
    <w:rsid w:val="006C39DD"/>
    <w:rsid w:val="006C5480"/>
    <w:rsid w:val="006D2E0C"/>
    <w:rsid w:val="006D7608"/>
    <w:rsid w:val="006F110E"/>
    <w:rsid w:val="006F4E7B"/>
    <w:rsid w:val="00704D75"/>
    <w:rsid w:val="0070790B"/>
    <w:rsid w:val="00725441"/>
    <w:rsid w:val="00730B64"/>
    <w:rsid w:val="00731586"/>
    <w:rsid w:val="007327A3"/>
    <w:rsid w:val="00732E9A"/>
    <w:rsid w:val="00737B93"/>
    <w:rsid w:val="00740D64"/>
    <w:rsid w:val="0074100B"/>
    <w:rsid w:val="00741137"/>
    <w:rsid w:val="0074669C"/>
    <w:rsid w:val="00753813"/>
    <w:rsid w:val="00755BBF"/>
    <w:rsid w:val="0075662A"/>
    <w:rsid w:val="00766F5D"/>
    <w:rsid w:val="007679F2"/>
    <w:rsid w:val="00772C85"/>
    <w:rsid w:val="00776446"/>
    <w:rsid w:val="00782FC2"/>
    <w:rsid w:val="00787FAE"/>
    <w:rsid w:val="007943FE"/>
    <w:rsid w:val="00796191"/>
    <w:rsid w:val="007A1E0E"/>
    <w:rsid w:val="007A482D"/>
    <w:rsid w:val="007C1E6F"/>
    <w:rsid w:val="007C3476"/>
    <w:rsid w:val="007C5924"/>
    <w:rsid w:val="007D1D73"/>
    <w:rsid w:val="007D2B00"/>
    <w:rsid w:val="007D48EA"/>
    <w:rsid w:val="007D76FC"/>
    <w:rsid w:val="007D7DC3"/>
    <w:rsid w:val="007E2006"/>
    <w:rsid w:val="007E2CA9"/>
    <w:rsid w:val="007E6FB0"/>
    <w:rsid w:val="007E7EF4"/>
    <w:rsid w:val="007F2D19"/>
    <w:rsid w:val="007F41B3"/>
    <w:rsid w:val="007F4CDA"/>
    <w:rsid w:val="0080088D"/>
    <w:rsid w:val="00804CDB"/>
    <w:rsid w:val="008055F8"/>
    <w:rsid w:val="0081027D"/>
    <w:rsid w:val="00811B68"/>
    <w:rsid w:val="00815025"/>
    <w:rsid w:val="00820939"/>
    <w:rsid w:val="00820B7A"/>
    <w:rsid w:val="008242BE"/>
    <w:rsid w:val="00824A62"/>
    <w:rsid w:val="008251D6"/>
    <w:rsid w:val="008324F5"/>
    <w:rsid w:val="00832889"/>
    <w:rsid w:val="008407F2"/>
    <w:rsid w:val="008415C2"/>
    <w:rsid w:val="00844B80"/>
    <w:rsid w:val="00850AEE"/>
    <w:rsid w:val="0085181C"/>
    <w:rsid w:val="008525D8"/>
    <w:rsid w:val="00854AAE"/>
    <w:rsid w:val="00856FFC"/>
    <w:rsid w:val="00857DFF"/>
    <w:rsid w:val="008608AF"/>
    <w:rsid w:val="00865684"/>
    <w:rsid w:val="00865B7D"/>
    <w:rsid w:val="00876406"/>
    <w:rsid w:val="00880B3A"/>
    <w:rsid w:val="008836E3"/>
    <w:rsid w:val="00884A72"/>
    <w:rsid w:val="008869EC"/>
    <w:rsid w:val="00887E20"/>
    <w:rsid w:val="00892FE4"/>
    <w:rsid w:val="0089733E"/>
    <w:rsid w:val="00897600"/>
    <w:rsid w:val="008A4F8A"/>
    <w:rsid w:val="008A5161"/>
    <w:rsid w:val="008B5685"/>
    <w:rsid w:val="008B74BB"/>
    <w:rsid w:val="008C3B67"/>
    <w:rsid w:val="008C67D1"/>
    <w:rsid w:val="008D3C46"/>
    <w:rsid w:val="008D7BFA"/>
    <w:rsid w:val="008E1AAD"/>
    <w:rsid w:val="008E4ABA"/>
    <w:rsid w:val="008E6FAA"/>
    <w:rsid w:val="008F30FD"/>
    <w:rsid w:val="008F339E"/>
    <w:rsid w:val="008F4AD1"/>
    <w:rsid w:val="008F5A3E"/>
    <w:rsid w:val="008F6411"/>
    <w:rsid w:val="00905F02"/>
    <w:rsid w:val="00911270"/>
    <w:rsid w:val="009210C1"/>
    <w:rsid w:val="009222D9"/>
    <w:rsid w:val="0092386B"/>
    <w:rsid w:val="0092603B"/>
    <w:rsid w:val="00934154"/>
    <w:rsid w:val="009423F3"/>
    <w:rsid w:val="009429C0"/>
    <w:rsid w:val="00945291"/>
    <w:rsid w:val="00946141"/>
    <w:rsid w:val="00947630"/>
    <w:rsid w:val="009563D6"/>
    <w:rsid w:val="009605EA"/>
    <w:rsid w:val="009620D2"/>
    <w:rsid w:val="0096259C"/>
    <w:rsid w:val="00962925"/>
    <w:rsid w:val="0096352A"/>
    <w:rsid w:val="00965E50"/>
    <w:rsid w:val="00970F7C"/>
    <w:rsid w:val="00975FD0"/>
    <w:rsid w:val="0097609F"/>
    <w:rsid w:val="00976386"/>
    <w:rsid w:val="0097783E"/>
    <w:rsid w:val="009827D5"/>
    <w:rsid w:val="00986C57"/>
    <w:rsid w:val="00991E66"/>
    <w:rsid w:val="009A47EE"/>
    <w:rsid w:val="009B0DD6"/>
    <w:rsid w:val="009B1EED"/>
    <w:rsid w:val="009B31D2"/>
    <w:rsid w:val="009B3D8A"/>
    <w:rsid w:val="009B4599"/>
    <w:rsid w:val="009B6F27"/>
    <w:rsid w:val="009C387A"/>
    <w:rsid w:val="009C545A"/>
    <w:rsid w:val="009E0B0E"/>
    <w:rsid w:val="009E1B40"/>
    <w:rsid w:val="009E4C94"/>
    <w:rsid w:val="009E67A9"/>
    <w:rsid w:val="009F0513"/>
    <w:rsid w:val="009F29E5"/>
    <w:rsid w:val="009F4248"/>
    <w:rsid w:val="009F4470"/>
    <w:rsid w:val="00A00530"/>
    <w:rsid w:val="00A03FCD"/>
    <w:rsid w:val="00A044C5"/>
    <w:rsid w:val="00A102C9"/>
    <w:rsid w:val="00A14B0A"/>
    <w:rsid w:val="00A17ACF"/>
    <w:rsid w:val="00A2046A"/>
    <w:rsid w:val="00A21493"/>
    <w:rsid w:val="00A245DB"/>
    <w:rsid w:val="00A250BF"/>
    <w:rsid w:val="00A3152C"/>
    <w:rsid w:val="00A31FCE"/>
    <w:rsid w:val="00A333D4"/>
    <w:rsid w:val="00A355AB"/>
    <w:rsid w:val="00A35AC8"/>
    <w:rsid w:val="00A375D2"/>
    <w:rsid w:val="00A42639"/>
    <w:rsid w:val="00A426DB"/>
    <w:rsid w:val="00A42AAD"/>
    <w:rsid w:val="00A44474"/>
    <w:rsid w:val="00A465FF"/>
    <w:rsid w:val="00A4692C"/>
    <w:rsid w:val="00A50A4A"/>
    <w:rsid w:val="00A52CE0"/>
    <w:rsid w:val="00A53364"/>
    <w:rsid w:val="00A60B22"/>
    <w:rsid w:val="00A65906"/>
    <w:rsid w:val="00A6675C"/>
    <w:rsid w:val="00A80080"/>
    <w:rsid w:val="00A80D0F"/>
    <w:rsid w:val="00A81A82"/>
    <w:rsid w:val="00A86A91"/>
    <w:rsid w:val="00A9795B"/>
    <w:rsid w:val="00AA0461"/>
    <w:rsid w:val="00AA110D"/>
    <w:rsid w:val="00AA198B"/>
    <w:rsid w:val="00AA3B0F"/>
    <w:rsid w:val="00AA57E2"/>
    <w:rsid w:val="00AA6B9A"/>
    <w:rsid w:val="00AB5855"/>
    <w:rsid w:val="00AB61F8"/>
    <w:rsid w:val="00AC0A5C"/>
    <w:rsid w:val="00AD0553"/>
    <w:rsid w:val="00AD072A"/>
    <w:rsid w:val="00AD1AD0"/>
    <w:rsid w:val="00AD6989"/>
    <w:rsid w:val="00AD6AE7"/>
    <w:rsid w:val="00AE10AB"/>
    <w:rsid w:val="00AE1DF2"/>
    <w:rsid w:val="00AE3C0B"/>
    <w:rsid w:val="00AF2647"/>
    <w:rsid w:val="00AF4EE2"/>
    <w:rsid w:val="00AF635F"/>
    <w:rsid w:val="00B05CE8"/>
    <w:rsid w:val="00B07B0B"/>
    <w:rsid w:val="00B1020F"/>
    <w:rsid w:val="00B10FBC"/>
    <w:rsid w:val="00B12CC4"/>
    <w:rsid w:val="00B13C96"/>
    <w:rsid w:val="00B13E63"/>
    <w:rsid w:val="00B22287"/>
    <w:rsid w:val="00B22F36"/>
    <w:rsid w:val="00B22F58"/>
    <w:rsid w:val="00B27FA1"/>
    <w:rsid w:val="00B34738"/>
    <w:rsid w:val="00B44083"/>
    <w:rsid w:val="00B4587C"/>
    <w:rsid w:val="00B45BCA"/>
    <w:rsid w:val="00B462D0"/>
    <w:rsid w:val="00B50A9E"/>
    <w:rsid w:val="00B51066"/>
    <w:rsid w:val="00B515FD"/>
    <w:rsid w:val="00B526AA"/>
    <w:rsid w:val="00B53EC3"/>
    <w:rsid w:val="00B55B1C"/>
    <w:rsid w:val="00B5718C"/>
    <w:rsid w:val="00B6127C"/>
    <w:rsid w:val="00B61879"/>
    <w:rsid w:val="00B629A7"/>
    <w:rsid w:val="00B645DA"/>
    <w:rsid w:val="00B64C55"/>
    <w:rsid w:val="00B665E3"/>
    <w:rsid w:val="00B702F0"/>
    <w:rsid w:val="00B72AA9"/>
    <w:rsid w:val="00B800D6"/>
    <w:rsid w:val="00B81378"/>
    <w:rsid w:val="00B849F5"/>
    <w:rsid w:val="00B963BE"/>
    <w:rsid w:val="00B96733"/>
    <w:rsid w:val="00BA1813"/>
    <w:rsid w:val="00BA3DF4"/>
    <w:rsid w:val="00BA4FDB"/>
    <w:rsid w:val="00BB763A"/>
    <w:rsid w:val="00BC17C1"/>
    <w:rsid w:val="00BC3116"/>
    <w:rsid w:val="00BC5061"/>
    <w:rsid w:val="00BC51F3"/>
    <w:rsid w:val="00BC6DDA"/>
    <w:rsid w:val="00BD38D4"/>
    <w:rsid w:val="00BD6B46"/>
    <w:rsid w:val="00BE04D6"/>
    <w:rsid w:val="00BE0623"/>
    <w:rsid w:val="00BE1635"/>
    <w:rsid w:val="00BE4E4D"/>
    <w:rsid w:val="00BE7371"/>
    <w:rsid w:val="00BF05AF"/>
    <w:rsid w:val="00BF0DE7"/>
    <w:rsid w:val="00BF4286"/>
    <w:rsid w:val="00BF5C84"/>
    <w:rsid w:val="00BF79B9"/>
    <w:rsid w:val="00C0291A"/>
    <w:rsid w:val="00C07D3C"/>
    <w:rsid w:val="00C120CE"/>
    <w:rsid w:val="00C16BEB"/>
    <w:rsid w:val="00C176E0"/>
    <w:rsid w:val="00C202A8"/>
    <w:rsid w:val="00C202D1"/>
    <w:rsid w:val="00C208EA"/>
    <w:rsid w:val="00C21BBF"/>
    <w:rsid w:val="00C23D33"/>
    <w:rsid w:val="00C250E2"/>
    <w:rsid w:val="00C31EB7"/>
    <w:rsid w:val="00C32C9D"/>
    <w:rsid w:val="00C3524D"/>
    <w:rsid w:val="00C4370F"/>
    <w:rsid w:val="00C44678"/>
    <w:rsid w:val="00C503E5"/>
    <w:rsid w:val="00C512FB"/>
    <w:rsid w:val="00C5743A"/>
    <w:rsid w:val="00C63EB2"/>
    <w:rsid w:val="00C67EDA"/>
    <w:rsid w:val="00C70D37"/>
    <w:rsid w:val="00C81D40"/>
    <w:rsid w:val="00C83B13"/>
    <w:rsid w:val="00C91307"/>
    <w:rsid w:val="00C96F23"/>
    <w:rsid w:val="00C96FBD"/>
    <w:rsid w:val="00CA0025"/>
    <w:rsid w:val="00CA2A27"/>
    <w:rsid w:val="00CA559B"/>
    <w:rsid w:val="00CB2D63"/>
    <w:rsid w:val="00CC1889"/>
    <w:rsid w:val="00CC387D"/>
    <w:rsid w:val="00CD402C"/>
    <w:rsid w:val="00CD75C1"/>
    <w:rsid w:val="00CE3ADF"/>
    <w:rsid w:val="00CE44C1"/>
    <w:rsid w:val="00CF160B"/>
    <w:rsid w:val="00CF294B"/>
    <w:rsid w:val="00CF33D6"/>
    <w:rsid w:val="00CF3554"/>
    <w:rsid w:val="00CF36C1"/>
    <w:rsid w:val="00CF3CA5"/>
    <w:rsid w:val="00CF6A2F"/>
    <w:rsid w:val="00D07A08"/>
    <w:rsid w:val="00D11CBE"/>
    <w:rsid w:val="00D1387C"/>
    <w:rsid w:val="00D146B4"/>
    <w:rsid w:val="00D146C3"/>
    <w:rsid w:val="00D16E6B"/>
    <w:rsid w:val="00D178FE"/>
    <w:rsid w:val="00D21354"/>
    <w:rsid w:val="00D23B4F"/>
    <w:rsid w:val="00D300A0"/>
    <w:rsid w:val="00D349EA"/>
    <w:rsid w:val="00D40BE1"/>
    <w:rsid w:val="00D4202A"/>
    <w:rsid w:val="00D440EF"/>
    <w:rsid w:val="00D46074"/>
    <w:rsid w:val="00D533CE"/>
    <w:rsid w:val="00D53879"/>
    <w:rsid w:val="00D54E7F"/>
    <w:rsid w:val="00D6082D"/>
    <w:rsid w:val="00D61219"/>
    <w:rsid w:val="00D659A0"/>
    <w:rsid w:val="00D80A04"/>
    <w:rsid w:val="00D83472"/>
    <w:rsid w:val="00D839F5"/>
    <w:rsid w:val="00DA3120"/>
    <w:rsid w:val="00DA50AE"/>
    <w:rsid w:val="00DA57BF"/>
    <w:rsid w:val="00DB3098"/>
    <w:rsid w:val="00DB6F54"/>
    <w:rsid w:val="00DB7889"/>
    <w:rsid w:val="00DC24F6"/>
    <w:rsid w:val="00DD41E7"/>
    <w:rsid w:val="00DD7FBF"/>
    <w:rsid w:val="00DE7BF8"/>
    <w:rsid w:val="00DF5851"/>
    <w:rsid w:val="00DF6918"/>
    <w:rsid w:val="00E01730"/>
    <w:rsid w:val="00E13FB9"/>
    <w:rsid w:val="00E17EB7"/>
    <w:rsid w:val="00E214CD"/>
    <w:rsid w:val="00E3356F"/>
    <w:rsid w:val="00E3411F"/>
    <w:rsid w:val="00E4143F"/>
    <w:rsid w:val="00E43908"/>
    <w:rsid w:val="00E43DE4"/>
    <w:rsid w:val="00E54EA8"/>
    <w:rsid w:val="00E65F1B"/>
    <w:rsid w:val="00E704BC"/>
    <w:rsid w:val="00E80A3B"/>
    <w:rsid w:val="00E87BB0"/>
    <w:rsid w:val="00E90F75"/>
    <w:rsid w:val="00E91492"/>
    <w:rsid w:val="00E96FC6"/>
    <w:rsid w:val="00EB2D73"/>
    <w:rsid w:val="00EB3B56"/>
    <w:rsid w:val="00EB4111"/>
    <w:rsid w:val="00EB5CF1"/>
    <w:rsid w:val="00EC026C"/>
    <w:rsid w:val="00EC785B"/>
    <w:rsid w:val="00ED7D7C"/>
    <w:rsid w:val="00EE0508"/>
    <w:rsid w:val="00EE0CA8"/>
    <w:rsid w:val="00EE1ED8"/>
    <w:rsid w:val="00EE2482"/>
    <w:rsid w:val="00EE414D"/>
    <w:rsid w:val="00EE4F29"/>
    <w:rsid w:val="00EE66EC"/>
    <w:rsid w:val="00EF0FF4"/>
    <w:rsid w:val="00EF1582"/>
    <w:rsid w:val="00EF1C2A"/>
    <w:rsid w:val="00EF493D"/>
    <w:rsid w:val="00EF4F62"/>
    <w:rsid w:val="00EF6179"/>
    <w:rsid w:val="00F01BFD"/>
    <w:rsid w:val="00F01D8C"/>
    <w:rsid w:val="00F021ED"/>
    <w:rsid w:val="00F04C11"/>
    <w:rsid w:val="00F10A7D"/>
    <w:rsid w:val="00F121D9"/>
    <w:rsid w:val="00F13F9C"/>
    <w:rsid w:val="00F140B1"/>
    <w:rsid w:val="00F15916"/>
    <w:rsid w:val="00F161BA"/>
    <w:rsid w:val="00F1740D"/>
    <w:rsid w:val="00F178B4"/>
    <w:rsid w:val="00F17A6A"/>
    <w:rsid w:val="00F21047"/>
    <w:rsid w:val="00F223B6"/>
    <w:rsid w:val="00F245B4"/>
    <w:rsid w:val="00F24684"/>
    <w:rsid w:val="00F250A8"/>
    <w:rsid w:val="00F269BD"/>
    <w:rsid w:val="00F37489"/>
    <w:rsid w:val="00F425FC"/>
    <w:rsid w:val="00F54AD1"/>
    <w:rsid w:val="00F5534C"/>
    <w:rsid w:val="00F55ED5"/>
    <w:rsid w:val="00F56AD6"/>
    <w:rsid w:val="00F6190D"/>
    <w:rsid w:val="00F625A5"/>
    <w:rsid w:val="00F63C49"/>
    <w:rsid w:val="00F64E11"/>
    <w:rsid w:val="00F71197"/>
    <w:rsid w:val="00F7677E"/>
    <w:rsid w:val="00F76E84"/>
    <w:rsid w:val="00F77894"/>
    <w:rsid w:val="00F837EB"/>
    <w:rsid w:val="00F84A2B"/>
    <w:rsid w:val="00F86562"/>
    <w:rsid w:val="00F924B6"/>
    <w:rsid w:val="00F9785D"/>
    <w:rsid w:val="00FA1903"/>
    <w:rsid w:val="00FA3442"/>
    <w:rsid w:val="00FB0347"/>
    <w:rsid w:val="00FB4AD3"/>
    <w:rsid w:val="00FB5E70"/>
    <w:rsid w:val="00FB691F"/>
    <w:rsid w:val="00FC0787"/>
    <w:rsid w:val="00FC1049"/>
    <w:rsid w:val="00FC3439"/>
    <w:rsid w:val="00FC3C14"/>
    <w:rsid w:val="00FD05D5"/>
    <w:rsid w:val="00FD1801"/>
    <w:rsid w:val="00FD439A"/>
    <w:rsid w:val="00FD45C2"/>
    <w:rsid w:val="00FE7CFD"/>
    <w:rsid w:val="00FF1A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157368-A4F1-40B9-B3EB-4BC9830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F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5FC"/>
    <w:pPr>
      <w:widowControl w:val="0"/>
      <w:tabs>
        <w:tab w:val="center" w:pos="4451"/>
        <w:tab w:val="right" w:pos="9923"/>
      </w:tabs>
    </w:pPr>
    <w:rPr>
      <w:szCs w:val="20"/>
    </w:rPr>
  </w:style>
  <w:style w:type="character" w:customStyle="1" w:styleId="HeaderChar">
    <w:name w:val="Header Char"/>
    <w:basedOn w:val="DefaultParagraphFont"/>
    <w:link w:val="Header"/>
    <w:rsid w:val="00F425FC"/>
    <w:rPr>
      <w:rFonts w:ascii="Arial" w:eastAsia="Times New Roman" w:hAnsi="Arial" w:cs="Times New Roman"/>
      <w:szCs w:val="20"/>
    </w:rPr>
  </w:style>
  <w:style w:type="paragraph" w:styleId="Footer">
    <w:name w:val="footer"/>
    <w:basedOn w:val="Normal"/>
    <w:link w:val="FooterChar"/>
    <w:rsid w:val="00F425FC"/>
    <w:pPr>
      <w:tabs>
        <w:tab w:val="center" w:pos="4961"/>
        <w:tab w:val="right" w:pos="9923"/>
      </w:tabs>
    </w:pPr>
    <w:rPr>
      <w:szCs w:val="20"/>
    </w:rPr>
  </w:style>
  <w:style w:type="character" w:customStyle="1" w:styleId="FooterChar">
    <w:name w:val="Footer Char"/>
    <w:basedOn w:val="DefaultParagraphFont"/>
    <w:link w:val="Footer"/>
    <w:rsid w:val="00F425FC"/>
    <w:rPr>
      <w:rFonts w:ascii="Arial" w:eastAsia="Times New Roman" w:hAnsi="Arial" w:cs="Times New Roman"/>
      <w:szCs w:val="20"/>
    </w:rPr>
  </w:style>
  <w:style w:type="character" w:styleId="PageNumber">
    <w:name w:val="page number"/>
    <w:basedOn w:val="DefaultParagraphFont"/>
    <w:rsid w:val="00F425FC"/>
  </w:style>
  <w:style w:type="paragraph" w:styleId="HTMLPreformatted">
    <w:name w:val="HTML Preformatted"/>
    <w:basedOn w:val="Normal"/>
    <w:link w:val="HTMLPreformattedChar"/>
    <w:rsid w:val="00F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425FC"/>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F425FC"/>
    <w:pPr>
      <w:spacing w:after="160" w:line="240" w:lineRule="exact"/>
      <w:ind w:left="720" w:hanging="360"/>
    </w:pPr>
    <w:rPr>
      <w:rFonts w:ascii="Times New Roman" w:hAnsi="Times New Roman"/>
      <w:sz w:val="24"/>
      <w:szCs w:val="20"/>
      <w:lang w:val="en-US" w:eastAsia="hr-HR"/>
    </w:rPr>
  </w:style>
  <w:style w:type="character" w:styleId="CommentReference">
    <w:name w:val="annotation reference"/>
    <w:basedOn w:val="DefaultParagraphFont"/>
    <w:uiPriority w:val="99"/>
    <w:semiHidden/>
    <w:unhideWhenUsed/>
    <w:rsid w:val="009B3D8A"/>
    <w:rPr>
      <w:sz w:val="16"/>
      <w:szCs w:val="16"/>
    </w:rPr>
  </w:style>
  <w:style w:type="paragraph" w:styleId="CommentText">
    <w:name w:val="annotation text"/>
    <w:basedOn w:val="Normal"/>
    <w:link w:val="CommentTextChar"/>
    <w:uiPriority w:val="99"/>
    <w:semiHidden/>
    <w:unhideWhenUsed/>
    <w:rsid w:val="009B3D8A"/>
    <w:rPr>
      <w:sz w:val="20"/>
      <w:szCs w:val="20"/>
    </w:rPr>
  </w:style>
  <w:style w:type="character" w:customStyle="1" w:styleId="CommentTextChar">
    <w:name w:val="Comment Text Char"/>
    <w:basedOn w:val="DefaultParagraphFont"/>
    <w:link w:val="CommentText"/>
    <w:uiPriority w:val="99"/>
    <w:semiHidden/>
    <w:rsid w:val="009B3D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3D8A"/>
    <w:rPr>
      <w:b/>
      <w:bCs/>
    </w:rPr>
  </w:style>
  <w:style w:type="character" w:customStyle="1" w:styleId="CommentSubjectChar">
    <w:name w:val="Comment Subject Char"/>
    <w:basedOn w:val="CommentTextChar"/>
    <w:link w:val="CommentSubject"/>
    <w:uiPriority w:val="99"/>
    <w:semiHidden/>
    <w:rsid w:val="009B3D8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B3D8A"/>
    <w:rPr>
      <w:rFonts w:ascii="Tahoma" w:hAnsi="Tahoma" w:cs="Tahoma"/>
      <w:sz w:val="16"/>
      <w:szCs w:val="16"/>
    </w:rPr>
  </w:style>
  <w:style w:type="character" w:customStyle="1" w:styleId="BalloonTextChar">
    <w:name w:val="Balloon Text Char"/>
    <w:basedOn w:val="DefaultParagraphFont"/>
    <w:link w:val="BalloonText"/>
    <w:uiPriority w:val="99"/>
    <w:semiHidden/>
    <w:rsid w:val="009B3D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6</cp:revision>
  <dcterms:created xsi:type="dcterms:W3CDTF">2015-11-19T11:46:00Z</dcterms:created>
  <dcterms:modified xsi:type="dcterms:W3CDTF">2015-11-23T08:02:00Z</dcterms:modified>
</cp:coreProperties>
</file>