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F0" w:rsidRPr="007C400C" w:rsidRDefault="001944F0" w:rsidP="001944F0">
      <w:pPr>
        <w:rPr>
          <w:sz w:val="2"/>
          <w:szCs w:val="2"/>
        </w:rPr>
      </w:pPr>
      <w:r w:rsidRPr="007C400C">
        <w:rPr>
          <w:sz w:val="2"/>
          <w:szCs w:val="2"/>
        </w:rPr>
        <w:tab/>
      </w:r>
    </w:p>
    <w:p w:rsidR="001944F0" w:rsidRPr="007C400C" w:rsidRDefault="001944F0" w:rsidP="001944F0">
      <w:pPr>
        <w:tabs>
          <w:tab w:val="left" w:pos="708"/>
          <w:tab w:val="left" w:pos="6345"/>
        </w:tabs>
        <w:rPr>
          <w:sz w:val="18"/>
        </w:rPr>
      </w:pPr>
      <w:r w:rsidRPr="007C400C">
        <w:rPr>
          <w:sz w:val="18"/>
        </w:rPr>
        <w:tab/>
      </w:r>
      <w:r w:rsidRPr="007C400C">
        <w:rPr>
          <w:sz w:val="18"/>
        </w:rPr>
        <w:tab/>
      </w:r>
    </w:p>
    <w:p w:rsidR="001944F0" w:rsidRPr="007C400C" w:rsidRDefault="001944F0" w:rsidP="001944F0">
      <w:pPr>
        <w:rPr>
          <w:sz w:val="2"/>
        </w:rPr>
      </w:pPr>
    </w:p>
    <w:p w:rsidR="001944F0" w:rsidRPr="007C400C" w:rsidRDefault="001944F0" w:rsidP="001944F0">
      <w:pPr>
        <w:rPr>
          <w:sz w:val="2"/>
        </w:rPr>
        <w:sectPr w:rsidR="001944F0" w:rsidRPr="007C400C" w:rsidSect="001944F0">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1944F0" w:rsidRPr="007C400C" w:rsidRDefault="00015BA2" w:rsidP="001944F0">
      <w:pPr>
        <w:rPr>
          <w:rFonts w:cs="Arial"/>
          <w:sz w:val="18"/>
        </w:rPr>
      </w:pPr>
      <w:r>
        <w:rPr>
          <w:rFonts w:cs="Arial"/>
          <w:sz w:val="18"/>
          <w:szCs w:val="18"/>
        </w:rPr>
        <w:lastRenderedPageBreak/>
        <w:t>Korporativne komunikacije</w:t>
      </w:r>
      <w:r w:rsidR="001944F0" w:rsidRPr="007C400C">
        <w:rPr>
          <w:rFonts w:cs="Arial"/>
          <w:sz w:val="18"/>
        </w:rPr>
        <w:tab/>
      </w:r>
    </w:p>
    <w:p w:rsidR="001944F0" w:rsidRPr="007C400C" w:rsidRDefault="001944F0" w:rsidP="001944F0">
      <w:pPr>
        <w:rPr>
          <w:rFonts w:cs="Arial"/>
          <w:sz w:val="18"/>
        </w:rPr>
      </w:pPr>
    </w:p>
    <w:p w:rsidR="001944F0" w:rsidRPr="007C400C" w:rsidRDefault="001944F0" w:rsidP="001944F0">
      <w:pPr>
        <w:rPr>
          <w:rFonts w:cs="Arial"/>
          <w:sz w:val="18"/>
        </w:rPr>
      </w:pPr>
      <w:proofErr w:type="spellStart"/>
      <w:r w:rsidRPr="007C400C">
        <w:rPr>
          <w:rFonts w:cs="Arial"/>
          <w:sz w:val="18"/>
        </w:rPr>
        <w:t>Av</w:t>
      </w:r>
      <w:proofErr w:type="spellEnd"/>
      <w:r w:rsidRPr="007C400C">
        <w:rPr>
          <w:rFonts w:cs="Arial"/>
          <w:sz w:val="18"/>
        </w:rPr>
        <w:t>. V. Holjevca 10</w:t>
      </w:r>
    </w:p>
    <w:p w:rsidR="001944F0" w:rsidRPr="007C400C" w:rsidRDefault="001944F0" w:rsidP="001944F0">
      <w:pPr>
        <w:rPr>
          <w:rFonts w:cs="Arial"/>
          <w:sz w:val="18"/>
        </w:rPr>
      </w:pPr>
      <w:r w:rsidRPr="007C400C">
        <w:rPr>
          <w:rFonts w:cs="Arial"/>
          <w:sz w:val="18"/>
        </w:rPr>
        <w:t>Zagreb 10002</w:t>
      </w:r>
    </w:p>
    <w:p w:rsidR="001944F0" w:rsidRPr="007C400C" w:rsidRDefault="001944F0" w:rsidP="001944F0">
      <w:pPr>
        <w:rPr>
          <w:rFonts w:cs="Arial"/>
          <w:sz w:val="2"/>
        </w:rPr>
      </w:pPr>
    </w:p>
    <w:p w:rsidR="001944F0" w:rsidRPr="007C400C" w:rsidRDefault="001944F0" w:rsidP="001944F0">
      <w:pPr>
        <w:rPr>
          <w:rFonts w:cs="Arial"/>
          <w:sz w:val="2"/>
        </w:rPr>
        <w:sectPr w:rsidR="001944F0" w:rsidRPr="007C400C"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rsidR="001944F0" w:rsidRPr="007C400C" w:rsidRDefault="001944F0" w:rsidP="001944F0">
      <w:pPr>
        <w:rPr>
          <w:rFonts w:cs="Arial"/>
          <w:sz w:val="18"/>
        </w:rPr>
      </w:pPr>
      <w:r w:rsidRPr="007C400C">
        <w:rPr>
          <w:rFonts w:cs="Arial"/>
          <w:sz w:val="18"/>
        </w:rPr>
        <w:lastRenderedPageBreak/>
        <w:tab/>
      </w:r>
    </w:p>
    <w:p w:rsidR="001944F0" w:rsidRPr="007C400C" w:rsidRDefault="001944F0" w:rsidP="001944F0">
      <w:pPr>
        <w:rPr>
          <w:rFonts w:cs="Arial"/>
          <w:sz w:val="18"/>
        </w:rPr>
      </w:pPr>
      <w:r w:rsidRPr="007C400C">
        <w:rPr>
          <w:rFonts w:cs="Arial"/>
          <w:sz w:val="18"/>
        </w:rPr>
        <w:t>Tel:  01 6450 406</w:t>
      </w:r>
    </w:p>
    <w:p w:rsidR="001944F0" w:rsidRPr="007C400C" w:rsidRDefault="001944F0" w:rsidP="001944F0">
      <w:pPr>
        <w:rPr>
          <w:rFonts w:cs="Arial"/>
          <w:sz w:val="18"/>
        </w:rPr>
      </w:pPr>
      <w:r w:rsidRPr="007C400C">
        <w:rPr>
          <w:rFonts w:cs="Arial"/>
          <w:sz w:val="18"/>
        </w:rPr>
        <w:t>Fax: 01 6452 406</w:t>
      </w:r>
    </w:p>
    <w:p w:rsidR="001944F0" w:rsidRPr="007C400C" w:rsidRDefault="001944F0" w:rsidP="001944F0">
      <w:pPr>
        <w:rPr>
          <w:rFonts w:cs="Arial"/>
          <w:sz w:val="18"/>
        </w:rPr>
      </w:pPr>
    </w:p>
    <w:p w:rsidR="001944F0" w:rsidRPr="007C400C" w:rsidRDefault="001944F0" w:rsidP="001944F0">
      <w:pPr>
        <w:rPr>
          <w:rFonts w:cs="Arial"/>
          <w:sz w:val="18"/>
        </w:rPr>
      </w:pPr>
    </w:p>
    <w:p w:rsidR="001944F0" w:rsidRPr="007C400C" w:rsidRDefault="001944F0" w:rsidP="001944F0">
      <w:pPr>
        <w:rPr>
          <w:rFonts w:cs="Arial"/>
          <w:sz w:val="18"/>
        </w:rPr>
        <w:sectPr w:rsidR="001944F0" w:rsidRPr="007C400C" w:rsidSect="003B0A1B">
          <w:type w:val="continuous"/>
          <w:pgSz w:w="11906" w:h="16838" w:code="9"/>
          <w:pgMar w:top="3402" w:right="1134" w:bottom="1843" w:left="1418" w:header="851" w:footer="459" w:gutter="0"/>
          <w:cols w:num="2" w:space="708" w:equalWidth="0">
            <w:col w:w="4322" w:space="708"/>
            <w:col w:w="4323"/>
          </w:cols>
          <w:docGrid w:linePitch="360"/>
        </w:sectPr>
      </w:pPr>
    </w:p>
    <w:p w:rsidR="001944F0" w:rsidRPr="007C400C" w:rsidRDefault="001944F0" w:rsidP="001944F0">
      <w:pPr>
        <w:tabs>
          <w:tab w:val="left" w:pos="8220"/>
        </w:tabs>
        <w:rPr>
          <w:rFonts w:cs="Arial"/>
          <w:b/>
        </w:rPr>
      </w:pPr>
    </w:p>
    <w:p w:rsidR="001944F0" w:rsidRPr="007C400C" w:rsidRDefault="001944F0" w:rsidP="001944F0">
      <w:pPr>
        <w:tabs>
          <w:tab w:val="left" w:pos="8220"/>
        </w:tabs>
        <w:ind w:left="5664"/>
        <w:jc w:val="center"/>
        <w:rPr>
          <w:rFonts w:cs="Arial"/>
          <w:b/>
        </w:rPr>
      </w:pPr>
      <w:r w:rsidRPr="007C400C">
        <w:rPr>
          <w:rFonts w:cs="Arial"/>
          <w:b/>
        </w:rPr>
        <w:t xml:space="preserve">                                                                                             </w:t>
      </w:r>
    </w:p>
    <w:p w:rsidR="001944F0" w:rsidRPr="007C400C" w:rsidRDefault="001944F0" w:rsidP="001944F0">
      <w:pPr>
        <w:tabs>
          <w:tab w:val="left" w:pos="8220"/>
        </w:tabs>
        <w:ind w:left="5664"/>
        <w:jc w:val="center"/>
        <w:rPr>
          <w:rFonts w:cs="Arial"/>
          <w:b/>
        </w:rPr>
      </w:pPr>
      <w:r w:rsidRPr="007C400C">
        <w:rPr>
          <w:rFonts w:cs="Arial"/>
          <w:b/>
        </w:rPr>
        <w:t>PRIOPĆENJE</w:t>
      </w:r>
    </w:p>
    <w:p w:rsidR="001944F0" w:rsidRPr="007C400C" w:rsidRDefault="001944F0" w:rsidP="001944F0">
      <w:pPr>
        <w:rPr>
          <w:rFonts w:cs="Arial"/>
          <w:sz w:val="18"/>
        </w:rPr>
        <w:sectPr w:rsidR="001944F0" w:rsidRPr="007C400C" w:rsidSect="003B0A1B">
          <w:type w:val="continuous"/>
          <w:pgSz w:w="11906" w:h="16838" w:code="9"/>
          <w:pgMar w:top="1440" w:right="1134" w:bottom="1843" w:left="1418" w:header="851" w:footer="567" w:gutter="0"/>
          <w:cols w:space="708"/>
          <w:formProt w:val="0"/>
          <w:docGrid w:linePitch="360"/>
        </w:sectPr>
      </w:pPr>
    </w:p>
    <w:p w:rsidR="001944F0" w:rsidRPr="007C400C" w:rsidRDefault="001944F0" w:rsidP="001944F0">
      <w:pPr>
        <w:rPr>
          <w:rFonts w:cs="Arial"/>
          <w:sz w:val="20"/>
        </w:rPr>
        <w:sectPr w:rsidR="001944F0" w:rsidRPr="007C400C" w:rsidSect="003B0A1B">
          <w:type w:val="continuous"/>
          <w:pgSz w:w="11906" w:h="16838" w:code="9"/>
          <w:pgMar w:top="3402" w:right="1134" w:bottom="1843" w:left="1418" w:header="851" w:footer="459" w:gutter="0"/>
          <w:cols w:space="708"/>
          <w:docGrid w:linePitch="360"/>
        </w:sectPr>
      </w:pPr>
    </w:p>
    <w:p w:rsidR="001944F0" w:rsidRPr="007C400C" w:rsidRDefault="001944F0" w:rsidP="001944F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1944F0" w:rsidRPr="007C400C"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rsidR="001944F0" w:rsidRPr="007C400C" w:rsidRDefault="000308CA" w:rsidP="001944F0">
      <w:pPr>
        <w:pStyle w:val="CharCharCharCharCharChar1CharChar"/>
        <w:spacing w:line="276" w:lineRule="auto"/>
        <w:ind w:left="0" w:right="140" w:firstLine="0"/>
        <w:rPr>
          <w:rFonts w:asciiTheme="minorHAnsi" w:hAnsiTheme="minorHAnsi" w:cs="Arial"/>
          <w:b/>
          <w:bCs/>
          <w:color w:val="006699"/>
          <w:sz w:val="28"/>
          <w:szCs w:val="28"/>
          <w:lang w:val="hr-HR"/>
        </w:rPr>
      </w:pPr>
      <w:r w:rsidRPr="000308CA">
        <w:rPr>
          <w:rFonts w:asciiTheme="minorHAnsi" w:hAnsiTheme="minorHAnsi" w:cs="Arial"/>
          <w:b/>
          <w:bCs/>
          <w:color w:val="006699"/>
          <w:sz w:val="28"/>
          <w:szCs w:val="28"/>
          <w:lang w:val="hr-HR"/>
        </w:rPr>
        <w:lastRenderedPageBreak/>
        <w:t>Dionicima Ine predstavljena analiza opcija održivog poslovanja Rafinerije nafte Sisak</w:t>
      </w:r>
    </w:p>
    <w:p w:rsidR="001944F0" w:rsidRPr="007C400C" w:rsidRDefault="001944F0" w:rsidP="001944F0">
      <w:pPr>
        <w:ind w:right="140"/>
        <w:jc w:val="both"/>
        <w:rPr>
          <w:rFonts w:ascii="Calibri" w:eastAsiaTheme="minorHAnsi" w:hAnsi="Calibri"/>
          <w:b/>
          <w:bCs/>
          <w:sz w:val="28"/>
          <w:szCs w:val="28"/>
        </w:rPr>
      </w:pPr>
    </w:p>
    <w:p w:rsidR="0006395B" w:rsidRDefault="001944F0" w:rsidP="0006395B">
      <w:pPr>
        <w:ind w:right="140"/>
        <w:jc w:val="both"/>
        <w:rPr>
          <w:rFonts w:asciiTheme="minorHAnsi" w:hAnsiTheme="minorHAnsi"/>
          <w:szCs w:val="22"/>
        </w:rPr>
      </w:pPr>
      <w:r w:rsidRPr="00150572">
        <w:rPr>
          <w:rFonts w:ascii="Calibri" w:hAnsi="Calibri"/>
          <w:b/>
          <w:bCs/>
          <w:szCs w:val="22"/>
        </w:rPr>
        <w:t xml:space="preserve">Zagreb, </w:t>
      </w:r>
      <w:r w:rsidR="000308CA">
        <w:rPr>
          <w:rFonts w:ascii="Calibri" w:hAnsi="Calibri"/>
          <w:b/>
          <w:bCs/>
          <w:szCs w:val="22"/>
        </w:rPr>
        <w:t>7</w:t>
      </w:r>
      <w:r w:rsidRPr="00150572">
        <w:rPr>
          <w:rFonts w:ascii="Calibri" w:hAnsi="Calibri"/>
          <w:b/>
          <w:bCs/>
          <w:szCs w:val="22"/>
        </w:rPr>
        <w:t xml:space="preserve">. </w:t>
      </w:r>
      <w:r w:rsidR="000308CA">
        <w:rPr>
          <w:rFonts w:ascii="Calibri" w:hAnsi="Calibri"/>
          <w:b/>
          <w:bCs/>
          <w:szCs w:val="22"/>
        </w:rPr>
        <w:t>rujn</w:t>
      </w:r>
      <w:r w:rsidR="00115A5C">
        <w:rPr>
          <w:rFonts w:ascii="Calibri" w:hAnsi="Calibri"/>
          <w:b/>
          <w:bCs/>
          <w:szCs w:val="22"/>
        </w:rPr>
        <w:t>a</w:t>
      </w:r>
      <w:r w:rsidRPr="00150572">
        <w:rPr>
          <w:rFonts w:ascii="Calibri" w:hAnsi="Calibri"/>
          <w:b/>
          <w:bCs/>
          <w:szCs w:val="22"/>
        </w:rPr>
        <w:t xml:space="preserve"> 201</w:t>
      </w:r>
      <w:r w:rsidR="00015BA2">
        <w:rPr>
          <w:rFonts w:ascii="Calibri" w:hAnsi="Calibri"/>
          <w:b/>
          <w:bCs/>
          <w:szCs w:val="22"/>
        </w:rPr>
        <w:t>7</w:t>
      </w:r>
      <w:r w:rsidRPr="007C400C">
        <w:rPr>
          <w:rFonts w:ascii="Calibri" w:hAnsi="Calibri"/>
          <w:b/>
          <w:bCs/>
          <w:szCs w:val="22"/>
        </w:rPr>
        <w:t>.</w:t>
      </w:r>
      <w:r w:rsidRPr="007C400C">
        <w:rPr>
          <w:rFonts w:ascii="Calibri" w:hAnsi="Calibri"/>
          <w:szCs w:val="22"/>
        </w:rPr>
        <w:t xml:space="preserve"> – </w:t>
      </w:r>
      <w:r w:rsidR="0006395B" w:rsidRPr="0006395B">
        <w:rPr>
          <w:rFonts w:asciiTheme="minorHAnsi" w:hAnsiTheme="minorHAnsi"/>
          <w:szCs w:val="22"/>
        </w:rPr>
        <w:t xml:space="preserve">Danas je održan sastanak na kojemu je </w:t>
      </w:r>
      <w:proofErr w:type="spellStart"/>
      <w:r w:rsidR="0006395B" w:rsidRPr="0006395B">
        <w:rPr>
          <w:rFonts w:asciiTheme="minorHAnsi" w:hAnsiTheme="minorHAnsi"/>
          <w:szCs w:val="22"/>
        </w:rPr>
        <w:t>Deloitte</w:t>
      </w:r>
      <w:proofErr w:type="spellEnd"/>
      <w:r w:rsidR="0006395B" w:rsidRPr="0006395B">
        <w:rPr>
          <w:rFonts w:asciiTheme="minorHAnsi" w:hAnsiTheme="minorHAnsi"/>
          <w:szCs w:val="22"/>
        </w:rPr>
        <w:t xml:space="preserve"> sindikalnim partnerima i Radničkom vijeću Ine predstavio rezultate analize opcija održivog poslovanja u Rafineriji nafte Sisak. Analiza je prethodno predstavljena Nadzornom odboru i Upravi Ine, a budući da su sad svi dionici upoznati s izvješćem, u skladu s dobrom praksom o rezultatima navedenog projekta INA želi obavijestiti i javnost. </w:t>
      </w:r>
    </w:p>
    <w:p w:rsidR="0006395B" w:rsidRPr="0006395B" w:rsidRDefault="0006395B" w:rsidP="0006395B">
      <w:pPr>
        <w:ind w:right="140"/>
        <w:jc w:val="both"/>
        <w:rPr>
          <w:rFonts w:asciiTheme="minorHAnsi" w:hAnsiTheme="minorHAnsi"/>
          <w:szCs w:val="22"/>
        </w:rPr>
      </w:pPr>
    </w:p>
    <w:p w:rsidR="0006395B" w:rsidRDefault="0006395B" w:rsidP="0006395B">
      <w:pPr>
        <w:ind w:right="140"/>
        <w:jc w:val="both"/>
        <w:rPr>
          <w:rFonts w:asciiTheme="minorHAnsi" w:hAnsiTheme="minorHAnsi"/>
          <w:szCs w:val="22"/>
        </w:rPr>
      </w:pPr>
      <w:r w:rsidRPr="0006395B">
        <w:rPr>
          <w:rFonts w:asciiTheme="minorHAnsi" w:hAnsiTheme="minorHAnsi"/>
          <w:szCs w:val="22"/>
        </w:rPr>
        <w:t xml:space="preserve">Prema poslovnim rezultatima Ine, u 2016. godini Rafinerija nafte Sisak generirala negativni tijek novca u iznosu od (194) milijuna kuna, dok je negativan financijski efekt Rafinerije nafte Sisak na dobit iz osnovne djelatnosti iznosio (264) milijuna kuna. Ovaj trend nastavio se i u prvom polugodištu 2017. s (113) milijuna kuna negativnog novčanog tijeka i (146) milijuna kuna operativnog gubitka, što je negativno utjecalo na rezultat INA Grupe. Uz to, budući da Inini rafinerijski kapaciteti daleko nadmašuju potrebe malog regionalnog tržišta čija potražnja već nekoliko godina pada, nužno je pronaći održivo dugoročno rješenje za Inino rafinerijsko poslovanje. </w:t>
      </w:r>
    </w:p>
    <w:p w:rsidR="0006395B" w:rsidRPr="0006395B" w:rsidRDefault="0006395B" w:rsidP="0006395B">
      <w:pPr>
        <w:ind w:right="140"/>
        <w:jc w:val="both"/>
        <w:rPr>
          <w:rFonts w:asciiTheme="minorHAnsi" w:hAnsiTheme="minorHAnsi"/>
          <w:szCs w:val="22"/>
        </w:rPr>
      </w:pPr>
    </w:p>
    <w:p w:rsidR="0006395B" w:rsidRDefault="0006395B" w:rsidP="0006395B">
      <w:pPr>
        <w:ind w:right="140"/>
        <w:jc w:val="both"/>
        <w:rPr>
          <w:rFonts w:asciiTheme="minorHAnsi" w:hAnsiTheme="minorHAnsi"/>
          <w:szCs w:val="22"/>
        </w:rPr>
      </w:pPr>
      <w:r w:rsidRPr="0006395B">
        <w:rPr>
          <w:rFonts w:asciiTheme="minorHAnsi" w:hAnsiTheme="minorHAnsi"/>
          <w:szCs w:val="22"/>
        </w:rPr>
        <w:t>Predstavljena analiza, provedena uz konzultacije sa svim relevantnim dionicima, ukazuje na nekoliko mogućih rješenja za koja je identificiran potencijal unapređenja poslovnih rezultata sisačke rafinerije, odnosno smanjenje gubitka koji se aktualnim načinom rada kontinuirano generira. Uz razradu navedenih opcija, kreiran je i njihov plan implementacije do 2021. godine.</w:t>
      </w:r>
    </w:p>
    <w:p w:rsidR="0006395B" w:rsidRPr="0006395B" w:rsidRDefault="0006395B" w:rsidP="0006395B">
      <w:pPr>
        <w:ind w:right="140"/>
        <w:jc w:val="both"/>
        <w:rPr>
          <w:rFonts w:asciiTheme="minorHAnsi" w:hAnsiTheme="minorHAnsi"/>
          <w:szCs w:val="22"/>
        </w:rPr>
      </w:pPr>
    </w:p>
    <w:p w:rsidR="0006395B" w:rsidRDefault="0006395B" w:rsidP="0006395B">
      <w:pPr>
        <w:ind w:right="140"/>
        <w:jc w:val="both"/>
        <w:rPr>
          <w:rFonts w:asciiTheme="minorHAnsi" w:hAnsiTheme="minorHAnsi"/>
          <w:szCs w:val="22"/>
        </w:rPr>
      </w:pPr>
      <w:proofErr w:type="spellStart"/>
      <w:r w:rsidRPr="0006395B">
        <w:rPr>
          <w:rFonts w:asciiTheme="minorHAnsi" w:hAnsiTheme="minorHAnsi"/>
          <w:szCs w:val="22"/>
        </w:rPr>
        <w:t>Deloitteova</w:t>
      </w:r>
      <w:proofErr w:type="spellEnd"/>
      <w:r w:rsidRPr="0006395B">
        <w:rPr>
          <w:rFonts w:asciiTheme="minorHAnsi" w:hAnsiTheme="minorHAnsi"/>
          <w:szCs w:val="22"/>
        </w:rPr>
        <w:t xml:space="preserve"> analiza, kao i sve dosadašnje, pokazuje kako je konverzija Rafinerije nafte Sisak u logistički centar ekonomski najisplativije rješenje čijom bi se provedbom realiziralo 93 milijuna dolara novčanog tijeka u sljedeće tri godine u usporedbi sa sadašnjim načinom rada rafinerije. Nekolicina prijedloga iz </w:t>
      </w:r>
      <w:proofErr w:type="spellStart"/>
      <w:r w:rsidRPr="0006395B">
        <w:rPr>
          <w:rFonts w:asciiTheme="minorHAnsi" w:hAnsiTheme="minorHAnsi"/>
          <w:szCs w:val="22"/>
        </w:rPr>
        <w:t>Deloitteove</w:t>
      </w:r>
      <w:proofErr w:type="spellEnd"/>
      <w:r w:rsidRPr="0006395B">
        <w:rPr>
          <w:rFonts w:asciiTheme="minorHAnsi" w:hAnsiTheme="minorHAnsi"/>
          <w:szCs w:val="22"/>
        </w:rPr>
        <w:t xml:space="preserve"> analize kombinira mogućnost prijevoza naftnih poluproizvoda između dviju rafinerija – i to u oba smjera, radi bolje iskoristivosti kapaciteta, s mogućnošću proizvodnje bitumena i </w:t>
      </w:r>
      <w:proofErr w:type="spellStart"/>
      <w:r w:rsidRPr="0006395B">
        <w:rPr>
          <w:rFonts w:asciiTheme="minorHAnsi" w:hAnsiTheme="minorHAnsi"/>
          <w:szCs w:val="22"/>
        </w:rPr>
        <w:t>kalciniranog</w:t>
      </w:r>
      <w:proofErr w:type="spellEnd"/>
      <w:r w:rsidRPr="0006395B">
        <w:rPr>
          <w:rFonts w:asciiTheme="minorHAnsi" w:hAnsiTheme="minorHAnsi"/>
          <w:szCs w:val="22"/>
        </w:rPr>
        <w:t xml:space="preserve"> koksa u Sisku. Na taj način rasteretila bi se Rijeka tijekom tri godine koliko će trajati izgradnja Postrojenja za obradu teških ostataka, a kada bi bio moguć i eventualni početak pokretanja </w:t>
      </w:r>
      <w:proofErr w:type="spellStart"/>
      <w:r w:rsidRPr="0006395B">
        <w:rPr>
          <w:rFonts w:asciiTheme="minorHAnsi" w:hAnsiTheme="minorHAnsi"/>
          <w:szCs w:val="22"/>
        </w:rPr>
        <w:t>Biorafinerije</w:t>
      </w:r>
      <w:proofErr w:type="spellEnd"/>
      <w:r w:rsidRPr="0006395B">
        <w:rPr>
          <w:rFonts w:asciiTheme="minorHAnsi" w:hAnsiTheme="minorHAnsi"/>
          <w:szCs w:val="22"/>
        </w:rPr>
        <w:t xml:space="preserve"> u Sisku. U međuvremenu bi Sisak nastavio s radom u blokovima kad se radi o preradi nafte, dok bi sekundarna postrojenja radila kontinuirano, bez obustava, što bi značilo i očuvanje više radnih mjesta, a gubitak za kompaniju bio bi najmanji mogući. </w:t>
      </w:r>
    </w:p>
    <w:p w:rsidR="0006395B" w:rsidRPr="0006395B" w:rsidRDefault="0006395B" w:rsidP="0006395B">
      <w:pPr>
        <w:ind w:right="140"/>
        <w:jc w:val="both"/>
        <w:rPr>
          <w:rFonts w:asciiTheme="minorHAnsi" w:hAnsiTheme="minorHAnsi"/>
          <w:szCs w:val="22"/>
        </w:rPr>
      </w:pPr>
    </w:p>
    <w:p w:rsidR="0006395B" w:rsidRDefault="0006395B" w:rsidP="0006395B">
      <w:pPr>
        <w:ind w:right="140"/>
        <w:jc w:val="both"/>
        <w:rPr>
          <w:rFonts w:asciiTheme="minorHAnsi" w:hAnsiTheme="minorHAnsi"/>
          <w:szCs w:val="22"/>
        </w:rPr>
      </w:pPr>
      <w:r w:rsidRPr="0006395B">
        <w:rPr>
          <w:rFonts w:asciiTheme="minorHAnsi" w:hAnsiTheme="minorHAnsi"/>
          <w:szCs w:val="22"/>
        </w:rPr>
        <w:lastRenderedPageBreak/>
        <w:t xml:space="preserve">Zlatko </w:t>
      </w:r>
      <w:proofErr w:type="spellStart"/>
      <w:r w:rsidRPr="0006395B">
        <w:rPr>
          <w:rFonts w:asciiTheme="minorHAnsi" w:hAnsiTheme="minorHAnsi"/>
          <w:szCs w:val="22"/>
        </w:rPr>
        <w:t>Bazianec</w:t>
      </w:r>
      <w:proofErr w:type="spellEnd"/>
      <w:r w:rsidRPr="0006395B">
        <w:rPr>
          <w:rFonts w:asciiTheme="minorHAnsi" w:hAnsiTheme="minorHAnsi"/>
          <w:szCs w:val="22"/>
        </w:rPr>
        <w:t xml:space="preserve"> iz </w:t>
      </w:r>
      <w:proofErr w:type="spellStart"/>
      <w:r w:rsidRPr="0006395B">
        <w:rPr>
          <w:rFonts w:asciiTheme="minorHAnsi" w:hAnsiTheme="minorHAnsi"/>
          <w:szCs w:val="22"/>
        </w:rPr>
        <w:t>Deloittea</w:t>
      </w:r>
      <w:proofErr w:type="spellEnd"/>
      <w:r w:rsidRPr="0006395B">
        <w:rPr>
          <w:rFonts w:asciiTheme="minorHAnsi" w:hAnsiTheme="minorHAnsi"/>
          <w:szCs w:val="22"/>
        </w:rPr>
        <w:t xml:space="preserve"> izjavio je: „Kako bismo uzeli u obzir sve prikupljene relevantne čimbenike i kako bi izvješće bilo što sveobuhvatnije, analizom je identificirano i nekoliko prijelaznih rješenja usko povezanih uz realizaciju Postrojenja za obradu teških ostataka u Rafineriji nafte Rijeka te planiranog pokretanja Bio-rafinerije u Sisku. Navedene opcije omogućile bi smanjenje </w:t>
      </w:r>
      <w:proofErr w:type="spellStart"/>
      <w:r w:rsidRPr="0006395B">
        <w:rPr>
          <w:rFonts w:asciiTheme="minorHAnsi" w:hAnsiTheme="minorHAnsi"/>
          <w:szCs w:val="22"/>
        </w:rPr>
        <w:t>oportunitetnog</w:t>
      </w:r>
      <w:proofErr w:type="spellEnd"/>
      <w:r w:rsidRPr="0006395B">
        <w:rPr>
          <w:rFonts w:asciiTheme="minorHAnsi" w:hAnsiTheme="minorHAnsi"/>
          <w:szCs w:val="22"/>
        </w:rPr>
        <w:t xml:space="preserve"> troška i očuvanje većeg broja radnih mjesta na srednji rok. Također, podrazumijevaju veću poslovnu aktivnost i kontinuirani rad pojedinih postrojenja u sisačkoj rafineriji.“ </w:t>
      </w:r>
    </w:p>
    <w:p w:rsidR="0006395B" w:rsidRPr="0006395B" w:rsidRDefault="0006395B" w:rsidP="0006395B">
      <w:pPr>
        <w:ind w:right="140"/>
        <w:jc w:val="both"/>
        <w:rPr>
          <w:rFonts w:asciiTheme="minorHAnsi" w:hAnsiTheme="minorHAnsi"/>
          <w:szCs w:val="22"/>
        </w:rPr>
      </w:pPr>
    </w:p>
    <w:p w:rsidR="0006395B" w:rsidRPr="0006395B" w:rsidRDefault="0006395B" w:rsidP="0006395B">
      <w:pPr>
        <w:ind w:right="140"/>
        <w:jc w:val="both"/>
        <w:rPr>
          <w:rFonts w:asciiTheme="minorHAnsi" w:hAnsiTheme="minorHAnsi"/>
          <w:szCs w:val="22"/>
        </w:rPr>
      </w:pPr>
      <w:r w:rsidRPr="0006395B">
        <w:rPr>
          <w:rFonts w:asciiTheme="minorHAnsi" w:hAnsiTheme="minorHAnsi"/>
          <w:szCs w:val="22"/>
        </w:rPr>
        <w:t xml:space="preserve">Izvješće koje je predstavio </w:t>
      </w:r>
      <w:proofErr w:type="spellStart"/>
      <w:r w:rsidRPr="0006395B">
        <w:rPr>
          <w:rFonts w:asciiTheme="minorHAnsi" w:hAnsiTheme="minorHAnsi"/>
          <w:szCs w:val="22"/>
        </w:rPr>
        <w:t>Deloitte</w:t>
      </w:r>
      <w:proofErr w:type="spellEnd"/>
      <w:r w:rsidRPr="0006395B">
        <w:rPr>
          <w:rFonts w:asciiTheme="minorHAnsi" w:hAnsiTheme="minorHAnsi"/>
          <w:szCs w:val="22"/>
        </w:rPr>
        <w:t xml:space="preserve"> jasno ukazuje kako je prijelazna opcija samo rješenje na srednji rok koje podrazumijeva konverziju Rafinerije nafte Sisak u potencijalno Bio-rafineriju i logistički centar od 1. siječnja 2021. godine ili najkasnije s početkom rada Postrojenja za obradu teških ostataka u Rafineriji nafte Rijeka, Ininog ulaganja procijenjene vrijednosti od oko 3 milijarde kuna. Prijelaznim rješenjem dobilo bi se na vremenu za dodatnu razradu dugoročnog održivog rješenja Bio-strategije Ine, istovremeno minimizirajući gubitke koje RNS generira trenutnim načinom rada te je na Upravi da donese odluku o daljnjim koracima temeljem analize financijske isplativosti i održivosti predstavljenih rješenja.</w:t>
      </w:r>
    </w:p>
    <w:p w:rsidR="0006395B" w:rsidRDefault="0006395B" w:rsidP="0006395B">
      <w:pPr>
        <w:ind w:right="140"/>
        <w:jc w:val="both"/>
        <w:rPr>
          <w:rFonts w:asciiTheme="minorHAnsi" w:hAnsiTheme="minorHAnsi"/>
          <w:szCs w:val="22"/>
        </w:rPr>
      </w:pPr>
    </w:p>
    <w:p w:rsidR="00955DA4" w:rsidRDefault="0006395B" w:rsidP="0006395B">
      <w:pPr>
        <w:ind w:right="140"/>
        <w:jc w:val="both"/>
        <w:rPr>
          <w:rFonts w:asciiTheme="minorHAnsi" w:hAnsiTheme="minorHAnsi"/>
          <w:szCs w:val="22"/>
        </w:rPr>
      </w:pPr>
      <w:bookmarkStart w:id="0" w:name="_GoBack"/>
      <w:bookmarkEnd w:id="0"/>
      <w:r w:rsidRPr="0006395B">
        <w:rPr>
          <w:rFonts w:asciiTheme="minorHAnsi" w:hAnsiTheme="minorHAnsi"/>
          <w:szCs w:val="22"/>
        </w:rPr>
        <w:t xml:space="preserve">Nastavno na predstavljeno izvješće, nužno je provesti pregovore sa svim relevantnim dionicima na temu budućnosti Rafinerije nafte Sisak, kao i započeti s pripremom svih koraka potrebnih za uspostavu prijevoza domaće nafte u Rafineriju nafte Rijeka, i to po mogućnosti JANAF-ovim naftovodom, osigurati sve logističke kapacitete (uključujući projekt za logistički centar). Također, u kontekstu razvoja Bio-rafinerije potrebno je zajedno s državnim institucijama pratiti i </w:t>
      </w:r>
      <w:proofErr w:type="spellStart"/>
      <w:r w:rsidRPr="0006395B">
        <w:rPr>
          <w:rFonts w:asciiTheme="minorHAnsi" w:hAnsiTheme="minorHAnsi"/>
          <w:szCs w:val="22"/>
        </w:rPr>
        <w:t>proaktivno</w:t>
      </w:r>
      <w:proofErr w:type="spellEnd"/>
      <w:r w:rsidRPr="0006395B">
        <w:rPr>
          <w:rFonts w:asciiTheme="minorHAnsi" w:hAnsiTheme="minorHAnsi"/>
          <w:szCs w:val="22"/>
        </w:rPr>
        <w:t xml:space="preserve"> se zalagati za povoljne ishode promjena u regulatornom okviru i RED II direktivi. Ta opcija predstavlja potencijalno dugoročno rješenje zbog čitavog niza tehničkih i regulatornih preduvjeta koje je potrebno ispuniti za eventualnu provedbu</w:t>
      </w:r>
      <w:r w:rsidR="00955DA4">
        <w:rPr>
          <w:rFonts w:asciiTheme="minorHAnsi" w:hAnsiTheme="minorHAnsi"/>
          <w:szCs w:val="22"/>
        </w:rPr>
        <w:t xml:space="preserve">. </w:t>
      </w:r>
    </w:p>
    <w:p w:rsidR="002757E1" w:rsidRPr="00130CDF" w:rsidRDefault="002757E1" w:rsidP="002757E1">
      <w:pPr>
        <w:ind w:right="140"/>
        <w:jc w:val="both"/>
        <w:rPr>
          <w:rFonts w:asciiTheme="minorHAnsi" w:hAnsiTheme="minorHAnsi"/>
          <w:szCs w:val="22"/>
        </w:rPr>
      </w:pPr>
    </w:p>
    <w:p w:rsidR="001944F0" w:rsidRPr="007C400C" w:rsidRDefault="001944F0" w:rsidP="001944F0">
      <w:pPr>
        <w:spacing w:before="100" w:beforeAutospacing="1" w:after="100" w:afterAutospacing="1"/>
        <w:jc w:val="both"/>
        <w:outlineLvl w:val="0"/>
        <w:rPr>
          <w:rFonts w:asciiTheme="minorHAnsi" w:hAnsiTheme="minorHAnsi" w:cs="Arial"/>
          <w:i/>
          <w:iCs/>
          <w:sz w:val="20"/>
          <w:szCs w:val="20"/>
          <w:lang w:eastAsia="hr-HR"/>
        </w:rPr>
      </w:pPr>
      <w:r w:rsidRPr="007C400C">
        <w:rPr>
          <w:rFonts w:asciiTheme="minorHAnsi" w:eastAsia="Calibri" w:hAnsiTheme="minorHAnsi" w:cs="Arial"/>
          <w:b/>
          <w:sz w:val="20"/>
          <w:szCs w:val="20"/>
        </w:rPr>
        <w:t xml:space="preserve">O INA Grupi </w:t>
      </w:r>
    </w:p>
    <w:p w:rsidR="001944F0" w:rsidRDefault="00015BA2" w:rsidP="001944F0">
      <w:pPr>
        <w:jc w:val="both"/>
        <w:rPr>
          <w:rFonts w:asciiTheme="minorHAnsi" w:eastAsia="Calibri" w:hAnsiTheme="minorHAnsi" w:cs="Arial"/>
          <w:sz w:val="20"/>
          <w:szCs w:val="20"/>
        </w:rPr>
      </w:pPr>
      <w:r w:rsidRPr="00015BA2">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495 benzinskih postaja u Hrvatskoj i u susjednim zemljama</w:t>
      </w:r>
      <w:r>
        <w:rPr>
          <w:rFonts w:asciiTheme="minorHAnsi" w:eastAsia="Calibri" w:hAnsiTheme="minorHAnsi" w:cs="Arial"/>
          <w:sz w:val="20"/>
          <w:szCs w:val="20"/>
        </w:rPr>
        <w:t>.</w:t>
      </w:r>
    </w:p>
    <w:p w:rsidR="00015BA2" w:rsidRPr="007C400C" w:rsidRDefault="00015BA2" w:rsidP="001944F0">
      <w:pPr>
        <w:jc w:val="both"/>
        <w:rPr>
          <w:rFonts w:asciiTheme="minorHAnsi" w:eastAsia="Calibri" w:hAnsiTheme="minorHAnsi" w:cs="Arial"/>
          <w:b/>
          <w:sz w:val="20"/>
          <w:szCs w:val="20"/>
        </w:rPr>
      </w:pPr>
    </w:p>
    <w:p w:rsidR="001944F0" w:rsidRPr="007C400C" w:rsidRDefault="001944F0" w:rsidP="001944F0">
      <w:pPr>
        <w:jc w:val="both"/>
        <w:rPr>
          <w:rFonts w:asciiTheme="minorHAnsi" w:eastAsia="Calibri" w:hAnsiTheme="minorHAnsi" w:cs="Arial"/>
          <w:sz w:val="20"/>
          <w:szCs w:val="20"/>
        </w:rPr>
      </w:pPr>
      <w:r w:rsidRPr="007C400C">
        <w:rPr>
          <w:rFonts w:asciiTheme="minorHAnsi" w:eastAsia="Calibri" w:hAnsiTheme="minorHAnsi" w:cs="Arial"/>
          <w:b/>
          <w:sz w:val="20"/>
          <w:szCs w:val="20"/>
        </w:rPr>
        <w:t>PR</w:t>
      </w:r>
      <w:r w:rsidRPr="007C400C">
        <w:rPr>
          <w:rFonts w:asciiTheme="minorHAnsi" w:eastAsia="Calibri" w:hAnsiTheme="minorHAnsi" w:cs="Arial"/>
          <w:b/>
          <w:sz w:val="20"/>
          <w:szCs w:val="20"/>
        </w:rPr>
        <w:tab/>
      </w:r>
    </w:p>
    <w:p w:rsidR="001944F0" w:rsidRPr="007C400C" w:rsidRDefault="001944F0" w:rsidP="001944F0">
      <w:pPr>
        <w:jc w:val="both"/>
        <w:rPr>
          <w:rFonts w:asciiTheme="minorHAnsi" w:eastAsia="Calibri" w:hAnsiTheme="minorHAnsi" w:cs="Arial"/>
          <w:sz w:val="20"/>
          <w:szCs w:val="20"/>
        </w:rPr>
      </w:pPr>
      <w:r w:rsidRPr="007C400C">
        <w:rPr>
          <w:rFonts w:asciiTheme="minorHAnsi" w:eastAsia="Calibri" w:hAnsiTheme="minorHAnsi" w:cs="Arial"/>
          <w:sz w:val="20"/>
          <w:szCs w:val="20"/>
        </w:rPr>
        <w:t>Avenija Većeslava Holjevca 10, Zagreb</w:t>
      </w:r>
    </w:p>
    <w:p w:rsidR="001944F0" w:rsidRPr="008A3672" w:rsidRDefault="001944F0" w:rsidP="008A3672">
      <w:pPr>
        <w:jc w:val="both"/>
        <w:rPr>
          <w:rFonts w:asciiTheme="minorHAnsi" w:hAnsiTheme="minorHAnsi" w:cs="Arial"/>
          <w:sz w:val="20"/>
          <w:szCs w:val="20"/>
        </w:rPr>
        <w:sectPr w:rsidR="001944F0" w:rsidRPr="008A3672" w:rsidSect="007C400C">
          <w:type w:val="continuous"/>
          <w:pgSz w:w="11906" w:h="16838"/>
          <w:pgMar w:top="1560" w:right="1134" w:bottom="2552" w:left="1418" w:header="851" w:footer="459" w:gutter="0"/>
          <w:cols w:space="720"/>
        </w:sectPr>
      </w:pPr>
      <w:r w:rsidRPr="007C400C">
        <w:rPr>
          <w:rFonts w:asciiTheme="minorHAnsi" w:eastAsia="Calibri" w:hAnsiTheme="minorHAnsi" w:cs="Arial"/>
          <w:sz w:val="20"/>
          <w:szCs w:val="20"/>
        </w:rPr>
        <w:t xml:space="preserve">Tel:  01 6450 552|Fax: 01 6452 406| @: </w:t>
      </w:r>
      <w:hyperlink r:id="rId20" w:history="1">
        <w:r w:rsidRPr="007C400C">
          <w:rPr>
            <w:rFonts w:asciiTheme="minorHAnsi" w:eastAsia="Calibri" w:hAnsiTheme="minorHAnsi" w:cs="Arial"/>
            <w:color w:val="0000FF"/>
            <w:sz w:val="20"/>
            <w:szCs w:val="20"/>
            <w:u w:val="single"/>
          </w:rPr>
          <w:t>pr@ina.hr</w:t>
        </w:r>
      </w:hyperlink>
      <w:r w:rsidRPr="007C400C">
        <w:rPr>
          <w:rFonts w:asciiTheme="minorHAnsi" w:eastAsia="Calibri" w:hAnsiTheme="minorHAnsi" w:cs="Arial"/>
          <w:sz w:val="20"/>
          <w:szCs w:val="20"/>
        </w:rPr>
        <w:t xml:space="preserve"> </w:t>
      </w:r>
    </w:p>
    <w:p w:rsidR="008055F8" w:rsidRDefault="008055F8"/>
    <w:sectPr w:rsidR="008055F8" w:rsidSect="003B0A1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95" w:rsidRDefault="00451C95">
      <w:r>
        <w:separator/>
      </w:r>
    </w:p>
  </w:endnote>
  <w:endnote w:type="continuationSeparator" w:id="0">
    <w:p w:rsidR="00451C95" w:rsidRDefault="0045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2EC" w:rsidRDefault="00451C95"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1944F0">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24A3719F" wp14:editId="2D4AA925">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C254"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451C9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1944F0">
          <w:pPr>
            <w:pStyle w:val="Footer"/>
            <w:rPr>
              <w:rFonts w:cs="Arial"/>
              <w:b/>
              <w:bCs/>
              <w:sz w:val="12"/>
            </w:rPr>
          </w:pPr>
          <w:r>
            <w:rPr>
              <w:rFonts w:cs="Arial"/>
              <w:b/>
              <w:bCs/>
              <w:sz w:val="12"/>
            </w:rPr>
            <w:t>INA, d.d.</w:t>
          </w:r>
        </w:p>
        <w:p w:rsidR="005922EC" w:rsidRDefault="001944F0">
          <w:pPr>
            <w:pStyle w:val="Footer"/>
            <w:rPr>
              <w:rFonts w:cs="Arial"/>
              <w:sz w:val="12"/>
            </w:rPr>
          </w:pPr>
          <w:r>
            <w:rPr>
              <w:rFonts w:cs="Arial"/>
              <w:sz w:val="12"/>
            </w:rPr>
            <w:t xml:space="preserve">Avenija Većeslava Holjevca 10 </w:t>
          </w:r>
        </w:p>
        <w:p w:rsidR="005922EC" w:rsidRDefault="001944F0">
          <w:pPr>
            <w:pStyle w:val="Footer"/>
            <w:rPr>
              <w:rFonts w:cs="Arial"/>
              <w:sz w:val="12"/>
            </w:rPr>
          </w:pPr>
          <w:r>
            <w:rPr>
              <w:rFonts w:cs="Arial"/>
              <w:sz w:val="12"/>
            </w:rPr>
            <w:t>10 002 Zagreb           p.p. 555</w:t>
          </w:r>
        </w:p>
        <w:p w:rsidR="005922EC" w:rsidRDefault="001944F0">
          <w:pPr>
            <w:pStyle w:val="Footer"/>
            <w:rPr>
              <w:rFonts w:cs="Arial"/>
              <w:sz w:val="12"/>
            </w:rPr>
          </w:pPr>
          <w:r>
            <w:rPr>
              <w:rFonts w:cs="Arial"/>
              <w:sz w:val="12"/>
            </w:rPr>
            <w:t xml:space="preserve">Hrvatska - </w:t>
          </w:r>
          <w:r>
            <w:rPr>
              <w:rFonts w:cs="Arial"/>
              <w:i/>
              <w:iCs/>
              <w:sz w:val="12"/>
            </w:rPr>
            <w:t>Croatia</w:t>
          </w:r>
        </w:p>
        <w:p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1944F0">
          <w:pPr>
            <w:pStyle w:val="Footer"/>
            <w:rPr>
              <w:rFonts w:cs="Arial"/>
              <w:sz w:val="12"/>
            </w:rPr>
          </w:pPr>
          <w:r>
            <w:rPr>
              <w:rFonts w:cs="Arial"/>
              <w:sz w:val="12"/>
            </w:rPr>
            <w:t>Trgovački sud u Zagrebu</w:t>
          </w:r>
        </w:p>
        <w:p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1944F0">
          <w:pPr>
            <w:pStyle w:val="Footer"/>
            <w:rPr>
              <w:rFonts w:cs="Arial"/>
              <w:sz w:val="12"/>
            </w:rPr>
          </w:pPr>
          <w:r>
            <w:rPr>
              <w:rFonts w:cs="Arial"/>
              <w:sz w:val="12"/>
            </w:rPr>
            <w:t>MBS: 080000604</w:t>
          </w:r>
        </w:p>
        <w:p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1944F0">
          <w:pPr>
            <w:pStyle w:val="Footer"/>
            <w:rPr>
              <w:rFonts w:cs="Arial"/>
              <w:sz w:val="12"/>
            </w:rPr>
          </w:pPr>
          <w:r>
            <w:rPr>
              <w:rFonts w:cs="Arial"/>
              <w:sz w:val="12"/>
            </w:rPr>
            <w:t xml:space="preserve">9.000.000.000 Kn </w:t>
          </w:r>
        </w:p>
        <w:p w:rsidR="005922EC" w:rsidRDefault="001944F0">
          <w:pPr>
            <w:pStyle w:val="Footer"/>
            <w:rPr>
              <w:rFonts w:cs="Arial"/>
              <w:sz w:val="12"/>
            </w:rPr>
          </w:pPr>
          <w:r>
            <w:rPr>
              <w:rFonts w:cs="Arial"/>
              <w:sz w:val="12"/>
            </w:rPr>
            <w:t>Broj izdanih dionica / Nominalna vrijednost</w:t>
          </w:r>
        </w:p>
        <w:p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1944F0">
          <w:pPr>
            <w:pStyle w:val="Footer"/>
            <w:rPr>
              <w:rFonts w:cs="Arial"/>
              <w:sz w:val="12"/>
            </w:rPr>
          </w:pPr>
          <w:r>
            <w:rPr>
              <w:rFonts w:cs="Arial"/>
              <w:sz w:val="12"/>
            </w:rPr>
            <w:t>10.000.000 / 900,00 Kn</w:t>
          </w:r>
        </w:p>
        <w:p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451C95">
          <w:pPr>
            <w:pStyle w:val="Footer"/>
            <w:rPr>
              <w:rFonts w:cs="Arial"/>
              <w:b/>
              <w:bCs/>
              <w:sz w:val="12"/>
            </w:rPr>
          </w:pPr>
        </w:p>
      </w:tc>
      <w:tc>
        <w:tcPr>
          <w:tcW w:w="1526"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Privredna banka Zagreb</w:t>
          </w:r>
        </w:p>
        <w:p w:rsidR="005922EC" w:rsidRDefault="001944F0">
          <w:pPr>
            <w:pStyle w:val="Footer"/>
            <w:spacing w:line="216" w:lineRule="auto"/>
            <w:ind w:left="-108"/>
            <w:rPr>
              <w:rFonts w:cs="Arial"/>
              <w:sz w:val="12"/>
            </w:rPr>
          </w:pPr>
          <w:r>
            <w:rPr>
              <w:rFonts w:cs="Arial"/>
              <w:sz w:val="12"/>
            </w:rPr>
            <w:t>Raiffeisen banka</w:t>
          </w:r>
        </w:p>
        <w:p w:rsidR="005922EC" w:rsidRDefault="001944F0">
          <w:pPr>
            <w:pStyle w:val="Footer"/>
            <w:spacing w:line="216" w:lineRule="auto"/>
            <w:ind w:left="-108"/>
            <w:rPr>
              <w:rFonts w:cs="Arial"/>
              <w:sz w:val="12"/>
            </w:rPr>
          </w:pPr>
          <w:r>
            <w:rPr>
              <w:rFonts w:cs="Arial"/>
              <w:sz w:val="12"/>
            </w:rPr>
            <w:t>Zagrebačka banka Zagreb</w:t>
          </w:r>
        </w:p>
        <w:p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Račkoga 6, 10000 Zagreb</w:t>
          </w:r>
        </w:p>
        <w:p w:rsidR="005922EC" w:rsidRDefault="001944F0">
          <w:pPr>
            <w:pStyle w:val="Footer"/>
            <w:spacing w:line="216" w:lineRule="auto"/>
            <w:ind w:left="-108"/>
            <w:rPr>
              <w:rFonts w:cs="Arial"/>
              <w:sz w:val="12"/>
            </w:rPr>
          </w:pPr>
          <w:r>
            <w:rPr>
              <w:rFonts w:cs="Arial"/>
              <w:sz w:val="12"/>
            </w:rPr>
            <w:t>Petrinjska 59, 10000 Zagreb</w:t>
          </w:r>
        </w:p>
        <w:p w:rsidR="005922EC" w:rsidRDefault="001944F0">
          <w:pPr>
            <w:pStyle w:val="Footer"/>
            <w:spacing w:line="216" w:lineRule="auto"/>
            <w:ind w:left="-108"/>
            <w:rPr>
              <w:rFonts w:cs="Arial"/>
              <w:sz w:val="12"/>
            </w:rPr>
          </w:pPr>
          <w:r>
            <w:rPr>
              <w:rFonts w:cs="Arial"/>
              <w:sz w:val="12"/>
            </w:rPr>
            <w:t>Paromlinska 2, 10000 Zagreb</w:t>
          </w:r>
        </w:p>
        <w:p w:rsidR="005922EC" w:rsidRDefault="001944F0">
          <w:pPr>
            <w:pStyle w:val="Footer"/>
            <w:spacing w:line="216" w:lineRule="auto"/>
            <w:ind w:left="-108"/>
            <w:rPr>
              <w:rFonts w:cs="Arial"/>
              <w:sz w:val="12"/>
            </w:rPr>
          </w:pPr>
          <w:r>
            <w:rPr>
              <w:rFonts w:cs="Arial"/>
              <w:sz w:val="12"/>
            </w:rPr>
            <w:t>Gajeva 1, 10000 Zagreb</w:t>
          </w:r>
        </w:p>
        <w:p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1944F0">
          <w:pPr>
            <w:pStyle w:val="Footer"/>
            <w:spacing w:line="216" w:lineRule="auto"/>
            <w:ind w:left="-108" w:right="-108"/>
            <w:rPr>
              <w:rFonts w:cs="Arial"/>
              <w:sz w:val="12"/>
            </w:rPr>
          </w:pPr>
          <w:r>
            <w:rPr>
              <w:rFonts w:cs="Arial"/>
              <w:sz w:val="12"/>
            </w:rPr>
            <w:t>2340009-1100022902</w:t>
          </w:r>
        </w:p>
        <w:p w:rsidR="005922EC" w:rsidRDefault="001944F0">
          <w:pPr>
            <w:pStyle w:val="Footer"/>
            <w:spacing w:line="216" w:lineRule="auto"/>
            <w:ind w:left="-108" w:right="-108"/>
            <w:rPr>
              <w:rFonts w:cs="Arial"/>
              <w:sz w:val="12"/>
            </w:rPr>
          </w:pPr>
          <w:r>
            <w:rPr>
              <w:rFonts w:cs="Arial"/>
              <w:sz w:val="12"/>
            </w:rPr>
            <w:t>2484008-1100619483</w:t>
          </w:r>
        </w:p>
        <w:p w:rsidR="005922EC" w:rsidRDefault="001944F0">
          <w:pPr>
            <w:pStyle w:val="Footer"/>
            <w:spacing w:line="216" w:lineRule="auto"/>
            <w:ind w:left="-108" w:right="-108"/>
            <w:rPr>
              <w:rFonts w:cs="Arial"/>
              <w:sz w:val="12"/>
            </w:rPr>
          </w:pPr>
          <w:r>
            <w:rPr>
              <w:rFonts w:cs="Arial"/>
              <w:sz w:val="12"/>
            </w:rPr>
            <w:t>2360000-1101303595</w:t>
          </w:r>
        </w:p>
        <w:p w:rsidR="005922EC" w:rsidRDefault="001944F0">
          <w:pPr>
            <w:pStyle w:val="Footer"/>
            <w:spacing w:line="216" w:lineRule="auto"/>
            <w:ind w:left="-108" w:right="-108"/>
            <w:rPr>
              <w:rFonts w:cs="Arial"/>
              <w:sz w:val="12"/>
            </w:rPr>
          </w:pPr>
          <w:r>
            <w:rPr>
              <w:rFonts w:cs="Arial"/>
              <w:sz w:val="12"/>
            </w:rPr>
            <w:t>2504000-1120002224</w:t>
          </w:r>
        </w:p>
        <w:p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451C95">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1944F0">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451C95">
          <w:pPr>
            <w:pStyle w:val="Footer"/>
            <w:spacing w:line="216" w:lineRule="auto"/>
            <w:ind w:right="-108"/>
            <w:rPr>
              <w:rFonts w:cs="Arial"/>
              <w:sz w:val="2"/>
            </w:rPr>
          </w:pPr>
        </w:p>
        <w:p w:rsidR="005922EC" w:rsidRDefault="00451C95">
          <w:pPr>
            <w:pStyle w:val="Footer"/>
            <w:spacing w:line="216" w:lineRule="auto"/>
            <w:ind w:right="-108"/>
            <w:rPr>
              <w:rFonts w:cs="Arial"/>
              <w:sz w:val="2"/>
            </w:rPr>
          </w:pPr>
        </w:p>
        <w:p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451C95">
          <w:pPr>
            <w:pStyle w:val="Footer"/>
            <w:rPr>
              <w:rFonts w:cs="Arial"/>
              <w:sz w:val="12"/>
            </w:rPr>
          </w:pPr>
        </w:p>
      </w:tc>
    </w:tr>
  </w:tbl>
  <w:p w:rsidR="005922EC" w:rsidRPr="00BE07FB" w:rsidRDefault="00451C95">
    <w:pPr>
      <w:rPr>
        <w:sz w:val="2"/>
        <w:szCs w:val="2"/>
      </w:rPr>
    </w:pPr>
  </w:p>
  <w:p w:rsidR="005922EC" w:rsidRPr="00B976E5" w:rsidRDefault="00451C95"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51C95" w:rsidP="005E2581">
    <w:pPr>
      <w:pStyle w:val="Footer"/>
      <w:ind w:right="360"/>
      <w:rPr>
        <w:sz w:val="2"/>
      </w:rPr>
    </w:pPr>
  </w:p>
  <w:p w:rsidR="005922EC" w:rsidRDefault="00451C95">
    <w:pPr>
      <w:pStyle w:val="Footer"/>
      <w:rPr>
        <w:sz w:val="2"/>
      </w:rPr>
    </w:pPr>
  </w:p>
  <w:p w:rsidR="005922EC" w:rsidRDefault="00451C95" w:rsidP="001F421D">
    <w:pPr>
      <w:pStyle w:val="Footer"/>
      <w:ind w:right="360"/>
      <w:rPr>
        <w:sz w:val="2"/>
      </w:rPr>
    </w:pPr>
  </w:p>
  <w:p w:rsidR="005922EC" w:rsidRDefault="00451C95"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1944F0">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Pr="00374688">
            <w:rPr>
              <w:rStyle w:val="PageNumber"/>
              <w:noProof/>
              <w:sz w:val="18"/>
              <w:szCs w:val="18"/>
            </w:rPr>
            <w:t>1</w:t>
          </w:r>
          <w:r w:rsidRPr="00374688">
            <w:rPr>
              <w:rStyle w:val="PageNumber"/>
              <w:sz w:val="18"/>
              <w:szCs w:val="18"/>
            </w:rPr>
            <w:fldChar w:fldCharType="end"/>
          </w:r>
        </w:p>
      </w:tc>
    </w:tr>
  </w:tbl>
  <w:p w:rsidR="005922EC" w:rsidRDefault="00451C95"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1944F0">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451C95">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1944F0">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451C95">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1944F0">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1944F0"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p>
      </w:tc>
    </w:tr>
  </w:tbl>
  <w:p w:rsidR="005922EC" w:rsidRDefault="00451C95">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1944F0" w:rsidP="00F44E41">
                <w:pPr>
                  <w:pStyle w:val="Footer"/>
                  <w:spacing w:before="20" w:after="20"/>
                  <w:rPr>
                    <w:rFonts w:cs="Arial"/>
                    <w:b/>
                    <w:bCs/>
                    <w:sz w:val="14"/>
                    <w:szCs w:val="14"/>
                  </w:rPr>
                </w:pPr>
                <w:r w:rsidRPr="00E22D6A">
                  <w:rPr>
                    <w:rFonts w:cs="Arial"/>
                    <w:b/>
                    <w:bCs/>
                    <w:sz w:val="14"/>
                    <w:szCs w:val="14"/>
                  </w:rPr>
                  <w:t>INA, d.d.</w:t>
                </w:r>
              </w:p>
              <w:p w:rsidR="005922EC" w:rsidRPr="00126238" w:rsidRDefault="001944F0" w:rsidP="00F44E41">
                <w:pPr>
                  <w:pStyle w:val="Footer"/>
                  <w:rPr>
                    <w:rFonts w:cs="Arial"/>
                    <w:sz w:val="11"/>
                    <w:szCs w:val="11"/>
                  </w:rPr>
                </w:pPr>
                <w:r w:rsidRPr="00126238">
                  <w:rPr>
                    <w:rFonts w:cs="Arial"/>
                    <w:sz w:val="11"/>
                    <w:szCs w:val="11"/>
                  </w:rPr>
                  <w:t xml:space="preserve">Avenija Većeslava Holjevca 10 </w:t>
                </w:r>
              </w:p>
              <w:p w:rsidR="005922EC" w:rsidRPr="00126238" w:rsidRDefault="001944F0" w:rsidP="00F44E41">
                <w:pPr>
                  <w:pStyle w:val="Footer"/>
                  <w:rPr>
                    <w:rFonts w:cs="Arial"/>
                    <w:sz w:val="11"/>
                    <w:szCs w:val="11"/>
                  </w:rPr>
                </w:pPr>
                <w:r w:rsidRPr="00126238">
                  <w:rPr>
                    <w:rFonts w:cs="Arial"/>
                    <w:sz w:val="11"/>
                    <w:szCs w:val="11"/>
                  </w:rPr>
                  <w:t>10 002 Zagreb    p.p. 555</w:t>
                </w:r>
              </w:p>
              <w:p w:rsidR="005922EC" w:rsidRPr="00126238" w:rsidRDefault="001944F0"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1944F0"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1944F0"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1944F0"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1944F0"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1944F0"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1944F0"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1944F0"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451C95" w:rsidP="00F44E41">
                <w:pPr>
                  <w:pStyle w:val="Footer"/>
                  <w:rPr>
                    <w:rFonts w:cs="Arial"/>
                    <w:b/>
                    <w:bCs/>
                    <w:sz w:val="11"/>
                    <w:szCs w:val="11"/>
                  </w:rPr>
                </w:pPr>
              </w:p>
            </w:tc>
            <w:tc>
              <w:tcPr>
                <w:tcW w:w="1554" w:type="dxa"/>
                <w:tcBorders>
                  <w:top w:val="nil"/>
                  <w:left w:val="nil"/>
                  <w:bottom w:val="nil"/>
                  <w:right w:val="nil"/>
                </w:tcBorders>
              </w:tcPr>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1944F0"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1944F0"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1944F0"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1944F0"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451C95"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451C95"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451C95" w:rsidP="00F44E41">
                <w:pPr>
                  <w:pStyle w:val="Footer"/>
                  <w:spacing w:line="216" w:lineRule="auto"/>
                  <w:ind w:left="-108"/>
                  <w:rPr>
                    <w:rFonts w:ascii="Arial Narrow" w:hAnsi="Arial Narrow"/>
                    <w:sz w:val="10"/>
                    <w:szCs w:val="10"/>
                    <w:lang w:bidi="ta-IN"/>
                  </w:rPr>
                </w:pPr>
              </w:p>
              <w:p w:rsidR="005922EC" w:rsidRPr="00126238"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1944F0"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1944F0"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1944F0"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1944F0"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451C95"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451C95"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451C95" w:rsidP="00F44E41">
                <w:pPr>
                  <w:pStyle w:val="Footer"/>
                  <w:spacing w:line="216" w:lineRule="auto"/>
                  <w:ind w:left="-108" w:right="-66"/>
                  <w:rPr>
                    <w:rFonts w:ascii="Arial Narrow" w:hAnsi="Arial Narrow"/>
                    <w:sz w:val="10"/>
                    <w:szCs w:val="10"/>
                    <w:lang w:bidi="ta-IN"/>
                  </w:rPr>
                </w:pPr>
              </w:p>
              <w:p w:rsidR="005922EC" w:rsidRPr="00E938AF" w:rsidRDefault="001944F0"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1944F0"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1944F0"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451C95"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1944F0"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9E4E6F" w:rsidRDefault="00451C95" w:rsidP="00F44E41">
                <w:pPr>
                  <w:pStyle w:val="Footer"/>
                  <w:spacing w:line="216" w:lineRule="auto"/>
                  <w:ind w:right="-108"/>
                  <w:rPr>
                    <w:rFonts w:cs="Arial"/>
                    <w:sz w:val="4"/>
                    <w:szCs w:val="4"/>
                  </w:rPr>
                </w:pPr>
              </w:p>
              <w:p w:rsidR="005922EC" w:rsidRPr="00CD53EE" w:rsidRDefault="001944F0" w:rsidP="00CF0139">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CF0139" w:rsidRPr="00CF0139">
                  <w:rPr>
                    <w:rFonts w:cs="Arial"/>
                    <w:sz w:val="11"/>
                    <w:szCs w:val="11"/>
                  </w:rPr>
                  <w:t xml:space="preserve">Damir </w:t>
                </w:r>
                <w:proofErr w:type="spellStart"/>
                <w:r w:rsidR="00CF0139" w:rsidRPr="00CF0139">
                  <w:rPr>
                    <w:rFonts w:cs="Arial"/>
                    <w:sz w:val="11"/>
                    <w:szCs w:val="11"/>
                  </w:rPr>
                  <w:t>Vanđelić</w:t>
                </w:r>
                <w:proofErr w:type="spellEnd"/>
              </w:p>
            </w:tc>
            <w:tc>
              <w:tcPr>
                <w:tcW w:w="2159" w:type="dxa"/>
                <w:vMerge/>
                <w:tcBorders>
                  <w:left w:val="nil"/>
                  <w:bottom w:val="nil"/>
                  <w:right w:val="nil"/>
                </w:tcBorders>
              </w:tcPr>
              <w:p w:rsidR="005922EC" w:rsidRPr="00CD53EE" w:rsidRDefault="00451C95" w:rsidP="00F44E41">
                <w:pPr>
                  <w:pStyle w:val="Footer"/>
                  <w:rPr>
                    <w:rFonts w:cs="Arial"/>
                    <w:sz w:val="11"/>
                    <w:szCs w:val="11"/>
                  </w:rPr>
                </w:pPr>
              </w:p>
            </w:tc>
          </w:tr>
        </w:tbl>
        <w:p w:rsidR="005922EC" w:rsidRPr="00CD53EE" w:rsidRDefault="00451C95"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451C95" w:rsidP="00F44E41">
          <w:pPr>
            <w:pStyle w:val="Footer"/>
            <w:rPr>
              <w:rFonts w:cs="Arial"/>
              <w:b/>
              <w:bCs/>
              <w:sz w:val="11"/>
              <w:szCs w:val="11"/>
            </w:rPr>
          </w:pPr>
        </w:p>
      </w:tc>
    </w:tr>
  </w:tbl>
  <w:p w:rsidR="005922EC" w:rsidRDefault="00451C95"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1944F0"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451C95"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06395B">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06395B">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1944F0"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451C95"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1944F0"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06395B">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06395B">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bl>
  <w:p w:rsidR="005922EC" w:rsidRPr="00D2744E" w:rsidRDefault="00451C95" w:rsidP="00F44E41">
    <w:pPr>
      <w:rPr>
        <w:sz w:val="2"/>
        <w:szCs w:val="2"/>
      </w:rPr>
    </w:pPr>
  </w:p>
  <w:p w:rsidR="005922EC" w:rsidRPr="00374688" w:rsidRDefault="00451C95"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51C95">
    <w:pPr>
      <w:pStyle w:val="Footer"/>
      <w:rPr>
        <w:sz w:val="2"/>
      </w:rPr>
    </w:pPr>
  </w:p>
  <w:p w:rsidR="005922EC" w:rsidRDefault="00451C95">
    <w:pPr>
      <w:pStyle w:val="Footer"/>
      <w:rPr>
        <w:sz w:val="2"/>
      </w:rPr>
    </w:pPr>
  </w:p>
  <w:p w:rsidR="005922EC" w:rsidRPr="000164F0" w:rsidRDefault="00451C95">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rsidR="005922EC" w:rsidRDefault="00451C95">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1944F0" w:rsidP="00F44E41">
                <w:pPr>
                  <w:pStyle w:val="Footer"/>
                  <w:spacing w:before="20" w:after="20"/>
                  <w:rPr>
                    <w:rFonts w:cs="Arial"/>
                    <w:b/>
                    <w:bCs/>
                    <w:sz w:val="14"/>
                    <w:szCs w:val="14"/>
                  </w:rPr>
                </w:pPr>
                <w:r w:rsidRPr="00473D9C">
                  <w:rPr>
                    <w:rFonts w:cs="Arial"/>
                    <w:b/>
                    <w:bCs/>
                    <w:sz w:val="14"/>
                    <w:szCs w:val="14"/>
                  </w:rPr>
                  <w:t>INA, d.d.</w:t>
                </w:r>
              </w:p>
              <w:p w:rsidR="005922EC" w:rsidRPr="00473D9C" w:rsidRDefault="001944F0" w:rsidP="00F44E41">
                <w:pPr>
                  <w:pStyle w:val="Footer"/>
                  <w:rPr>
                    <w:rFonts w:cs="Arial"/>
                    <w:sz w:val="11"/>
                    <w:szCs w:val="11"/>
                  </w:rPr>
                </w:pPr>
                <w:r w:rsidRPr="00473D9C">
                  <w:rPr>
                    <w:rFonts w:cs="Arial"/>
                    <w:sz w:val="11"/>
                    <w:szCs w:val="11"/>
                  </w:rPr>
                  <w:t xml:space="preserve">Avenija Većeslava Holjevca 10 </w:t>
                </w:r>
              </w:p>
              <w:p w:rsidR="005922EC" w:rsidRPr="00473D9C" w:rsidRDefault="001944F0" w:rsidP="00F44E41">
                <w:pPr>
                  <w:pStyle w:val="Footer"/>
                  <w:rPr>
                    <w:rFonts w:cs="Arial"/>
                    <w:sz w:val="11"/>
                    <w:szCs w:val="11"/>
                  </w:rPr>
                </w:pPr>
                <w:r w:rsidRPr="00473D9C">
                  <w:rPr>
                    <w:rFonts w:cs="Arial"/>
                    <w:sz w:val="11"/>
                    <w:szCs w:val="11"/>
                  </w:rPr>
                  <w:t>10 002 Zagreb    p.p. 555</w:t>
                </w:r>
              </w:p>
              <w:p w:rsidR="005922EC" w:rsidRPr="00473D9C" w:rsidRDefault="001944F0"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1944F0"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1944F0"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1944F0"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1944F0"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1944F0"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1944F0"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1944F0"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1944F0"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451C95" w:rsidP="00F44E41">
                <w:pPr>
                  <w:pStyle w:val="Footer"/>
                  <w:rPr>
                    <w:rFonts w:cs="Arial"/>
                    <w:b/>
                    <w:bCs/>
                    <w:sz w:val="11"/>
                    <w:szCs w:val="11"/>
                  </w:rPr>
                </w:pPr>
              </w:p>
            </w:tc>
            <w:tc>
              <w:tcPr>
                <w:tcW w:w="1554" w:type="dxa"/>
                <w:tcBorders>
                  <w:top w:val="nil"/>
                  <w:left w:val="nil"/>
                  <w:bottom w:val="nil"/>
                  <w:right w:val="nil"/>
                </w:tcBorders>
              </w:tcPr>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1944F0"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1944F0"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1944F0"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451C95"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451C95"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451C95"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1944F0"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451C95"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451C95"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451C95"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1944F0"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451C95"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1944F0"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Pr>
                    <w:sz w:val="11"/>
                    <w:szCs w:val="11"/>
                    <w:lang w:val="en-US"/>
                  </w:rPr>
                  <w:t>Ivan</w:t>
                </w:r>
                <w:r w:rsidRPr="002762CD">
                  <w:rPr>
                    <w:sz w:val="11"/>
                    <w:szCs w:val="11"/>
                  </w:rPr>
                  <w:t xml:space="preserve"> </w:t>
                </w:r>
                <w:proofErr w:type="spellStart"/>
                <w:r>
                  <w:rPr>
                    <w:sz w:val="11"/>
                    <w:szCs w:val="11"/>
                    <w:lang w:val="en-US"/>
                  </w:rPr>
                  <w:t>Kre</w:t>
                </w:r>
                <w:proofErr w:type="spellEnd"/>
                <w:r w:rsidRPr="002762CD">
                  <w:rPr>
                    <w:sz w:val="11"/>
                    <w:szCs w:val="11"/>
                  </w:rPr>
                  <w:t>š</w:t>
                </w:r>
                <w:r>
                  <w:rPr>
                    <w:sz w:val="11"/>
                    <w:szCs w:val="11"/>
                    <w:lang w:val="en-US"/>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473D9C" w:rsidRDefault="00451C95" w:rsidP="00F44E41">
                <w:pPr>
                  <w:pStyle w:val="Footer"/>
                  <w:spacing w:line="216" w:lineRule="auto"/>
                  <w:ind w:right="-108"/>
                  <w:rPr>
                    <w:rFonts w:cs="Arial"/>
                    <w:sz w:val="4"/>
                    <w:szCs w:val="4"/>
                  </w:rPr>
                </w:pPr>
              </w:p>
              <w:p w:rsidR="005922EC" w:rsidRPr="00473D9C" w:rsidRDefault="001944F0"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451C95" w:rsidP="00F44E41">
                <w:pPr>
                  <w:pStyle w:val="Footer"/>
                  <w:rPr>
                    <w:rFonts w:cs="Arial"/>
                    <w:sz w:val="11"/>
                    <w:szCs w:val="11"/>
                  </w:rPr>
                </w:pPr>
              </w:p>
            </w:tc>
          </w:tr>
        </w:tbl>
        <w:p w:rsidR="005922EC" w:rsidRPr="00473D9C" w:rsidRDefault="00451C95"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451C95" w:rsidP="00F44E41">
          <w:pPr>
            <w:pStyle w:val="Footer"/>
            <w:rPr>
              <w:rFonts w:cs="Arial"/>
              <w:b/>
              <w:bCs/>
              <w:sz w:val="11"/>
              <w:szCs w:val="11"/>
            </w:rPr>
          </w:pPr>
        </w:p>
      </w:tc>
    </w:tr>
  </w:tbl>
  <w:p w:rsidR="005922EC" w:rsidRDefault="00451C95"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51C95">
    <w:pPr>
      <w:pStyle w:val="Footer"/>
      <w:rPr>
        <w:sz w:val="2"/>
      </w:rPr>
    </w:pPr>
  </w:p>
  <w:p w:rsidR="005922EC" w:rsidRDefault="001944F0">
    <w:pPr>
      <w:pStyle w:val="Footer"/>
      <w:rPr>
        <w:sz w:val="2"/>
      </w:rPr>
    </w:pPr>
    <w:r>
      <w:rPr>
        <w:noProof/>
        <w:sz w:val="20"/>
        <w:lang w:eastAsia="hr-HR"/>
      </w:rPr>
      <mc:AlternateContent>
        <mc:Choice Requires="wps">
          <w:drawing>
            <wp:anchor distT="0" distB="0" distL="114300" distR="114300" simplePos="0" relativeHeight="251655168" behindDoc="0" locked="0" layoutInCell="0" allowOverlap="1" wp14:anchorId="0F782196" wp14:editId="0EAD2607">
              <wp:simplePos x="0" y="0"/>
              <wp:positionH relativeFrom="column">
                <wp:posOffset>-3810</wp:posOffset>
              </wp:positionH>
              <wp:positionV relativeFrom="paragraph">
                <wp:posOffset>6350</wp:posOffset>
              </wp:positionV>
              <wp:extent cx="5976620" cy="0"/>
              <wp:effectExtent l="5715" t="6350" r="889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A10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451C95">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06395B">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06395B">
      <w:rPr>
        <w:rStyle w:val="PageNumber"/>
        <w:noProof/>
        <w:sz w:val="18"/>
      </w:rPr>
      <w:t>2</w:t>
    </w:r>
    <w:r>
      <w:rPr>
        <w:rStyle w:val="PageNumber"/>
        <w:sz w:val="18"/>
      </w:rPr>
      <w:fldChar w:fldCharType="end"/>
    </w:r>
  </w:p>
  <w:p w:rsidR="005922EC" w:rsidRDefault="00451C95">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1944F0">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2398864E" wp14:editId="2D6514CF">
              <wp:simplePos x="0" y="0"/>
              <wp:positionH relativeFrom="column">
                <wp:posOffset>-10160</wp:posOffset>
              </wp:positionH>
              <wp:positionV relativeFrom="paragraph">
                <wp:posOffset>9525</wp:posOffset>
              </wp:positionV>
              <wp:extent cx="5966460" cy="2540"/>
              <wp:effectExtent l="8890" t="9525" r="635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93B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451C9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1944F0">
          <w:pPr>
            <w:pStyle w:val="Footer"/>
            <w:rPr>
              <w:rFonts w:cs="Arial"/>
              <w:b/>
              <w:bCs/>
              <w:sz w:val="12"/>
            </w:rPr>
          </w:pPr>
          <w:r>
            <w:rPr>
              <w:rFonts w:cs="Arial"/>
              <w:b/>
              <w:bCs/>
              <w:sz w:val="12"/>
            </w:rPr>
            <w:t>INA, d.d.</w:t>
          </w:r>
        </w:p>
        <w:p w:rsidR="005922EC" w:rsidRDefault="001944F0">
          <w:pPr>
            <w:pStyle w:val="Footer"/>
            <w:rPr>
              <w:rFonts w:cs="Arial"/>
              <w:sz w:val="12"/>
            </w:rPr>
          </w:pPr>
          <w:r>
            <w:rPr>
              <w:rFonts w:cs="Arial"/>
              <w:sz w:val="12"/>
            </w:rPr>
            <w:t xml:space="preserve">Avenija Većeslava Holjevca 10 </w:t>
          </w:r>
        </w:p>
        <w:p w:rsidR="005922EC" w:rsidRDefault="001944F0">
          <w:pPr>
            <w:pStyle w:val="Footer"/>
            <w:rPr>
              <w:rFonts w:cs="Arial"/>
              <w:sz w:val="12"/>
            </w:rPr>
          </w:pPr>
          <w:r>
            <w:rPr>
              <w:rFonts w:cs="Arial"/>
              <w:sz w:val="12"/>
            </w:rPr>
            <w:t>10 002 Zagreb           p.p. 555</w:t>
          </w:r>
        </w:p>
        <w:p w:rsidR="005922EC" w:rsidRDefault="001944F0">
          <w:pPr>
            <w:pStyle w:val="Footer"/>
            <w:rPr>
              <w:rFonts w:cs="Arial"/>
              <w:sz w:val="12"/>
            </w:rPr>
          </w:pPr>
          <w:r>
            <w:rPr>
              <w:rFonts w:cs="Arial"/>
              <w:sz w:val="12"/>
            </w:rPr>
            <w:t xml:space="preserve">Hrvatska - </w:t>
          </w:r>
          <w:r>
            <w:rPr>
              <w:rFonts w:cs="Arial"/>
              <w:i/>
              <w:iCs/>
              <w:sz w:val="12"/>
            </w:rPr>
            <w:t>Croatia</w:t>
          </w:r>
        </w:p>
        <w:p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1944F0">
          <w:pPr>
            <w:pStyle w:val="Footer"/>
            <w:rPr>
              <w:rFonts w:cs="Arial"/>
              <w:sz w:val="12"/>
            </w:rPr>
          </w:pPr>
          <w:r>
            <w:rPr>
              <w:rFonts w:cs="Arial"/>
              <w:sz w:val="12"/>
            </w:rPr>
            <w:t>Trgovački sud u Zagrebu</w:t>
          </w:r>
        </w:p>
        <w:p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1944F0">
          <w:pPr>
            <w:pStyle w:val="Footer"/>
            <w:rPr>
              <w:rFonts w:cs="Arial"/>
              <w:sz w:val="12"/>
            </w:rPr>
          </w:pPr>
          <w:r>
            <w:rPr>
              <w:rFonts w:cs="Arial"/>
              <w:sz w:val="12"/>
            </w:rPr>
            <w:t>MBS: 080000604</w:t>
          </w:r>
        </w:p>
        <w:p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1944F0">
          <w:pPr>
            <w:pStyle w:val="Footer"/>
            <w:rPr>
              <w:rFonts w:cs="Arial"/>
              <w:sz w:val="12"/>
            </w:rPr>
          </w:pPr>
          <w:r>
            <w:rPr>
              <w:rFonts w:cs="Arial"/>
              <w:sz w:val="12"/>
            </w:rPr>
            <w:t xml:space="preserve">9.000.000.000 Kn </w:t>
          </w:r>
        </w:p>
        <w:p w:rsidR="005922EC" w:rsidRDefault="001944F0">
          <w:pPr>
            <w:pStyle w:val="Footer"/>
            <w:rPr>
              <w:rFonts w:cs="Arial"/>
              <w:sz w:val="12"/>
            </w:rPr>
          </w:pPr>
          <w:r>
            <w:rPr>
              <w:rFonts w:cs="Arial"/>
              <w:sz w:val="12"/>
            </w:rPr>
            <w:t>Broj izdanih dionica / Nominalna vrijednost</w:t>
          </w:r>
        </w:p>
        <w:p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1944F0">
          <w:pPr>
            <w:pStyle w:val="Footer"/>
            <w:rPr>
              <w:rFonts w:cs="Arial"/>
              <w:sz w:val="12"/>
            </w:rPr>
          </w:pPr>
          <w:r>
            <w:rPr>
              <w:rFonts w:cs="Arial"/>
              <w:sz w:val="12"/>
            </w:rPr>
            <w:t>10.000.000 / 900,00 Kn</w:t>
          </w:r>
        </w:p>
        <w:p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451C95">
          <w:pPr>
            <w:pStyle w:val="Footer"/>
            <w:rPr>
              <w:rFonts w:cs="Arial"/>
              <w:b/>
              <w:bCs/>
              <w:sz w:val="12"/>
            </w:rPr>
          </w:pPr>
        </w:p>
      </w:tc>
      <w:tc>
        <w:tcPr>
          <w:tcW w:w="1526"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Privredna banka Zagreb</w:t>
          </w:r>
        </w:p>
        <w:p w:rsidR="005922EC" w:rsidRDefault="001944F0">
          <w:pPr>
            <w:pStyle w:val="Footer"/>
            <w:spacing w:line="216" w:lineRule="auto"/>
            <w:ind w:left="-108"/>
            <w:rPr>
              <w:rFonts w:cs="Arial"/>
              <w:sz w:val="12"/>
            </w:rPr>
          </w:pPr>
          <w:r>
            <w:rPr>
              <w:rFonts w:cs="Arial"/>
              <w:sz w:val="12"/>
            </w:rPr>
            <w:t>Raiffeisen banka</w:t>
          </w:r>
        </w:p>
        <w:p w:rsidR="005922EC" w:rsidRDefault="001944F0">
          <w:pPr>
            <w:pStyle w:val="Footer"/>
            <w:spacing w:line="216" w:lineRule="auto"/>
            <w:ind w:left="-108"/>
            <w:rPr>
              <w:rFonts w:cs="Arial"/>
              <w:sz w:val="12"/>
            </w:rPr>
          </w:pPr>
          <w:r>
            <w:rPr>
              <w:rFonts w:cs="Arial"/>
              <w:sz w:val="12"/>
            </w:rPr>
            <w:t>Zagrebačka banka Zagreb</w:t>
          </w:r>
        </w:p>
        <w:p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Račkoga 6, 10000 Zagreb</w:t>
          </w:r>
        </w:p>
        <w:p w:rsidR="005922EC" w:rsidRDefault="001944F0">
          <w:pPr>
            <w:pStyle w:val="Footer"/>
            <w:spacing w:line="216" w:lineRule="auto"/>
            <w:ind w:left="-108"/>
            <w:rPr>
              <w:rFonts w:cs="Arial"/>
              <w:sz w:val="12"/>
            </w:rPr>
          </w:pPr>
          <w:r>
            <w:rPr>
              <w:rFonts w:cs="Arial"/>
              <w:sz w:val="12"/>
            </w:rPr>
            <w:t>Petrinjska 59, 10000 Zagreb</w:t>
          </w:r>
        </w:p>
        <w:p w:rsidR="005922EC" w:rsidRDefault="001944F0">
          <w:pPr>
            <w:pStyle w:val="Footer"/>
            <w:spacing w:line="216" w:lineRule="auto"/>
            <w:ind w:left="-108"/>
            <w:rPr>
              <w:rFonts w:cs="Arial"/>
              <w:sz w:val="12"/>
            </w:rPr>
          </w:pPr>
          <w:r>
            <w:rPr>
              <w:rFonts w:cs="Arial"/>
              <w:sz w:val="12"/>
            </w:rPr>
            <w:t>Paromlinska 2, 10000 Zagreb</w:t>
          </w:r>
        </w:p>
        <w:p w:rsidR="005922EC" w:rsidRDefault="001944F0">
          <w:pPr>
            <w:pStyle w:val="Footer"/>
            <w:spacing w:line="216" w:lineRule="auto"/>
            <w:ind w:left="-108"/>
            <w:rPr>
              <w:rFonts w:cs="Arial"/>
              <w:sz w:val="12"/>
            </w:rPr>
          </w:pPr>
          <w:r>
            <w:rPr>
              <w:rFonts w:cs="Arial"/>
              <w:sz w:val="12"/>
            </w:rPr>
            <w:t>Gajeva 1, 10000 Zagreb</w:t>
          </w:r>
        </w:p>
        <w:p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1944F0">
          <w:pPr>
            <w:pStyle w:val="Footer"/>
            <w:spacing w:line="216" w:lineRule="auto"/>
            <w:ind w:left="-108" w:right="-108"/>
            <w:rPr>
              <w:rFonts w:cs="Arial"/>
              <w:sz w:val="12"/>
            </w:rPr>
          </w:pPr>
          <w:r>
            <w:rPr>
              <w:rFonts w:cs="Arial"/>
              <w:sz w:val="12"/>
            </w:rPr>
            <w:t>2340009-1100022902</w:t>
          </w:r>
        </w:p>
        <w:p w:rsidR="005922EC" w:rsidRDefault="001944F0">
          <w:pPr>
            <w:pStyle w:val="Footer"/>
            <w:spacing w:line="216" w:lineRule="auto"/>
            <w:ind w:left="-108" w:right="-108"/>
            <w:rPr>
              <w:rFonts w:cs="Arial"/>
              <w:sz w:val="12"/>
            </w:rPr>
          </w:pPr>
          <w:r>
            <w:rPr>
              <w:rFonts w:cs="Arial"/>
              <w:sz w:val="12"/>
            </w:rPr>
            <w:t>2484008-1100619483</w:t>
          </w:r>
        </w:p>
        <w:p w:rsidR="005922EC" w:rsidRDefault="001944F0">
          <w:pPr>
            <w:pStyle w:val="Footer"/>
            <w:spacing w:line="216" w:lineRule="auto"/>
            <w:ind w:left="-108" w:right="-108"/>
            <w:rPr>
              <w:rFonts w:cs="Arial"/>
              <w:sz w:val="12"/>
            </w:rPr>
          </w:pPr>
          <w:r>
            <w:rPr>
              <w:rFonts w:cs="Arial"/>
              <w:sz w:val="12"/>
            </w:rPr>
            <w:t>2360000-1101303595</w:t>
          </w:r>
        </w:p>
        <w:p w:rsidR="005922EC" w:rsidRDefault="001944F0">
          <w:pPr>
            <w:pStyle w:val="Footer"/>
            <w:spacing w:line="216" w:lineRule="auto"/>
            <w:ind w:left="-108" w:right="-108"/>
            <w:rPr>
              <w:rFonts w:cs="Arial"/>
              <w:sz w:val="12"/>
            </w:rPr>
          </w:pPr>
          <w:r>
            <w:rPr>
              <w:rFonts w:cs="Arial"/>
              <w:sz w:val="12"/>
            </w:rPr>
            <w:t>2504000-1120002224</w:t>
          </w:r>
        </w:p>
        <w:p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451C95">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1944F0">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451C95">
          <w:pPr>
            <w:pStyle w:val="Footer"/>
            <w:spacing w:line="216" w:lineRule="auto"/>
            <w:ind w:right="-108"/>
            <w:rPr>
              <w:rFonts w:cs="Arial"/>
              <w:sz w:val="2"/>
            </w:rPr>
          </w:pPr>
        </w:p>
        <w:p w:rsidR="005922EC" w:rsidRDefault="00451C95">
          <w:pPr>
            <w:pStyle w:val="Footer"/>
            <w:spacing w:line="216" w:lineRule="auto"/>
            <w:ind w:right="-108"/>
            <w:rPr>
              <w:rFonts w:cs="Arial"/>
              <w:sz w:val="2"/>
            </w:rPr>
          </w:pPr>
        </w:p>
        <w:p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451C95">
          <w:pPr>
            <w:pStyle w:val="Footer"/>
            <w:rPr>
              <w:rFonts w:cs="Arial"/>
              <w:sz w:val="12"/>
            </w:rPr>
          </w:pPr>
        </w:p>
      </w:tc>
    </w:tr>
  </w:tbl>
  <w:p w:rsidR="005922EC" w:rsidRPr="00BE07FB" w:rsidRDefault="00451C95">
    <w:pPr>
      <w:rPr>
        <w:sz w:val="2"/>
        <w:szCs w:val="2"/>
      </w:rPr>
    </w:pPr>
  </w:p>
  <w:p w:rsidR="005922EC" w:rsidRPr="00B976E5" w:rsidRDefault="00451C95"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51C9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51C95">
    <w:pPr>
      <w:pStyle w:val="Footer"/>
      <w:rPr>
        <w:sz w:val="2"/>
      </w:rPr>
    </w:pPr>
  </w:p>
  <w:p w:rsidR="005922EC" w:rsidRDefault="001944F0">
    <w:pPr>
      <w:pStyle w:val="Footer"/>
      <w:rPr>
        <w:sz w:val="2"/>
      </w:rPr>
    </w:pPr>
    <w:r>
      <w:rPr>
        <w:noProof/>
        <w:sz w:val="20"/>
        <w:lang w:eastAsia="hr-HR"/>
      </w:rPr>
      <mc:AlternateContent>
        <mc:Choice Requires="wps">
          <w:drawing>
            <wp:anchor distT="0" distB="0" distL="114300" distR="114300" simplePos="0" relativeHeight="251656192" behindDoc="0" locked="0" layoutInCell="0" allowOverlap="1" wp14:anchorId="7A673662" wp14:editId="649E36A6">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8B2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451C95">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130CDF">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130CDF">
      <w:rPr>
        <w:rStyle w:val="PageNumber"/>
        <w:noProof/>
        <w:sz w:val="18"/>
      </w:rPr>
      <w:t>2</w:t>
    </w:r>
    <w:r>
      <w:rPr>
        <w:rStyle w:val="PageNumber"/>
        <w:sz w:val="18"/>
      </w:rPr>
      <w:fldChar w:fldCharType="end"/>
    </w:r>
  </w:p>
  <w:p w:rsidR="005922EC" w:rsidRDefault="00451C95">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95" w:rsidRDefault="00451C95">
      <w:r>
        <w:separator/>
      </w:r>
    </w:p>
  </w:footnote>
  <w:footnote w:type="continuationSeparator" w:id="0">
    <w:p w:rsidR="00451C95" w:rsidRDefault="00451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59264" behindDoc="0" locked="0" layoutInCell="1" allowOverlap="1" wp14:anchorId="65F724A0" wp14:editId="554501E3">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451C95">
    <w:pPr>
      <w:pStyle w:val="Header"/>
      <w:jc w:val="right"/>
      <w:rPr>
        <w:sz w:val="2"/>
      </w:rPr>
    </w:pPr>
  </w:p>
  <w:p w:rsidR="005922EC" w:rsidRDefault="00451C95">
    <w:pPr>
      <w:pStyle w:val="Header"/>
      <w:jc w:val="right"/>
      <w:rPr>
        <w:sz w:val="2"/>
      </w:rPr>
    </w:pPr>
  </w:p>
  <w:p w:rsidR="005922EC" w:rsidRDefault="00451C9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60288" behindDoc="0" locked="0" layoutInCell="1" allowOverlap="1" wp14:anchorId="536653A8" wp14:editId="17A426FB">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2EC" w:rsidRDefault="00451C95">
    <w:pPr>
      <w:pStyle w:val="Header"/>
      <w:jc w:val="right"/>
      <w:rPr>
        <w:sz w:val="2"/>
      </w:rPr>
    </w:pPr>
  </w:p>
  <w:p w:rsidR="005922EC" w:rsidRDefault="00451C95">
    <w:pPr>
      <w:pStyle w:val="Header"/>
      <w:jc w:val="right"/>
      <w:rPr>
        <w:sz w:val="2"/>
      </w:rPr>
    </w:pPr>
  </w:p>
  <w:p w:rsidR="005922EC" w:rsidRPr="0056798D" w:rsidRDefault="00451C95"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51C95">
    <w:pPr>
      <w:pStyle w:val="Header"/>
      <w:jc w:val="right"/>
      <w:rPr>
        <w:sz w:val="2"/>
      </w:rPr>
    </w:pPr>
  </w:p>
  <w:p w:rsidR="005922EC" w:rsidRDefault="00451C95">
    <w:pPr>
      <w:pStyle w:val="Header"/>
      <w:jc w:val="right"/>
      <w:rPr>
        <w:sz w:val="2"/>
      </w:rPr>
    </w:pPr>
  </w:p>
  <w:p w:rsidR="005922EC" w:rsidRDefault="00451C95">
    <w:pPr>
      <w:pStyle w:val="Header"/>
      <w:jc w:val="right"/>
      <w:rPr>
        <w:sz w:val="2"/>
      </w:rPr>
    </w:pPr>
  </w:p>
  <w:p w:rsidR="005922EC" w:rsidRDefault="00451C95">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51C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51C95">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451C95">
    <w:pPr>
      <w:pStyle w:val="Header"/>
      <w:jc w:val="right"/>
      <w:rPr>
        <w:sz w:val="2"/>
      </w:rPr>
    </w:pPr>
  </w:p>
  <w:p w:rsidR="005922EC" w:rsidRDefault="00451C95">
    <w:pPr>
      <w:pStyle w:val="Header"/>
      <w:jc w:val="right"/>
      <w:rPr>
        <w:sz w:val="2"/>
      </w:rPr>
    </w:pPr>
  </w:p>
  <w:p w:rsidR="005922EC" w:rsidRDefault="00451C95">
    <w:pPr>
      <w:pStyle w:val="Header"/>
      <w:jc w:val="right"/>
      <w:rPr>
        <w:sz w:val="2"/>
      </w:rPr>
    </w:pPr>
  </w:p>
  <w:p w:rsidR="005922EC" w:rsidRDefault="00451C9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780420"/>
    <w:multiLevelType w:val="multilevel"/>
    <w:tmpl w:val="CD9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15:restartNumberingAfterBreak="0">
    <w:nsid w:val="33C41948"/>
    <w:multiLevelType w:val="hybridMultilevel"/>
    <w:tmpl w:val="087601E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5AD032D2"/>
    <w:multiLevelType w:val="hybridMultilevel"/>
    <w:tmpl w:val="DE445E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0"/>
    <w:rsid w:val="00001599"/>
    <w:rsid w:val="000051E2"/>
    <w:rsid w:val="00011F07"/>
    <w:rsid w:val="000120D4"/>
    <w:rsid w:val="000145A6"/>
    <w:rsid w:val="0001588D"/>
    <w:rsid w:val="00015BA2"/>
    <w:rsid w:val="00015C4D"/>
    <w:rsid w:val="000200AB"/>
    <w:rsid w:val="00021ECE"/>
    <w:rsid w:val="00022D83"/>
    <w:rsid w:val="00022EA9"/>
    <w:rsid w:val="000300AF"/>
    <w:rsid w:val="00030619"/>
    <w:rsid w:val="000308CA"/>
    <w:rsid w:val="000321DF"/>
    <w:rsid w:val="00032BE9"/>
    <w:rsid w:val="00035CE0"/>
    <w:rsid w:val="000373E9"/>
    <w:rsid w:val="000437AB"/>
    <w:rsid w:val="00044D71"/>
    <w:rsid w:val="000462CF"/>
    <w:rsid w:val="000469FD"/>
    <w:rsid w:val="00054D7C"/>
    <w:rsid w:val="0006031A"/>
    <w:rsid w:val="00060645"/>
    <w:rsid w:val="00061566"/>
    <w:rsid w:val="00061E08"/>
    <w:rsid w:val="0006395B"/>
    <w:rsid w:val="00063ED4"/>
    <w:rsid w:val="00064AA6"/>
    <w:rsid w:val="00065832"/>
    <w:rsid w:val="000661C1"/>
    <w:rsid w:val="00066206"/>
    <w:rsid w:val="0006637F"/>
    <w:rsid w:val="0007008C"/>
    <w:rsid w:val="000702DD"/>
    <w:rsid w:val="000721EA"/>
    <w:rsid w:val="000722AB"/>
    <w:rsid w:val="00075B07"/>
    <w:rsid w:val="00082961"/>
    <w:rsid w:val="000832EB"/>
    <w:rsid w:val="0009062F"/>
    <w:rsid w:val="00090924"/>
    <w:rsid w:val="00094137"/>
    <w:rsid w:val="000971BF"/>
    <w:rsid w:val="000A0BFF"/>
    <w:rsid w:val="000A192F"/>
    <w:rsid w:val="000A2C32"/>
    <w:rsid w:val="000A3B0D"/>
    <w:rsid w:val="000A7751"/>
    <w:rsid w:val="000B01E2"/>
    <w:rsid w:val="000B085A"/>
    <w:rsid w:val="000B1ABF"/>
    <w:rsid w:val="000B24A9"/>
    <w:rsid w:val="000B272E"/>
    <w:rsid w:val="000B2BA0"/>
    <w:rsid w:val="000B327E"/>
    <w:rsid w:val="000B4574"/>
    <w:rsid w:val="000B6944"/>
    <w:rsid w:val="000B69C4"/>
    <w:rsid w:val="000B7A64"/>
    <w:rsid w:val="000B7F63"/>
    <w:rsid w:val="000C05DE"/>
    <w:rsid w:val="000C0E1E"/>
    <w:rsid w:val="000C13FC"/>
    <w:rsid w:val="000C1D41"/>
    <w:rsid w:val="000C2944"/>
    <w:rsid w:val="000C29C0"/>
    <w:rsid w:val="000C29C6"/>
    <w:rsid w:val="000C5C97"/>
    <w:rsid w:val="000C6661"/>
    <w:rsid w:val="000C6A15"/>
    <w:rsid w:val="000C6C79"/>
    <w:rsid w:val="000D01B0"/>
    <w:rsid w:val="000D1A00"/>
    <w:rsid w:val="000D4358"/>
    <w:rsid w:val="000D5FAE"/>
    <w:rsid w:val="000D61C4"/>
    <w:rsid w:val="000D6D36"/>
    <w:rsid w:val="000D7035"/>
    <w:rsid w:val="000E49A0"/>
    <w:rsid w:val="000E4E20"/>
    <w:rsid w:val="000F0F6A"/>
    <w:rsid w:val="000F1309"/>
    <w:rsid w:val="000F15B5"/>
    <w:rsid w:val="000F3B1C"/>
    <w:rsid w:val="000F5957"/>
    <w:rsid w:val="00100EF1"/>
    <w:rsid w:val="00104822"/>
    <w:rsid w:val="00105009"/>
    <w:rsid w:val="001057BA"/>
    <w:rsid w:val="00107AF9"/>
    <w:rsid w:val="00113F76"/>
    <w:rsid w:val="00115A5C"/>
    <w:rsid w:val="0012099C"/>
    <w:rsid w:val="00124EF1"/>
    <w:rsid w:val="00125279"/>
    <w:rsid w:val="001271E6"/>
    <w:rsid w:val="00127677"/>
    <w:rsid w:val="00130CDF"/>
    <w:rsid w:val="00135348"/>
    <w:rsid w:val="001372BC"/>
    <w:rsid w:val="001401E2"/>
    <w:rsid w:val="00140F67"/>
    <w:rsid w:val="0014105C"/>
    <w:rsid w:val="0014151D"/>
    <w:rsid w:val="00142A5F"/>
    <w:rsid w:val="00144640"/>
    <w:rsid w:val="001450BA"/>
    <w:rsid w:val="00145E00"/>
    <w:rsid w:val="00146DA5"/>
    <w:rsid w:val="00150A40"/>
    <w:rsid w:val="0015281C"/>
    <w:rsid w:val="00152DFE"/>
    <w:rsid w:val="001534C8"/>
    <w:rsid w:val="001560C8"/>
    <w:rsid w:val="001566F3"/>
    <w:rsid w:val="00156F65"/>
    <w:rsid w:val="00160D04"/>
    <w:rsid w:val="00162154"/>
    <w:rsid w:val="00162F5D"/>
    <w:rsid w:val="00163305"/>
    <w:rsid w:val="001637B1"/>
    <w:rsid w:val="00163824"/>
    <w:rsid w:val="00163BC4"/>
    <w:rsid w:val="001644BB"/>
    <w:rsid w:val="00165EC1"/>
    <w:rsid w:val="00167688"/>
    <w:rsid w:val="0016778E"/>
    <w:rsid w:val="00170960"/>
    <w:rsid w:val="001718C5"/>
    <w:rsid w:val="001721C8"/>
    <w:rsid w:val="00172B02"/>
    <w:rsid w:val="00173A54"/>
    <w:rsid w:val="00174F79"/>
    <w:rsid w:val="00176009"/>
    <w:rsid w:val="00181406"/>
    <w:rsid w:val="001840C6"/>
    <w:rsid w:val="0018451A"/>
    <w:rsid w:val="00185B6B"/>
    <w:rsid w:val="00185C3F"/>
    <w:rsid w:val="00190187"/>
    <w:rsid w:val="00191574"/>
    <w:rsid w:val="00193E34"/>
    <w:rsid w:val="001944F0"/>
    <w:rsid w:val="001951CA"/>
    <w:rsid w:val="001952DF"/>
    <w:rsid w:val="001A287F"/>
    <w:rsid w:val="001A34F1"/>
    <w:rsid w:val="001A3CE6"/>
    <w:rsid w:val="001A3DB4"/>
    <w:rsid w:val="001A4D6E"/>
    <w:rsid w:val="001A5FFE"/>
    <w:rsid w:val="001A750E"/>
    <w:rsid w:val="001B289C"/>
    <w:rsid w:val="001B4B3C"/>
    <w:rsid w:val="001B504C"/>
    <w:rsid w:val="001B605A"/>
    <w:rsid w:val="001B6243"/>
    <w:rsid w:val="001B65A1"/>
    <w:rsid w:val="001B663F"/>
    <w:rsid w:val="001B776C"/>
    <w:rsid w:val="001C57FA"/>
    <w:rsid w:val="001C6DEE"/>
    <w:rsid w:val="001D085E"/>
    <w:rsid w:val="001D1A05"/>
    <w:rsid w:val="001D2EE7"/>
    <w:rsid w:val="001D3476"/>
    <w:rsid w:val="001D34F7"/>
    <w:rsid w:val="001D42F0"/>
    <w:rsid w:val="001D621C"/>
    <w:rsid w:val="001D6A54"/>
    <w:rsid w:val="001D6ACB"/>
    <w:rsid w:val="001E206A"/>
    <w:rsid w:val="001E22AC"/>
    <w:rsid w:val="001E5C54"/>
    <w:rsid w:val="001E6D31"/>
    <w:rsid w:val="001E7160"/>
    <w:rsid w:val="001F09A3"/>
    <w:rsid w:val="001F50E2"/>
    <w:rsid w:val="0020107F"/>
    <w:rsid w:val="00204664"/>
    <w:rsid w:val="00206582"/>
    <w:rsid w:val="002075BF"/>
    <w:rsid w:val="002101BB"/>
    <w:rsid w:val="0021314F"/>
    <w:rsid w:val="002134E0"/>
    <w:rsid w:val="002135AA"/>
    <w:rsid w:val="002142D1"/>
    <w:rsid w:val="00214676"/>
    <w:rsid w:val="0022082F"/>
    <w:rsid w:val="0022464A"/>
    <w:rsid w:val="00230CF6"/>
    <w:rsid w:val="00231C51"/>
    <w:rsid w:val="002321E8"/>
    <w:rsid w:val="00234278"/>
    <w:rsid w:val="002361C1"/>
    <w:rsid w:val="00236461"/>
    <w:rsid w:val="00236510"/>
    <w:rsid w:val="002372CE"/>
    <w:rsid w:val="002379B9"/>
    <w:rsid w:val="00241F86"/>
    <w:rsid w:val="00242B44"/>
    <w:rsid w:val="002444C4"/>
    <w:rsid w:val="00244578"/>
    <w:rsid w:val="0024506A"/>
    <w:rsid w:val="00245D41"/>
    <w:rsid w:val="002462D3"/>
    <w:rsid w:val="00250EE8"/>
    <w:rsid w:val="00254208"/>
    <w:rsid w:val="002549E2"/>
    <w:rsid w:val="00255E6F"/>
    <w:rsid w:val="00262941"/>
    <w:rsid w:val="00263727"/>
    <w:rsid w:val="002751ED"/>
    <w:rsid w:val="002757E1"/>
    <w:rsid w:val="0027754C"/>
    <w:rsid w:val="0028085C"/>
    <w:rsid w:val="0028225E"/>
    <w:rsid w:val="00284FA8"/>
    <w:rsid w:val="0029311A"/>
    <w:rsid w:val="00295E83"/>
    <w:rsid w:val="00295E88"/>
    <w:rsid w:val="00296609"/>
    <w:rsid w:val="00296A5C"/>
    <w:rsid w:val="002A01C7"/>
    <w:rsid w:val="002A1DB4"/>
    <w:rsid w:val="002A2566"/>
    <w:rsid w:val="002A3E26"/>
    <w:rsid w:val="002A4777"/>
    <w:rsid w:val="002A4D04"/>
    <w:rsid w:val="002B5522"/>
    <w:rsid w:val="002B59AD"/>
    <w:rsid w:val="002C0771"/>
    <w:rsid w:val="002C08A3"/>
    <w:rsid w:val="002C08BB"/>
    <w:rsid w:val="002C1326"/>
    <w:rsid w:val="002C1A2D"/>
    <w:rsid w:val="002C7375"/>
    <w:rsid w:val="002D14D8"/>
    <w:rsid w:val="002D1B1D"/>
    <w:rsid w:val="002D2016"/>
    <w:rsid w:val="002D293B"/>
    <w:rsid w:val="002D473A"/>
    <w:rsid w:val="002D7A9C"/>
    <w:rsid w:val="002D7CF5"/>
    <w:rsid w:val="002E0C16"/>
    <w:rsid w:val="002E0D3C"/>
    <w:rsid w:val="002E101E"/>
    <w:rsid w:val="002E10B1"/>
    <w:rsid w:val="002F6C7E"/>
    <w:rsid w:val="002F73A7"/>
    <w:rsid w:val="002F793C"/>
    <w:rsid w:val="0030003C"/>
    <w:rsid w:val="00300BF1"/>
    <w:rsid w:val="003017DE"/>
    <w:rsid w:val="00305687"/>
    <w:rsid w:val="0030593C"/>
    <w:rsid w:val="003102A2"/>
    <w:rsid w:val="00310C39"/>
    <w:rsid w:val="0031145D"/>
    <w:rsid w:val="00314ACF"/>
    <w:rsid w:val="00314E86"/>
    <w:rsid w:val="00316310"/>
    <w:rsid w:val="00317525"/>
    <w:rsid w:val="00320AB2"/>
    <w:rsid w:val="003210D0"/>
    <w:rsid w:val="003221FA"/>
    <w:rsid w:val="00324A34"/>
    <w:rsid w:val="00327FDE"/>
    <w:rsid w:val="003317D6"/>
    <w:rsid w:val="00331879"/>
    <w:rsid w:val="00332F6F"/>
    <w:rsid w:val="00333C89"/>
    <w:rsid w:val="00334203"/>
    <w:rsid w:val="00334FD4"/>
    <w:rsid w:val="003427A4"/>
    <w:rsid w:val="003427DD"/>
    <w:rsid w:val="00342EBF"/>
    <w:rsid w:val="00343CB6"/>
    <w:rsid w:val="00345092"/>
    <w:rsid w:val="00346281"/>
    <w:rsid w:val="00346681"/>
    <w:rsid w:val="00346F31"/>
    <w:rsid w:val="0034789F"/>
    <w:rsid w:val="0035496D"/>
    <w:rsid w:val="00357948"/>
    <w:rsid w:val="003622B8"/>
    <w:rsid w:val="00362E4B"/>
    <w:rsid w:val="00366E4C"/>
    <w:rsid w:val="0037020F"/>
    <w:rsid w:val="0037245E"/>
    <w:rsid w:val="00373650"/>
    <w:rsid w:val="0037504A"/>
    <w:rsid w:val="00376752"/>
    <w:rsid w:val="0038199F"/>
    <w:rsid w:val="003875DB"/>
    <w:rsid w:val="0039075B"/>
    <w:rsid w:val="00392126"/>
    <w:rsid w:val="00394313"/>
    <w:rsid w:val="00394F0D"/>
    <w:rsid w:val="003954FB"/>
    <w:rsid w:val="003A1B79"/>
    <w:rsid w:val="003A345D"/>
    <w:rsid w:val="003A368B"/>
    <w:rsid w:val="003A3ED8"/>
    <w:rsid w:val="003A4B6F"/>
    <w:rsid w:val="003A4E8B"/>
    <w:rsid w:val="003A6AEC"/>
    <w:rsid w:val="003B0CE4"/>
    <w:rsid w:val="003B1420"/>
    <w:rsid w:val="003B2FF7"/>
    <w:rsid w:val="003B338E"/>
    <w:rsid w:val="003B4966"/>
    <w:rsid w:val="003B6C9A"/>
    <w:rsid w:val="003B7497"/>
    <w:rsid w:val="003C057F"/>
    <w:rsid w:val="003C144F"/>
    <w:rsid w:val="003C17F1"/>
    <w:rsid w:val="003C2F82"/>
    <w:rsid w:val="003C375A"/>
    <w:rsid w:val="003C3B32"/>
    <w:rsid w:val="003C62D3"/>
    <w:rsid w:val="003D0599"/>
    <w:rsid w:val="003D1BDD"/>
    <w:rsid w:val="003D23C8"/>
    <w:rsid w:val="003D2C37"/>
    <w:rsid w:val="003D2E7E"/>
    <w:rsid w:val="003D4A35"/>
    <w:rsid w:val="003D5A5D"/>
    <w:rsid w:val="003D5F85"/>
    <w:rsid w:val="003E05C8"/>
    <w:rsid w:val="003E0E1C"/>
    <w:rsid w:val="003E100F"/>
    <w:rsid w:val="003E10AA"/>
    <w:rsid w:val="003E1361"/>
    <w:rsid w:val="003E19D8"/>
    <w:rsid w:val="003E427D"/>
    <w:rsid w:val="003E6117"/>
    <w:rsid w:val="003E653B"/>
    <w:rsid w:val="003E66C9"/>
    <w:rsid w:val="003F1558"/>
    <w:rsid w:val="004025CF"/>
    <w:rsid w:val="004027FF"/>
    <w:rsid w:val="004028BB"/>
    <w:rsid w:val="00403531"/>
    <w:rsid w:val="00403B5C"/>
    <w:rsid w:val="00410325"/>
    <w:rsid w:val="00410405"/>
    <w:rsid w:val="004118D9"/>
    <w:rsid w:val="004133D3"/>
    <w:rsid w:val="0041450B"/>
    <w:rsid w:val="0041684B"/>
    <w:rsid w:val="00416C36"/>
    <w:rsid w:val="00420474"/>
    <w:rsid w:val="004217CD"/>
    <w:rsid w:val="0042469A"/>
    <w:rsid w:val="00426C13"/>
    <w:rsid w:val="00427992"/>
    <w:rsid w:val="0043257B"/>
    <w:rsid w:val="00432B8B"/>
    <w:rsid w:val="0043485D"/>
    <w:rsid w:val="00434A8C"/>
    <w:rsid w:val="004371DC"/>
    <w:rsid w:val="00437FE2"/>
    <w:rsid w:val="00440EDC"/>
    <w:rsid w:val="004420BD"/>
    <w:rsid w:val="00442626"/>
    <w:rsid w:val="0044352A"/>
    <w:rsid w:val="00444962"/>
    <w:rsid w:val="00444AC7"/>
    <w:rsid w:val="0044553A"/>
    <w:rsid w:val="004470F4"/>
    <w:rsid w:val="004500DF"/>
    <w:rsid w:val="0045128A"/>
    <w:rsid w:val="00451C95"/>
    <w:rsid w:val="00453B5D"/>
    <w:rsid w:val="00454D5E"/>
    <w:rsid w:val="0046010F"/>
    <w:rsid w:val="00460226"/>
    <w:rsid w:val="00460747"/>
    <w:rsid w:val="00460F59"/>
    <w:rsid w:val="004616E4"/>
    <w:rsid w:val="00462A62"/>
    <w:rsid w:val="004667E0"/>
    <w:rsid w:val="00470819"/>
    <w:rsid w:val="00470848"/>
    <w:rsid w:val="00470A90"/>
    <w:rsid w:val="00471A87"/>
    <w:rsid w:val="00471C75"/>
    <w:rsid w:val="0047206B"/>
    <w:rsid w:val="004750F9"/>
    <w:rsid w:val="00475D5E"/>
    <w:rsid w:val="00485353"/>
    <w:rsid w:val="0048557C"/>
    <w:rsid w:val="00490881"/>
    <w:rsid w:val="00490E71"/>
    <w:rsid w:val="004950AE"/>
    <w:rsid w:val="0049679F"/>
    <w:rsid w:val="004976DB"/>
    <w:rsid w:val="004A0A63"/>
    <w:rsid w:val="004A0B4A"/>
    <w:rsid w:val="004A13BF"/>
    <w:rsid w:val="004A1F23"/>
    <w:rsid w:val="004A2423"/>
    <w:rsid w:val="004A3BF9"/>
    <w:rsid w:val="004A47C1"/>
    <w:rsid w:val="004A526E"/>
    <w:rsid w:val="004A5C20"/>
    <w:rsid w:val="004A5C69"/>
    <w:rsid w:val="004A667C"/>
    <w:rsid w:val="004A6B49"/>
    <w:rsid w:val="004B1752"/>
    <w:rsid w:val="004B247B"/>
    <w:rsid w:val="004B24CE"/>
    <w:rsid w:val="004B442F"/>
    <w:rsid w:val="004B51FB"/>
    <w:rsid w:val="004B5296"/>
    <w:rsid w:val="004B6427"/>
    <w:rsid w:val="004B77A0"/>
    <w:rsid w:val="004B78D6"/>
    <w:rsid w:val="004C05F6"/>
    <w:rsid w:val="004C0D55"/>
    <w:rsid w:val="004C116C"/>
    <w:rsid w:val="004C19C0"/>
    <w:rsid w:val="004C460D"/>
    <w:rsid w:val="004C7F3E"/>
    <w:rsid w:val="004C7FE9"/>
    <w:rsid w:val="004D01A0"/>
    <w:rsid w:val="004D1E22"/>
    <w:rsid w:val="004D31AC"/>
    <w:rsid w:val="004D5696"/>
    <w:rsid w:val="004D72EF"/>
    <w:rsid w:val="004D7DA5"/>
    <w:rsid w:val="004E02CE"/>
    <w:rsid w:val="004E13C5"/>
    <w:rsid w:val="004E29DD"/>
    <w:rsid w:val="004E314F"/>
    <w:rsid w:val="004E3C86"/>
    <w:rsid w:val="004F37A0"/>
    <w:rsid w:val="004F389C"/>
    <w:rsid w:val="004F3E87"/>
    <w:rsid w:val="004F6B76"/>
    <w:rsid w:val="004F6FE3"/>
    <w:rsid w:val="004F736C"/>
    <w:rsid w:val="004F779A"/>
    <w:rsid w:val="004F7874"/>
    <w:rsid w:val="0050048C"/>
    <w:rsid w:val="0050232E"/>
    <w:rsid w:val="00502F07"/>
    <w:rsid w:val="00503FE8"/>
    <w:rsid w:val="00504179"/>
    <w:rsid w:val="00507572"/>
    <w:rsid w:val="005117CD"/>
    <w:rsid w:val="005123DF"/>
    <w:rsid w:val="005136D8"/>
    <w:rsid w:val="00514077"/>
    <w:rsid w:val="00514B91"/>
    <w:rsid w:val="00515FCD"/>
    <w:rsid w:val="005202E9"/>
    <w:rsid w:val="00523899"/>
    <w:rsid w:val="005242BF"/>
    <w:rsid w:val="005259CE"/>
    <w:rsid w:val="00533201"/>
    <w:rsid w:val="00534471"/>
    <w:rsid w:val="005356B0"/>
    <w:rsid w:val="005373FD"/>
    <w:rsid w:val="0054365E"/>
    <w:rsid w:val="0054570B"/>
    <w:rsid w:val="00546D73"/>
    <w:rsid w:val="00550FA8"/>
    <w:rsid w:val="00554117"/>
    <w:rsid w:val="00557ADE"/>
    <w:rsid w:val="005608D7"/>
    <w:rsid w:val="005617A4"/>
    <w:rsid w:val="005621C3"/>
    <w:rsid w:val="0056268C"/>
    <w:rsid w:val="0056315B"/>
    <w:rsid w:val="00565D92"/>
    <w:rsid w:val="00565DE4"/>
    <w:rsid w:val="0056732D"/>
    <w:rsid w:val="00570643"/>
    <w:rsid w:val="00571493"/>
    <w:rsid w:val="00571F18"/>
    <w:rsid w:val="00573DBD"/>
    <w:rsid w:val="00573FCD"/>
    <w:rsid w:val="0058072D"/>
    <w:rsid w:val="0058400B"/>
    <w:rsid w:val="0058520D"/>
    <w:rsid w:val="005853C4"/>
    <w:rsid w:val="00585645"/>
    <w:rsid w:val="005857FA"/>
    <w:rsid w:val="00585E13"/>
    <w:rsid w:val="00587A73"/>
    <w:rsid w:val="00587EF9"/>
    <w:rsid w:val="00590502"/>
    <w:rsid w:val="00590865"/>
    <w:rsid w:val="0059613D"/>
    <w:rsid w:val="00596A90"/>
    <w:rsid w:val="00597F6B"/>
    <w:rsid w:val="005A1FAB"/>
    <w:rsid w:val="005A513D"/>
    <w:rsid w:val="005A64CA"/>
    <w:rsid w:val="005A65DE"/>
    <w:rsid w:val="005A7DCB"/>
    <w:rsid w:val="005B32BD"/>
    <w:rsid w:val="005B4994"/>
    <w:rsid w:val="005B5D04"/>
    <w:rsid w:val="005B6162"/>
    <w:rsid w:val="005B686C"/>
    <w:rsid w:val="005C3741"/>
    <w:rsid w:val="005C38B7"/>
    <w:rsid w:val="005C5BB0"/>
    <w:rsid w:val="005C7AE6"/>
    <w:rsid w:val="005C7B15"/>
    <w:rsid w:val="005D1373"/>
    <w:rsid w:val="005D1D72"/>
    <w:rsid w:val="005D2FF1"/>
    <w:rsid w:val="005D33D3"/>
    <w:rsid w:val="005D38AF"/>
    <w:rsid w:val="005D3E2B"/>
    <w:rsid w:val="005D4AF1"/>
    <w:rsid w:val="005D5757"/>
    <w:rsid w:val="005D657D"/>
    <w:rsid w:val="005D69AC"/>
    <w:rsid w:val="005D69DF"/>
    <w:rsid w:val="005D7886"/>
    <w:rsid w:val="005D7E75"/>
    <w:rsid w:val="005E18AA"/>
    <w:rsid w:val="005E21B4"/>
    <w:rsid w:val="005E4687"/>
    <w:rsid w:val="005E63E1"/>
    <w:rsid w:val="005F0DE1"/>
    <w:rsid w:val="005F4731"/>
    <w:rsid w:val="005F4839"/>
    <w:rsid w:val="005F5925"/>
    <w:rsid w:val="005F6692"/>
    <w:rsid w:val="005F72ED"/>
    <w:rsid w:val="005F7428"/>
    <w:rsid w:val="006004F9"/>
    <w:rsid w:val="006023CD"/>
    <w:rsid w:val="00602869"/>
    <w:rsid w:val="00603691"/>
    <w:rsid w:val="006047BE"/>
    <w:rsid w:val="006052D2"/>
    <w:rsid w:val="00606772"/>
    <w:rsid w:val="00607A22"/>
    <w:rsid w:val="00612899"/>
    <w:rsid w:val="00613575"/>
    <w:rsid w:val="00614EA7"/>
    <w:rsid w:val="006157C8"/>
    <w:rsid w:val="006157E1"/>
    <w:rsid w:val="00615FE3"/>
    <w:rsid w:val="00616F71"/>
    <w:rsid w:val="0061726E"/>
    <w:rsid w:val="00617D94"/>
    <w:rsid w:val="00620615"/>
    <w:rsid w:val="00624C50"/>
    <w:rsid w:val="00626D73"/>
    <w:rsid w:val="00626E05"/>
    <w:rsid w:val="006279D2"/>
    <w:rsid w:val="00630675"/>
    <w:rsid w:val="00631EA1"/>
    <w:rsid w:val="0063218C"/>
    <w:rsid w:val="0063315E"/>
    <w:rsid w:val="006356F5"/>
    <w:rsid w:val="00636395"/>
    <w:rsid w:val="0064017E"/>
    <w:rsid w:val="00641224"/>
    <w:rsid w:val="00641E5E"/>
    <w:rsid w:val="006428BB"/>
    <w:rsid w:val="00643621"/>
    <w:rsid w:val="00645007"/>
    <w:rsid w:val="006452AB"/>
    <w:rsid w:val="006453C9"/>
    <w:rsid w:val="00645CBA"/>
    <w:rsid w:val="00646606"/>
    <w:rsid w:val="006467E6"/>
    <w:rsid w:val="00651D96"/>
    <w:rsid w:val="00652641"/>
    <w:rsid w:val="00652757"/>
    <w:rsid w:val="00652D1B"/>
    <w:rsid w:val="00654AAF"/>
    <w:rsid w:val="0065505B"/>
    <w:rsid w:val="00656555"/>
    <w:rsid w:val="00656A56"/>
    <w:rsid w:val="0066019E"/>
    <w:rsid w:val="006627A5"/>
    <w:rsid w:val="006642E2"/>
    <w:rsid w:val="006664D6"/>
    <w:rsid w:val="00674DAB"/>
    <w:rsid w:val="00676A50"/>
    <w:rsid w:val="006771EC"/>
    <w:rsid w:val="00677245"/>
    <w:rsid w:val="0068281D"/>
    <w:rsid w:val="00682C6F"/>
    <w:rsid w:val="00683469"/>
    <w:rsid w:val="00684FD3"/>
    <w:rsid w:val="006852F1"/>
    <w:rsid w:val="006863E8"/>
    <w:rsid w:val="006909AD"/>
    <w:rsid w:val="00690C9E"/>
    <w:rsid w:val="00692231"/>
    <w:rsid w:val="006924D9"/>
    <w:rsid w:val="00692745"/>
    <w:rsid w:val="006935D8"/>
    <w:rsid w:val="006940DF"/>
    <w:rsid w:val="00697103"/>
    <w:rsid w:val="006A11AE"/>
    <w:rsid w:val="006A14B3"/>
    <w:rsid w:val="006A220B"/>
    <w:rsid w:val="006A2B5B"/>
    <w:rsid w:val="006A32AD"/>
    <w:rsid w:val="006A35E9"/>
    <w:rsid w:val="006A3816"/>
    <w:rsid w:val="006A3E6A"/>
    <w:rsid w:val="006A528F"/>
    <w:rsid w:val="006A6800"/>
    <w:rsid w:val="006A7703"/>
    <w:rsid w:val="006B0989"/>
    <w:rsid w:val="006B0A1D"/>
    <w:rsid w:val="006B21E1"/>
    <w:rsid w:val="006B29AA"/>
    <w:rsid w:val="006B3FDB"/>
    <w:rsid w:val="006B652A"/>
    <w:rsid w:val="006C29DD"/>
    <w:rsid w:val="006C39DD"/>
    <w:rsid w:val="006C4703"/>
    <w:rsid w:val="006C5480"/>
    <w:rsid w:val="006C5544"/>
    <w:rsid w:val="006D2E0C"/>
    <w:rsid w:val="006D4CF9"/>
    <w:rsid w:val="006D7608"/>
    <w:rsid w:val="006E24C0"/>
    <w:rsid w:val="006E34FF"/>
    <w:rsid w:val="006E5798"/>
    <w:rsid w:val="006F110E"/>
    <w:rsid w:val="006F1DFE"/>
    <w:rsid w:val="006F2E00"/>
    <w:rsid w:val="006F3B53"/>
    <w:rsid w:val="006F3D5A"/>
    <w:rsid w:val="006F4E7B"/>
    <w:rsid w:val="006F6444"/>
    <w:rsid w:val="00701213"/>
    <w:rsid w:val="00702598"/>
    <w:rsid w:val="007033E0"/>
    <w:rsid w:val="007040E5"/>
    <w:rsid w:val="00704169"/>
    <w:rsid w:val="00704D75"/>
    <w:rsid w:val="00705040"/>
    <w:rsid w:val="00707241"/>
    <w:rsid w:val="0070758B"/>
    <w:rsid w:val="0070790B"/>
    <w:rsid w:val="00707E3A"/>
    <w:rsid w:val="00725441"/>
    <w:rsid w:val="007260E0"/>
    <w:rsid w:val="00727AA4"/>
    <w:rsid w:val="007314E7"/>
    <w:rsid w:val="00731586"/>
    <w:rsid w:val="00731C17"/>
    <w:rsid w:val="007327A3"/>
    <w:rsid w:val="00732E9A"/>
    <w:rsid w:val="00733F19"/>
    <w:rsid w:val="00737B93"/>
    <w:rsid w:val="0074093F"/>
    <w:rsid w:val="00740D64"/>
    <w:rsid w:val="0074100B"/>
    <w:rsid w:val="00741137"/>
    <w:rsid w:val="00745001"/>
    <w:rsid w:val="0074669C"/>
    <w:rsid w:val="00753813"/>
    <w:rsid w:val="00755BBF"/>
    <w:rsid w:val="0075662A"/>
    <w:rsid w:val="007573D2"/>
    <w:rsid w:val="00761B94"/>
    <w:rsid w:val="00763956"/>
    <w:rsid w:val="007643E8"/>
    <w:rsid w:val="00766F5D"/>
    <w:rsid w:val="007679F2"/>
    <w:rsid w:val="00772C85"/>
    <w:rsid w:val="00774684"/>
    <w:rsid w:val="00776446"/>
    <w:rsid w:val="00780415"/>
    <w:rsid w:val="00782FC2"/>
    <w:rsid w:val="007856DE"/>
    <w:rsid w:val="00787FAE"/>
    <w:rsid w:val="00793D2B"/>
    <w:rsid w:val="007942C2"/>
    <w:rsid w:val="007943FE"/>
    <w:rsid w:val="00795AB9"/>
    <w:rsid w:val="00796191"/>
    <w:rsid w:val="007A1E0E"/>
    <w:rsid w:val="007A37D6"/>
    <w:rsid w:val="007A414A"/>
    <w:rsid w:val="007A482D"/>
    <w:rsid w:val="007A72DE"/>
    <w:rsid w:val="007B077F"/>
    <w:rsid w:val="007B0F0F"/>
    <w:rsid w:val="007B3D20"/>
    <w:rsid w:val="007C0F5F"/>
    <w:rsid w:val="007C0FBE"/>
    <w:rsid w:val="007C1688"/>
    <w:rsid w:val="007C1E6F"/>
    <w:rsid w:val="007C245B"/>
    <w:rsid w:val="007C3476"/>
    <w:rsid w:val="007C5924"/>
    <w:rsid w:val="007C5979"/>
    <w:rsid w:val="007C616C"/>
    <w:rsid w:val="007C7CCC"/>
    <w:rsid w:val="007D1D73"/>
    <w:rsid w:val="007D2B00"/>
    <w:rsid w:val="007D3415"/>
    <w:rsid w:val="007D42E5"/>
    <w:rsid w:val="007D44B7"/>
    <w:rsid w:val="007D48EA"/>
    <w:rsid w:val="007D5B17"/>
    <w:rsid w:val="007D76FC"/>
    <w:rsid w:val="007D788F"/>
    <w:rsid w:val="007D7DC3"/>
    <w:rsid w:val="007E2006"/>
    <w:rsid w:val="007E2CA9"/>
    <w:rsid w:val="007E439A"/>
    <w:rsid w:val="007E6FB0"/>
    <w:rsid w:val="007E7EF4"/>
    <w:rsid w:val="007F0008"/>
    <w:rsid w:val="007F22FB"/>
    <w:rsid w:val="007F2D19"/>
    <w:rsid w:val="007F3EE5"/>
    <w:rsid w:val="007F4CDA"/>
    <w:rsid w:val="007F57AF"/>
    <w:rsid w:val="007F6A5B"/>
    <w:rsid w:val="007F7834"/>
    <w:rsid w:val="0080088D"/>
    <w:rsid w:val="00802631"/>
    <w:rsid w:val="008049EE"/>
    <w:rsid w:val="00804CDB"/>
    <w:rsid w:val="008055F8"/>
    <w:rsid w:val="0081027D"/>
    <w:rsid w:val="008117C7"/>
    <w:rsid w:val="00811B68"/>
    <w:rsid w:val="00815025"/>
    <w:rsid w:val="00815697"/>
    <w:rsid w:val="008176A7"/>
    <w:rsid w:val="00820939"/>
    <w:rsid w:val="00820B7A"/>
    <w:rsid w:val="008242BE"/>
    <w:rsid w:val="00824A62"/>
    <w:rsid w:val="008251D6"/>
    <w:rsid w:val="008324F5"/>
    <w:rsid w:val="00832889"/>
    <w:rsid w:val="008330D7"/>
    <w:rsid w:val="00835F11"/>
    <w:rsid w:val="00836A1E"/>
    <w:rsid w:val="008407F2"/>
    <w:rsid w:val="00840BD1"/>
    <w:rsid w:val="008415C2"/>
    <w:rsid w:val="008442D7"/>
    <w:rsid w:val="00844B80"/>
    <w:rsid w:val="00845EEC"/>
    <w:rsid w:val="008474E1"/>
    <w:rsid w:val="00850AEE"/>
    <w:rsid w:val="0085181C"/>
    <w:rsid w:val="008525D8"/>
    <w:rsid w:val="00854AAE"/>
    <w:rsid w:val="00855381"/>
    <w:rsid w:val="00856FFC"/>
    <w:rsid w:val="00857DFF"/>
    <w:rsid w:val="00860482"/>
    <w:rsid w:val="008608AF"/>
    <w:rsid w:val="0086131B"/>
    <w:rsid w:val="00861410"/>
    <w:rsid w:val="0086153D"/>
    <w:rsid w:val="008626F8"/>
    <w:rsid w:val="00863DD7"/>
    <w:rsid w:val="0086563B"/>
    <w:rsid w:val="00865684"/>
    <w:rsid w:val="00865B7D"/>
    <w:rsid w:val="0087064C"/>
    <w:rsid w:val="0087085F"/>
    <w:rsid w:val="00870A9D"/>
    <w:rsid w:val="00874594"/>
    <w:rsid w:val="00876406"/>
    <w:rsid w:val="00880B3A"/>
    <w:rsid w:val="00880BF1"/>
    <w:rsid w:val="008836E3"/>
    <w:rsid w:val="00884A72"/>
    <w:rsid w:val="008869EC"/>
    <w:rsid w:val="00887E20"/>
    <w:rsid w:val="00891E7A"/>
    <w:rsid w:val="0089236A"/>
    <w:rsid w:val="00892FE4"/>
    <w:rsid w:val="008971EB"/>
    <w:rsid w:val="0089733E"/>
    <w:rsid w:val="00897600"/>
    <w:rsid w:val="008A108B"/>
    <w:rsid w:val="008A3672"/>
    <w:rsid w:val="008A4F8A"/>
    <w:rsid w:val="008A5161"/>
    <w:rsid w:val="008B1FBA"/>
    <w:rsid w:val="008B260E"/>
    <w:rsid w:val="008B5685"/>
    <w:rsid w:val="008B6001"/>
    <w:rsid w:val="008B74BB"/>
    <w:rsid w:val="008C1CBA"/>
    <w:rsid w:val="008C3B67"/>
    <w:rsid w:val="008C67D1"/>
    <w:rsid w:val="008C7DBF"/>
    <w:rsid w:val="008D154E"/>
    <w:rsid w:val="008D3C46"/>
    <w:rsid w:val="008D75D5"/>
    <w:rsid w:val="008D7BFA"/>
    <w:rsid w:val="008E1AAD"/>
    <w:rsid w:val="008E1BED"/>
    <w:rsid w:val="008E1EE6"/>
    <w:rsid w:val="008E44EC"/>
    <w:rsid w:val="008E4ABA"/>
    <w:rsid w:val="008E6FAA"/>
    <w:rsid w:val="008F30FD"/>
    <w:rsid w:val="008F339E"/>
    <w:rsid w:val="008F4AD1"/>
    <w:rsid w:val="008F5A3E"/>
    <w:rsid w:val="008F6411"/>
    <w:rsid w:val="008F6655"/>
    <w:rsid w:val="008F79D7"/>
    <w:rsid w:val="00900C13"/>
    <w:rsid w:val="00904606"/>
    <w:rsid w:val="00905F02"/>
    <w:rsid w:val="009063D7"/>
    <w:rsid w:val="009102FF"/>
    <w:rsid w:val="00916118"/>
    <w:rsid w:val="009203CC"/>
    <w:rsid w:val="009210C1"/>
    <w:rsid w:val="009222D9"/>
    <w:rsid w:val="009232A8"/>
    <w:rsid w:val="0092386B"/>
    <w:rsid w:val="0092603B"/>
    <w:rsid w:val="00934154"/>
    <w:rsid w:val="00934265"/>
    <w:rsid w:val="009371FD"/>
    <w:rsid w:val="009416DE"/>
    <w:rsid w:val="009423F3"/>
    <w:rsid w:val="009429C0"/>
    <w:rsid w:val="00945291"/>
    <w:rsid w:val="00946141"/>
    <w:rsid w:val="00947630"/>
    <w:rsid w:val="00947BC7"/>
    <w:rsid w:val="00947F50"/>
    <w:rsid w:val="009522E1"/>
    <w:rsid w:val="00955249"/>
    <w:rsid w:val="009552C3"/>
    <w:rsid w:val="00955DA4"/>
    <w:rsid w:val="009563D6"/>
    <w:rsid w:val="009605EA"/>
    <w:rsid w:val="009612D5"/>
    <w:rsid w:val="009620D2"/>
    <w:rsid w:val="0096259C"/>
    <w:rsid w:val="00962925"/>
    <w:rsid w:val="0096352A"/>
    <w:rsid w:val="00965E50"/>
    <w:rsid w:val="00967826"/>
    <w:rsid w:val="00970755"/>
    <w:rsid w:val="00970F7C"/>
    <w:rsid w:val="00975FD0"/>
    <w:rsid w:val="0097609F"/>
    <w:rsid w:val="00976313"/>
    <w:rsid w:val="00976386"/>
    <w:rsid w:val="00976604"/>
    <w:rsid w:val="0097680E"/>
    <w:rsid w:val="0097783E"/>
    <w:rsid w:val="009827D5"/>
    <w:rsid w:val="00986C57"/>
    <w:rsid w:val="00990BFD"/>
    <w:rsid w:val="00991E4C"/>
    <w:rsid w:val="00991E66"/>
    <w:rsid w:val="0099749F"/>
    <w:rsid w:val="009A47EE"/>
    <w:rsid w:val="009B0DD6"/>
    <w:rsid w:val="009B13FD"/>
    <w:rsid w:val="009B1EED"/>
    <w:rsid w:val="009B31D2"/>
    <w:rsid w:val="009B4599"/>
    <w:rsid w:val="009B5530"/>
    <w:rsid w:val="009B64BF"/>
    <w:rsid w:val="009B6F27"/>
    <w:rsid w:val="009C2294"/>
    <w:rsid w:val="009C2B52"/>
    <w:rsid w:val="009C387A"/>
    <w:rsid w:val="009C4194"/>
    <w:rsid w:val="009C545A"/>
    <w:rsid w:val="009C5565"/>
    <w:rsid w:val="009C5AC9"/>
    <w:rsid w:val="009C72C8"/>
    <w:rsid w:val="009D602A"/>
    <w:rsid w:val="009E0B0E"/>
    <w:rsid w:val="009E1B40"/>
    <w:rsid w:val="009E4094"/>
    <w:rsid w:val="009E4C94"/>
    <w:rsid w:val="009E6332"/>
    <w:rsid w:val="009E67A9"/>
    <w:rsid w:val="009F0091"/>
    <w:rsid w:val="009F033E"/>
    <w:rsid w:val="009F0513"/>
    <w:rsid w:val="009F256C"/>
    <w:rsid w:val="009F29E5"/>
    <w:rsid w:val="009F4248"/>
    <w:rsid w:val="00A00530"/>
    <w:rsid w:val="00A03FCD"/>
    <w:rsid w:val="00A044C5"/>
    <w:rsid w:val="00A0520A"/>
    <w:rsid w:val="00A05FFF"/>
    <w:rsid w:val="00A06FD6"/>
    <w:rsid w:val="00A0759D"/>
    <w:rsid w:val="00A102C9"/>
    <w:rsid w:val="00A114A3"/>
    <w:rsid w:val="00A11794"/>
    <w:rsid w:val="00A14B0A"/>
    <w:rsid w:val="00A17A90"/>
    <w:rsid w:val="00A17ACF"/>
    <w:rsid w:val="00A2046A"/>
    <w:rsid w:val="00A21493"/>
    <w:rsid w:val="00A245DB"/>
    <w:rsid w:val="00A250BF"/>
    <w:rsid w:val="00A2529A"/>
    <w:rsid w:val="00A27240"/>
    <w:rsid w:val="00A2731E"/>
    <w:rsid w:val="00A3152C"/>
    <w:rsid w:val="00A31FCE"/>
    <w:rsid w:val="00A333D4"/>
    <w:rsid w:val="00A355AB"/>
    <w:rsid w:val="00A35AC8"/>
    <w:rsid w:val="00A375D2"/>
    <w:rsid w:val="00A40B3B"/>
    <w:rsid w:val="00A42639"/>
    <w:rsid w:val="00A426DB"/>
    <w:rsid w:val="00A42AAD"/>
    <w:rsid w:val="00A44474"/>
    <w:rsid w:val="00A444C9"/>
    <w:rsid w:val="00A465FF"/>
    <w:rsid w:val="00A50A4A"/>
    <w:rsid w:val="00A52CE0"/>
    <w:rsid w:val="00A53364"/>
    <w:rsid w:val="00A60B22"/>
    <w:rsid w:val="00A6236C"/>
    <w:rsid w:val="00A62CED"/>
    <w:rsid w:val="00A64162"/>
    <w:rsid w:val="00A65901"/>
    <w:rsid w:val="00A65906"/>
    <w:rsid w:val="00A6675C"/>
    <w:rsid w:val="00A6697B"/>
    <w:rsid w:val="00A70E9A"/>
    <w:rsid w:val="00A73CB0"/>
    <w:rsid w:val="00A75B41"/>
    <w:rsid w:val="00A80080"/>
    <w:rsid w:val="00A80D0F"/>
    <w:rsid w:val="00A81A82"/>
    <w:rsid w:val="00A839B8"/>
    <w:rsid w:val="00A86091"/>
    <w:rsid w:val="00A86A91"/>
    <w:rsid w:val="00A870F1"/>
    <w:rsid w:val="00A93398"/>
    <w:rsid w:val="00A9795B"/>
    <w:rsid w:val="00AA0461"/>
    <w:rsid w:val="00AA110D"/>
    <w:rsid w:val="00AA198B"/>
    <w:rsid w:val="00AA3B0F"/>
    <w:rsid w:val="00AA47B3"/>
    <w:rsid w:val="00AA57E2"/>
    <w:rsid w:val="00AA6B9A"/>
    <w:rsid w:val="00AB5316"/>
    <w:rsid w:val="00AB5855"/>
    <w:rsid w:val="00AB61F8"/>
    <w:rsid w:val="00AC0A5C"/>
    <w:rsid w:val="00AC2735"/>
    <w:rsid w:val="00AC3A22"/>
    <w:rsid w:val="00AC7D8A"/>
    <w:rsid w:val="00AD0553"/>
    <w:rsid w:val="00AD072A"/>
    <w:rsid w:val="00AD0A4A"/>
    <w:rsid w:val="00AD0EC3"/>
    <w:rsid w:val="00AD1AD0"/>
    <w:rsid w:val="00AD250B"/>
    <w:rsid w:val="00AD6AE7"/>
    <w:rsid w:val="00AD7A20"/>
    <w:rsid w:val="00AE10AB"/>
    <w:rsid w:val="00AE15FB"/>
    <w:rsid w:val="00AE1DF2"/>
    <w:rsid w:val="00AE5448"/>
    <w:rsid w:val="00AE6245"/>
    <w:rsid w:val="00AE69F0"/>
    <w:rsid w:val="00AF2647"/>
    <w:rsid w:val="00AF2960"/>
    <w:rsid w:val="00AF29AD"/>
    <w:rsid w:val="00AF318E"/>
    <w:rsid w:val="00AF3FBF"/>
    <w:rsid w:val="00AF456B"/>
    <w:rsid w:val="00AF4740"/>
    <w:rsid w:val="00AF4EE2"/>
    <w:rsid w:val="00AF6181"/>
    <w:rsid w:val="00AF6226"/>
    <w:rsid w:val="00AF635F"/>
    <w:rsid w:val="00B01450"/>
    <w:rsid w:val="00B05CE8"/>
    <w:rsid w:val="00B07B0B"/>
    <w:rsid w:val="00B1020F"/>
    <w:rsid w:val="00B105F8"/>
    <w:rsid w:val="00B10845"/>
    <w:rsid w:val="00B10FBC"/>
    <w:rsid w:val="00B110A7"/>
    <w:rsid w:val="00B12CC4"/>
    <w:rsid w:val="00B13C96"/>
    <w:rsid w:val="00B13E63"/>
    <w:rsid w:val="00B142EC"/>
    <w:rsid w:val="00B15D99"/>
    <w:rsid w:val="00B17C1B"/>
    <w:rsid w:val="00B22287"/>
    <w:rsid w:val="00B22A97"/>
    <w:rsid w:val="00B22B08"/>
    <w:rsid w:val="00B22F36"/>
    <w:rsid w:val="00B22F58"/>
    <w:rsid w:val="00B24A04"/>
    <w:rsid w:val="00B26F17"/>
    <w:rsid w:val="00B27FA1"/>
    <w:rsid w:val="00B31FA6"/>
    <w:rsid w:val="00B32D85"/>
    <w:rsid w:val="00B34738"/>
    <w:rsid w:val="00B40B98"/>
    <w:rsid w:val="00B42114"/>
    <w:rsid w:val="00B44083"/>
    <w:rsid w:val="00B44209"/>
    <w:rsid w:val="00B4587C"/>
    <w:rsid w:val="00B45BCA"/>
    <w:rsid w:val="00B460AD"/>
    <w:rsid w:val="00B462D0"/>
    <w:rsid w:val="00B47149"/>
    <w:rsid w:val="00B47DE4"/>
    <w:rsid w:val="00B50A9E"/>
    <w:rsid w:val="00B515FD"/>
    <w:rsid w:val="00B526AA"/>
    <w:rsid w:val="00B53EC3"/>
    <w:rsid w:val="00B55B1C"/>
    <w:rsid w:val="00B56054"/>
    <w:rsid w:val="00B5718C"/>
    <w:rsid w:val="00B603AC"/>
    <w:rsid w:val="00B6127C"/>
    <w:rsid w:val="00B61879"/>
    <w:rsid w:val="00B625C8"/>
    <w:rsid w:val="00B629A7"/>
    <w:rsid w:val="00B63FCF"/>
    <w:rsid w:val="00B645DA"/>
    <w:rsid w:val="00B64C55"/>
    <w:rsid w:val="00B665E3"/>
    <w:rsid w:val="00B702F0"/>
    <w:rsid w:val="00B72AA9"/>
    <w:rsid w:val="00B77B25"/>
    <w:rsid w:val="00B77BAD"/>
    <w:rsid w:val="00B800D6"/>
    <w:rsid w:val="00B81230"/>
    <w:rsid w:val="00B81378"/>
    <w:rsid w:val="00B8154B"/>
    <w:rsid w:val="00B849F5"/>
    <w:rsid w:val="00B84DC3"/>
    <w:rsid w:val="00B963BE"/>
    <w:rsid w:val="00B96733"/>
    <w:rsid w:val="00BA1813"/>
    <w:rsid w:val="00BA2B39"/>
    <w:rsid w:val="00BA3DF4"/>
    <w:rsid w:val="00BA4FDB"/>
    <w:rsid w:val="00BB0F52"/>
    <w:rsid w:val="00BB1DCA"/>
    <w:rsid w:val="00BB4BCE"/>
    <w:rsid w:val="00BB7270"/>
    <w:rsid w:val="00BB763A"/>
    <w:rsid w:val="00BB7CC1"/>
    <w:rsid w:val="00BC17C1"/>
    <w:rsid w:val="00BC1945"/>
    <w:rsid w:val="00BC3116"/>
    <w:rsid w:val="00BC5061"/>
    <w:rsid w:val="00BC51F3"/>
    <w:rsid w:val="00BC6DDA"/>
    <w:rsid w:val="00BD21F9"/>
    <w:rsid w:val="00BD38D4"/>
    <w:rsid w:val="00BD6B46"/>
    <w:rsid w:val="00BE04D6"/>
    <w:rsid w:val="00BE0623"/>
    <w:rsid w:val="00BE097B"/>
    <w:rsid w:val="00BE1635"/>
    <w:rsid w:val="00BE4E4D"/>
    <w:rsid w:val="00BE55D5"/>
    <w:rsid w:val="00BE7371"/>
    <w:rsid w:val="00BF05AF"/>
    <w:rsid w:val="00BF0AA7"/>
    <w:rsid w:val="00BF0DE7"/>
    <w:rsid w:val="00BF111B"/>
    <w:rsid w:val="00BF1B4A"/>
    <w:rsid w:val="00BF4286"/>
    <w:rsid w:val="00BF5C84"/>
    <w:rsid w:val="00BF74B5"/>
    <w:rsid w:val="00BF79B9"/>
    <w:rsid w:val="00C00998"/>
    <w:rsid w:val="00C00DBD"/>
    <w:rsid w:val="00C00FAA"/>
    <w:rsid w:val="00C011E6"/>
    <w:rsid w:val="00C0291A"/>
    <w:rsid w:val="00C07D3C"/>
    <w:rsid w:val="00C120CE"/>
    <w:rsid w:val="00C16BEB"/>
    <w:rsid w:val="00C176E0"/>
    <w:rsid w:val="00C202A8"/>
    <w:rsid w:val="00C202D1"/>
    <w:rsid w:val="00C208EA"/>
    <w:rsid w:val="00C21BBF"/>
    <w:rsid w:val="00C223A6"/>
    <w:rsid w:val="00C23D33"/>
    <w:rsid w:val="00C24B0A"/>
    <w:rsid w:val="00C250E2"/>
    <w:rsid w:val="00C2542D"/>
    <w:rsid w:val="00C26519"/>
    <w:rsid w:val="00C31176"/>
    <w:rsid w:val="00C31EB7"/>
    <w:rsid w:val="00C32C9D"/>
    <w:rsid w:val="00C3524D"/>
    <w:rsid w:val="00C3691E"/>
    <w:rsid w:val="00C37485"/>
    <w:rsid w:val="00C37C94"/>
    <w:rsid w:val="00C40395"/>
    <w:rsid w:val="00C40CA2"/>
    <w:rsid w:val="00C4150F"/>
    <w:rsid w:val="00C424E0"/>
    <w:rsid w:val="00C4370F"/>
    <w:rsid w:val="00C44678"/>
    <w:rsid w:val="00C44EDB"/>
    <w:rsid w:val="00C503E5"/>
    <w:rsid w:val="00C50DC1"/>
    <w:rsid w:val="00C512FB"/>
    <w:rsid w:val="00C541D0"/>
    <w:rsid w:val="00C54D38"/>
    <w:rsid w:val="00C556B5"/>
    <w:rsid w:val="00C55855"/>
    <w:rsid w:val="00C5743A"/>
    <w:rsid w:val="00C60560"/>
    <w:rsid w:val="00C61278"/>
    <w:rsid w:val="00C626C5"/>
    <w:rsid w:val="00C62741"/>
    <w:rsid w:val="00C63EB2"/>
    <w:rsid w:val="00C666CE"/>
    <w:rsid w:val="00C67EDA"/>
    <w:rsid w:val="00C70D37"/>
    <w:rsid w:val="00C81D40"/>
    <w:rsid w:val="00C83B13"/>
    <w:rsid w:val="00C87A2B"/>
    <w:rsid w:val="00C91307"/>
    <w:rsid w:val="00C96F23"/>
    <w:rsid w:val="00C96FBD"/>
    <w:rsid w:val="00CA0025"/>
    <w:rsid w:val="00CA2A27"/>
    <w:rsid w:val="00CA4835"/>
    <w:rsid w:val="00CA559B"/>
    <w:rsid w:val="00CA70C1"/>
    <w:rsid w:val="00CA7F72"/>
    <w:rsid w:val="00CB15DD"/>
    <w:rsid w:val="00CB2D63"/>
    <w:rsid w:val="00CB41E8"/>
    <w:rsid w:val="00CB4F4D"/>
    <w:rsid w:val="00CC1889"/>
    <w:rsid w:val="00CC308B"/>
    <w:rsid w:val="00CC387D"/>
    <w:rsid w:val="00CD0A47"/>
    <w:rsid w:val="00CD32CE"/>
    <w:rsid w:val="00CD38CC"/>
    <w:rsid w:val="00CD402C"/>
    <w:rsid w:val="00CD46EC"/>
    <w:rsid w:val="00CD75C1"/>
    <w:rsid w:val="00CE3ADF"/>
    <w:rsid w:val="00CE44C1"/>
    <w:rsid w:val="00CF0139"/>
    <w:rsid w:val="00CF160B"/>
    <w:rsid w:val="00CF170A"/>
    <w:rsid w:val="00CF33D6"/>
    <w:rsid w:val="00CF3554"/>
    <w:rsid w:val="00CF36C1"/>
    <w:rsid w:val="00CF3CA5"/>
    <w:rsid w:val="00CF4B0F"/>
    <w:rsid w:val="00CF4F92"/>
    <w:rsid w:val="00CF6A2F"/>
    <w:rsid w:val="00D021F0"/>
    <w:rsid w:val="00D02A8C"/>
    <w:rsid w:val="00D03E79"/>
    <w:rsid w:val="00D0665E"/>
    <w:rsid w:val="00D073F6"/>
    <w:rsid w:val="00D07A08"/>
    <w:rsid w:val="00D10FBF"/>
    <w:rsid w:val="00D11CBE"/>
    <w:rsid w:val="00D1206F"/>
    <w:rsid w:val="00D1387C"/>
    <w:rsid w:val="00D146B4"/>
    <w:rsid w:val="00D146C3"/>
    <w:rsid w:val="00D161E1"/>
    <w:rsid w:val="00D16E6B"/>
    <w:rsid w:val="00D178FE"/>
    <w:rsid w:val="00D21354"/>
    <w:rsid w:val="00D23B4F"/>
    <w:rsid w:val="00D26104"/>
    <w:rsid w:val="00D26E0B"/>
    <w:rsid w:val="00D27A2E"/>
    <w:rsid w:val="00D300A0"/>
    <w:rsid w:val="00D31028"/>
    <w:rsid w:val="00D3422A"/>
    <w:rsid w:val="00D349EA"/>
    <w:rsid w:val="00D3682C"/>
    <w:rsid w:val="00D37EDF"/>
    <w:rsid w:val="00D40BE1"/>
    <w:rsid w:val="00D4202A"/>
    <w:rsid w:val="00D440EF"/>
    <w:rsid w:val="00D44724"/>
    <w:rsid w:val="00D4540F"/>
    <w:rsid w:val="00D46059"/>
    <w:rsid w:val="00D46074"/>
    <w:rsid w:val="00D46E3A"/>
    <w:rsid w:val="00D47D0F"/>
    <w:rsid w:val="00D5014C"/>
    <w:rsid w:val="00D523EF"/>
    <w:rsid w:val="00D533CE"/>
    <w:rsid w:val="00D53879"/>
    <w:rsid w:val="00D54E7F"/>
    <w:rsid w:val="00D56591"/>
    <w:rsid w:val="00D57766"/>
    <w:rsid w:val="00D6082D"/>
    <w:rsid w:val="00D61219"/>
    <w:rsid w:val="00D6212E"/>
    <w:rsid w:val="00D6530C"/>
    <w:rsid w:val="00D659A0"/>
    <w:rsid w:val="00D66CCE"/>
    <w:rsid w:val="00D76C7B"/>
    <w:rsid w:val="00D80077"/>
    <w:rsid w:val="00D80A04"/>
    <w:rsid w:val="00D83472"/>
    <w:rsid w:val="00D839F5"/>
    <w:rsid w:val="00D86ADA"/>
    <w:rsid w:val="00D87874"/>
    <w:rsid w:val="00D9090E"/>
    <w:rsid w:val="00D92362"/>
    <w:rsid w:val="00D92C16"/>
    <w:rsid w:val="00D95999"/>
    <w:rsid w:val="00D97346"/>
    <w:rsid w:val="00D978F4"/>
    <w:rsid w:val="00DA10F2"/>
    <w:rsid w:val="00DA3120"/>
    <w:rsid w:val="00DA50AE"/>
    <w:rsid w:val="00DA57BF"/>
    <w:rsid w:val="00DA63A9"/>
    <w:rsid w:val="00DB0C65"/>
    <w:rsid w:val="00DB2942"/>
    <w:rsid w:val="00DB2F4C"/>
    <w:rsid w:val="00DB3098"/>
    <w:rsid w:val="00DB6F54"/>
    <w:rsid w:val="00DB7889"/>
    <w:rsid w:val="00DB79B1"/>
    <w:rsid w:val="00DB7E64"/>
    <w:rsid w:val="00DC24F6"/>
    <w:rsid w:val="00DC2777"/>
    <w:rsid w:val="00DC2FC2"/>
    <w:rsid w:val="00DC56B9"/>
    <w:rsid w:val="00DC581E"/>
    <w:rsid w:val="00DD41E7"/>
    <w:rsid w:val="00DD52C3"/>
    <w:rsid w:val="00DD7F4C"/>
    <w:rsid w:val="00DD7FBF"/>
    <w:rsid w:val="00DE47D8"/>
    <w:rsid w:val="00DE4844"/>
    <w:rsid w:val="00DE7BF8"/>
    <w:rsid w:val="00DF1845"/>
    <w:rsid w:val="00DF461E"/>
    <w:rsid w:val="00DF52A0"/>
    <w:rsid w:val="00DF5851"/>
    <w:rsid w:val="00DF73F7"/>
    <w:rsid w:val="00E000C4"/>
    <w:rsid w:val="00E008CE"/>
    <w:rsid w:val="00E012B6"/>
    <w:rsid w:val="00E01730"/>
    <w:rsid w:val="00E075B4"/>
    <w:rsid w:val="00E07AA5"/>
    <w:rsid w:val="00E1035A"/>
    <w:rsid w:val="00E10FB6"/>
    <w:rsid w:val="00E12531"/>
    <w:rsid w:val="00E13D36"/>
    <w:rsid w:val="00E13FB9"/>
    <w:rsid w:val="00E14589"/>
    <w:rsid w:val="00E17EB7"/>
    <w:rsid w:val="00E21111"/>
    <w:rsid w:val="00E214CD"/>
    <w:rsid w:val="00E23E73"/>
    <w:rsid w:val="00E2478F"/>
    <w:rsid w:val="00E249A3"/>
    <w:rsid w:val="00E32F11"/>
    <w:rsid w:val="00E3356F"/>
    <w:rsid w:val="00E3411F"/>
    <w:rsid w:val="00E3471C"/>
    <w:rsid w:val="00E34FAA"/>
    <w:rsid w:val="00E4143F"/>
    <w:rsid w:val="00E43DE4"/>
    <w:rsid w:val="00E46811"/>
    <w:rsid w:val="00E47F18"/>
    <w:rsid w:val="00E50002"/>
    <w:rsid w:val="00E50D49"/>
    <w:rsid w:val="00E54EA8"/>
    <w:rsid w:val="00E5582B"/>
    <w:rsid w:val="00E56B86"/>
    <w:rsid w:val="00E57F6B"/>
    <w:rsid w:val="00E61C42"/>
    <w:rsid w:val="00E65A49"/>
    <w:rsid w:val="00E65F1B"/>
    <w:rsid w:val="00E66C66"/>
    <w:rsid w:val="00E66EEA"/>
    <w:rsid w:val="00E704BC"/>
    <w:rsid w:val="00E7090E"/>
    <w:rsid w:val="00E80A3B"/>
    <w:rsid w:val="00E81D4D"/>
    <w:rsid w:val="00E84495"/>
    <w:rsid w:val="00E87BB0"/>
    <w:rsid w:val="00E91492"/>
    <w:rsid w:val="00E93EA7"/>
    <w:rsid w:val="00E96FC6"/>
    <w:rsid w:val="00E97998"/>
    <w:rsid w:val="00EA035B"/>
    <w:rsid w:val="00EA214E"/>
    <w:rsid w:val="00EA410F"/>
    <w:rsid w:val="00EA75EC"/>
    <w:rsid w:val="00EB1F1E"/>
    <w:rsid w:val="00EB22C8"/>
    <w:rsid w:val="00EB2D73"/>
    <w:rsid w:val="00EB3918"/>
    <w:rsid w:val="00EB3B56"/>
    <w:rsid w:val="00EB401A"/>
    <w:rsid w:val="00EB4111"/>
    <w:rsid w:val="00EB4399"/>
    <w:rsid w:val="00EB5CF1"/>
    <w:rsid w:val="00EC026C"/>
    <w:rsid w:val="00EC1453"/>
    <w:rsid w:val="00EC239D"/>
    <w:rsid w:val="00EC5F40"/>
    <w:rsid w:val="00EC785B"/>
    <w:rsid w:val="00ED7D7C"/>
    <w:rsid w:val="00EE0CA8"/>
    <w:rsid w:val="00EE1ED8"/>
    <w:rsid w:val="00EE2482"/>
    <w:rsid w:val="00EE414D"/>
    <w:rsid w:val="00EE4F29"/>
    <w:rsid w:val="00EE66EC"/>
    <w:rsid w:val="00EE7908"/>
    <w:rsid w:val="00EF0FF4"/>
    <w:rsid w:val="00EF1582"/>
    <w:rsid w:val="00EF1832"/>
    <w:rsid w:val="00EF1C2A"/>
    <w:rsid w:val="00EF493D"/>
    <w:rsid w:val="00EF4F62"/>
    <w:rsid w:val="00EF5076"/>
    <w:rsid w:val="00EF6179"/>
    <w:rsid w:val="00EF691A"/>
    <w:rsid w:val="00EF7421"/>
    <w:rsid w:val="00F002ED"/>
    <w:rsid w:val="00F01BFD"/>
    <w:rsid w:val="00F01D8C"/>
    <w:rsid w:val="00F021ED"/>
    <w:rsid w:val="00F042D0"/>
    <w:rsid w:val="00F04C11"/>
    <w:rsid w:val="00F10A7D"/>
    <w:rsid w:val="00F10AFF"/>
    <w:rsid w:val="00F10ECE"/>
    <w:rsid w:val="00F121D9"/>
    <w:rsid w:val="00F12DE1"/>
    <w:rsid w:val="00F13F9C"/>
    <w:rsid w:val="00F140B1"/>
    <w:rsid w:val="00F142E1"/>
    <w:rsid w:val="00F15916"/>
    <w:rsid w:val="00F161BA"/>
    <w:rsid w:val="00F1740D"/>
    <w:rsid w:val="00F178B4"/>
    <w:rsid w:val="00F17A6A"/>
    <w:rsid w:val="00F17B90"/>
    <w:rsid w:val="00F21047"/>
    <w:rsid w:val="00F223B6"/>
    <w:rsid w:val="00F245B4"/>
    <w:rsid w:val="00F24684"/>
    <w:rsid w:val="00F250A8"/>
    <w:rsid w:val="00F25E48"/>
    <w:rsid w:val="00F269BD"/>
    <w:rsid w:val="00F27028"/>
    <w:rsid w:val="00F37489"/>
    <w:rsid w:val="00F42460"/>
    <w:rsid w:val="00F42C9D"/>
    <w:rsid w:val="00F43B72"/>
    <w:rsid w:val="00F46A90"/>
    <w:rsid w:val="00F4763E"/>
    <w:rsid w:val="00F512CE"/>
    <w:rsid w:val="00F538E0"/>
    <w:rsid w:val="00F5398D"/>
    <w:rsid w:val="00F54AD1"/>
    <w:rsid w:val="00F5534C"/>
    <w:rsid w:val="00F55ED5"/>
    <w:rsid w:val="00F561C5"/>
    <w:rsid w:val="00F56AD6"/>
    <w:rsid w:val="00F57A20"/>
    <w:rsid w:val="00F6102C"/>
    <w:rsid w:val="00F6190D"/>
    <w:rsid w:val="00F625A5"/>
    <w:rsid w:val="00F63C49"/>
    <w:rsid w:val="00F64E11"/>
    <w:rsid w:val="00F6513A"/>
    <w:rsid w:val="00F65B21"/>
    <w:rsid w:val="00F67304"/>
    <w:rsid w:val="00F71197"/>
    <w:rsid w:val="00F724B1"/>
    <w:rsid w:val="00F7677E"/>
    <w:rsid w:val="00F76E82"/>
    <w:rsid w:val="00F76E84"/>
    <w:rsid w:val="00F77894"/>
    <w:rsid w:val="00F80449"/>
    <w:rsid w:val="00F80967"/>
    <w:rsid w:val="00F837EB"/>
    <w:rsid w:val="00F84A2B"/>
    <w:rsid w:val="00F85E84"/>
    <w:rsid w:val="00F86462"/>
    <w:rsid w:val="00F86562"/>
    <w:rsid w:val="00F924B6"/>
    <w:rsid w:val="00F95A56"/>
    <w:rsid w:val="00F9785D"/>
    <w:rsid w:val="00FA0FCA"/>
    <w:rsid w:val="00FA1903"/>
    <w:rsid w:val="00FA317C"/>
    <w:rsid w:val="00FA3442"/>
    <w:rsid w:val="00FA45D4"/>
    <w:rsid w:val="00FA49DC"/>
    <w:rsid w:val="00FA7F08"/>
    <w:rsid w:val="00FB0347"/>
    <w:rsid w:val="00FB28ED"/>
    <w:rsid w:val="00FB39C5"/>
    <w:rsid w:val="00FB4AD3"/>
    <w:rsid w:val="00FB5E70"/>
    <w:rsid w:val="00FB619A"/>
    <w:rsid w:val="00FB691F"/>
    <w:rsid w:val="00FC051B"/>
    <w:rsid w:val="00FC0787"/>
    <w:rsid w:val="00FC0FB9"/>
    <w:rsid w:val="00FC1049"/>
    <w:rsid w:val="00FC3439"/>
    <w:rsid w:val="00FC3C14"/>
    <w:rsid w:val="00FC559C"/>
    <w:rsid w:val="00FC6667"/>
    <w:rsid w:val="00FC6F76"/>
    <w:rsid w:val="00FC7868"/>
    <w:rsid w:val="00FD0073"/>
    <w:rsid w:val="00FD05D5"/>
    <w:rsid w:val="00FD1801"/>
    <w:rsid w:val="00FD1F5E"/>
    <w:rsid w:val="00FD23BC"/>
    <w:rsid w:val="00FD439A"/>
    <w:rsid w:val="00FD45C2"/>
    <w:rsid w:val="00FD50E7"/>
    <w:rsid w:val="00FD531F"/>
    <w:rsid w:val="00FE207C"/>
    <w:rsid w:val="00FE6723"/>
    <w:rsid w:val="00FE7CFD"/>
    <w:rsid w:val="00FF0B7A"/>
    <w:rsid w:val="00FF1A33"/>
    <w:rsid w:val="00FF2D81"/>
    <w:rsid w:val="00FF383E"/>
    <w:rsid w:val="00FF66AA"/>
    <w:rsid w:val="00FF6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BBF31E4-908E-4F7A-9DE6-42BE4C0F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F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4F0"/>
    <w:pPr>
      <w:widowControl w:val="0"/>
      <w:tabs>
        <w:tab w:val="center" w:pos="4451"/>
        <w:tab w:val="right" w:pos="9923"/>
      </w:tabs>
    </w:pPr>
    <w:rPr>
      <w:szCs w:val="20"/>
    </w:rPr>
  </w:style>
  <w:style w:type="character" w:customStyle="1" w:styleId="HeaderChar">
    <w:name w:val="Header Char"/>
    <w:basedOn w:val="DefaultParagraphFont"/>
    <w:link w:val="Header"/>
    <w:rsid w:val="001944F0"/>
    <w:rPr>
      <w:rFonts w:ascii="Arial" w:eastAsia="Times New Roman" w:hAnsi="Arial" w:cs="Times New Roman"/>
      <w:szCs w:val="20"/>
    </w:rPr>
  </w:style>
  <w:style w:type="paragraph" w:styleId="Footer">
    <w:name w:val="footer"/>
    <w:basedOn w:val="Normal"/>
    <w:link w:val="FooterChar"/>
    <w:rsid w:val="001944F0"/>
    <w:pPr>
      <w:tabs>
        <w:tab w:val="center" w:pos="4961"/>
        <w:tab w:val="right" w:pos="9923"/>
      </w:tabs>
    </w:pPr>
    <w:rPr>
      <w:szCs w:val="20"/>
    </w:rPr>
  </w:style>
  <w:style w:type="character" w:customStyle="1" w:styleId="FooterChar">
    <w:name w:val="Footer Char"/>
    <w:basedOn w:val="DefaultParagraphFont"/>
    <w:link w:val="Footer"/>
    <w:rsid w:val="001944F0"/>
    <w:rPr>
      <w:rFonts w:ascii="Arial" w:eastAsia="Times New Roman" w:hAnsi="Arial" w:cs="Times New Roman"/>
      <w:szCs w:val="20"/>
    </w:rPr>
  </w:style>
  <w:style w:type="character" w:styleId="PageNumber">
    <w:name w:val="page number"/>
    <w:basedOn w:val="DefaultParagraphFont"/>
    <w:rsid w:val="001944F0"/>
  </w:style>
  <w:style w:type="paragraph" w:styleId="HTMLPreformatted">
    <w:name w:val="HTML Preformatted"/>
    <w:basedOn w:val="Normal"/>
    <w:link w:val="HTMLPreformattedChar"/>
    <w:rsid w:val="0019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944F0"/>
    <w:rPr>
      <w:rFonts w:ascii="Courier New" w:eastAsia="Courier New" w:hAnsi="Courier New" w:cs="Courier New"/>
      <w:sz w:val="20"/>
      <w:szCs w:val="20"/>
    </w:rPr>
  </w:style>
  <w:style w:type="character" w:styleId="Hyperlink">
    <w:name w:val="Hyperlink"/>
    <w:basedOn w:val="DefaultParagraphFont"/>
    <w:uiPriority w:val="99"/>
    <w:unhideWhenUsed/>
    <w:rsid w:val="001944F0"/>
    <w:rPr>
      <w:color w:val="0000FF" w:themeColor="hyperlink"/>
      <w:u w:val="single"/>
    </w:rPr>
  </w:style>
  <w:style w:type="paragraph" w:customStyle="1" w:styleId="CharCharCharCharCharChar1CharChar">
    <w:name w:val="Char Char Char Char Char Char1 Char Char"/>
    <w:basedOn w:val="Normal"/>
    <w:rsid w:val="001944F0"/>
    <w:pPr>
      <w:spacing w:after="160" w:line="240" w:lineRule="exact"/>
      <w:ind w:left="720" w:hanging="360"/>
    </w:pPr>
    <w:rPr>
      <w:rFonts w:ascii="Times New Roman" w:hAnsi="Times New Roman"/>
      <w:sz w:val="24"/>
      <w:szCs w:val="20"/>
      <w:lang w:val="en-US" w:eastAsia="hr-HR"/>
    </w:rPr>
  </w:style>
  <w:style w:type="character" w:styleId="FollowedHyperlink">
    <w:name w:val="FollowedHyperlink"/>
    <w:basedOn w:val="DefaultParagraphFont"/>
    <w:uiPriority w:val="99"/>
    <w:semiHidden/>
    <w:unhideWhenUsed/>
    <w:rsid w:val="003210D0"/>
    <w:rPr>
      <w:color w:val="800080" w:themeColor="followedHyperlink"/>
      <w:u w:val="single"/>
    </w:rPr>
  </w:style>
  <w:style w:type="paragraph" w:styleId="ListParagraph">
    <w:name w:val="List Paragraph"/>
    <w:basedOn w:val="Normal"/>
    <w:uiPriority w:val="34"/>
    <w:qFormat/>
    <w:rsid w:val="0027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253">
      <w:bodyDiv w:val="1"/>
      <w:marLeft w:val="0"/>
      <w:marRight w:val="0"/>
      <w:marTop w:val="0"/>
      <w:marBottom w:val="0"/>
      <w:divBdr>
        <w:top w:val="none" w:sz="0" w:space="0" w:color="auto"/>
        <w:left w:val="none" w:sz="0" w:space="0" w:color="auto"/>
        <w:bottom w:val="none" w:sz="0" w:space="0" w:color="auto"/>
        <w:right w:val="none" w:sz="0" w:space="0" w:color="auto"/>
      </w:divBdr>
    </w:div>
    <w:div w:id="89469827">
      <w:bodyDiv w:val="1"/>
      <w:marLeft w:val="0"/>
      <w:marRight w:val="0"/>
      <w:marTop w:val="0"/>
      <w:marBottom w:val="0"/>
      <w:divBdr>
        <w:top w:val="none" w:sz="0" w:space="0" w:color="auto"/>
        <w:left w:val="none" w:sz="0" w:space="0" w:color="auto"/>
        <w:bottom w:val="none" w:sz="0" w:space="0" w:color="auto"/>
        <w:right w:val="none" w:sz="0" w:space="0" w:color="auto"/>
      </w:divBdr>
    </w:div>
    <w:div w:id="123620494">
      <w:bodyDiv w:val="1"/>
      <w:marLeft w:val="0"/>
      <w:marRight w:val="0"/>
      <w:marTop w:val="0"/>
      <w:marBottom w:val="0"/>
      <w:divBdr>
        <w:top w:val="none" w:sz="0" w:space="0" w:color="auto"/>
        <w:left w:val="none" w:sz="0" w:space="0" w:color="auto"/>
        <w:bottom w:val="none" w:sz="0" w:space="0" w:color="auto"/>
        <w:right w:val="none" w:sz="0" w:space="0" w:color="auto"/>
      </w:divBdr>
    </w:div>
    <w:div w:id="221600359">
      <w:bodyDiv w:val="1"/>
      <w:marLeft w:val="0"/>
      <w:marRight w:val="0"/>
      <w:marTop w:val="0"/>
      <w:marBottom w:val="0"/>
      <w:divBdr>
        <w:top w:val="none" w:sz="0" w:space="0" w:color="auto"/>
        <w:left w:val="none" w:sz="0" w:space="0" w:color="auto"/>
        <w:bottom w:val="none" w:sz="0" w:space="0" w:color="auto"/>
        <w:right w:val="none" w:sz="0" w:space="0" w:color="auto"/>
      </w:divBdr>
    </w:div>
    <w:div w:id="234169117">
      <w:bodyDiv w:val="1"/>
      <w:marLeft w:val="0"/>
      <w:marRight w:val="0"/>
      <w:marTop w:val="0"/>
      <w:marBottom w:val="0"/>
      <w:divBdr>
        <w:top w:val="none" w:sz="0" w:space="0" w:color="auto"/>
        <w:left w:val="none" w:sz="0" w:space="0" w:color="auto"/>
        <w:bottom w:val="none" w:sz="0" w:space="0" w:color="auto"/>
        <w:right w:val="none" w:sz="0" w:space="0" w:color="auto"/>
      </w:divBdr>
    </w:div>
    <w:div w:id="422071444">
      <w:bodyDiv w:val="1"/>
      <w:marLeft w:val="0"/>
      <w:marRight w:val="0"/>
      <w:marTop w:val="0"/>
      <w:marBottom w:val="0"/>
      <w:divBdr>
        <w:top w:val="none" w:sz="0" w:space="0" w:color="auto"/>
        <w:left w:val="none" w:sz="0" w:space="0" w:color="auto"/>
        <w:bottom w:val="none" w:sz="0" w:space="0" w:color="auto"/>
        <w:right w:val="none" w:sz="0" w:space="0" w:color="auto"/>
      </w:divBdr>
    </w:div>
    <w:div w:id="865102270">
      <w:bodyDiv w:val="1"/>
      <w:marLeft w:val="0"/>
      <w:marRight w:val="0"/>
      <w:marTop w:val="0"/>
      <w:marBottom w:val="0"/>
      <w:divBdr>
        <w:top w:val="none" w:sz="0" w:space="0" w:color="auto"/>
        <w:left w:val="none" w:sz="0" w:space="0" w:color="auto"/>
        <w:bottom w:val="none" w:sz="0" w:space="0" w:color="auto"/>
        <w:right w:val="none" w:sz="0" w:space="0" w:color="auto"/>
      </w:divBdr>
    </w:div>
    <w:div w:id="1125930122">
      <w:bodyDiv w:val="1"/>
      <w:marLeft w:val="0"/>
      <w:marRight w:val="0"/>
      <w:marTop w:val="0"/>
      <w:marBottom w:val="0"/>
      <w:divBdr>
        <w:top w:val="none" w:sz="0" w:space="0" w:color="auto"/>
        <w:left w:val="none" w:sz="0" w:space="0" w:color="auto"/>
        <w:bottom w:val="none" w:sz="0" w:space="0" w:color="auto"/>
        <w:right w:val="none" w:sz="0" w:space="0" w:color="auto"/>
      </w:divBdr>
    </w:div>
    <w:div w:id="1791851981">
      <w:bodyDiv w:val="1"/>
      <w:marLeft w:val="0"/>
      <w:marRight w:val="0"/>
      <w:marTop w:val="0"/>
      <w:marBottom w:val="0"/>
      <w:divBdr>
        <w:top w:val="none" w:sz="0" w:space="0" w:color="auto"/>
        <w:left w:val="none" w:sz="0" w:space="0" w:color="auto"/>
        <w:bottom w:val="none" w:sz="0" w:space="0" w:color="auto"/>
        <w:right w:val="none" w:sz="0" w:space="0" w:color="auto"/>
      </w:divBdr>
    </w:div>
    <w:div w:id="1875652244">
      <w:bodyDiv w:val="1"/>
      <w:marLeft w:val="0"/>
      <w:marRight w:val="0"/>
      <w:marTop w:val="0"/>
      <w:marBottom w:val="0"/>
      <w:divBdr>
        <w:top w:val="none" w:sz="0" w:space="0" w:color="auto"/>
        <w:left w:val="none" w:sz="0" w:space="0" w:color="auto"/>
        <w:bottom w:val="none" w:sz="0" w:space="0" w:color="auto"/>
        <w:right w:val="none" w:sz="0" w:space="0" w:color="auto"/>
      </w:divBdr>
    </w:div>
    <w:div w:id="2092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 Sandra</dc:creator>
  <cp:keywords/>
  <dc:description/>
  <cp:lastModifiedBy>Knežević Sandra</cp:lastModifiedBy>
  <cp:revision>21</cp:revision>
  <dcterms:created xsi:type="dcterms:W3CDTF">2016-05-10T08:21:00Z</dcterms:created>
  <dcterms:modified xsi:type="dcterms:W3CDTF">2017-09-07T08:47:00Z</dcterms:modified>
</cp:coreProperties>
</file>