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6546A" w:rsidRDefault="00064B64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lastRenderedPageBreak/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</w:t>
      </w:r>
      <w:r w:rsidR="00330905" w:rsidRPr="0076546A">
        <w:rPr>
          <w:rFonts w:cs="Arial"/>
          <w:sz w:val="18"/>
          <w:szCs w:val="18"/>
        </w:rPr>
        <w:t xml:space="preserve"> komunikacij</w:t>
      </w:r>
      <w:r>
        <w:rPr>
          <w:rFonts w:cs="Arial"/>
          <w:sz w:val="18"/>
          <w:szCs w:val="18"/>
        </w:rPr>
        <w:t>e</w:t>
      </w:r>
      <w:r w:rsidR="00330905" w:rsidRPr="0076546A">
        <w:rPr>
          <w:rFonts w:cs="Arial"/>
          <w:sz w:val="18"/>
        </w:rPr>
        <w:tab/>
      </w:r>
    </w:p>
    <w:p w:rsidR="00064B64" w:rsidRDefault="00064B64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:rsidR="00064B64" w:rsidRDefault="00064B64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:rsidR="00330905" w:rsidRPr="0076546A" w:rsidRDefault="00330905" w:rsidP="005D1C62">
      <w:pPr>
        <w:rPr>
          <w:rFonts w:cs="Arial"/>
          <w:b/>
        </w:rPr>
      </w:pPr>
      <w:r w:rsidRPr="0076546A">
        <w:rPr>
          <w:rFonts w:cs="Arial"/>
          <w:sz w:val="18"/>
        </w:rPr>
        <w:t>Fax: 01 6452 406</w:t>
      </w:r>
      <w:r w:rsidRPr="0076546A">
        <w:rPr>
          <w:rFonts w:cs="Arial"/>
          <w:b/>
        </w:rPr>
        <w:t xml:space="preserve">                                                                                             </w:t>
      </w:r>
    </w:p>
    <w:p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</w:p>
    <w:p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5D1C62" w:rsidRDefault="006C6074" w:rsidP="00C73590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lastRenderedPageBreak/>
        <w:t xml:space="preserve">INA </w:t>
      </w:r>
      <w:r w:rsidR="0008634A" w:rsidRPr="0076546A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uručila donaciju </w:t>
      </w:r>
      <w:r w:rsidR="00CE4FAB" w:rsidRPr="0076546A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Klinici za pedijatriju </w:t>
      </w:r>
      <w:r w:rsidR="0008634A" w:rsidRPr="0076546A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KBC</w:t>
      </w:r>
      <w:r w:rsidR="00C74E50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-a Osijek</w:t>
      </w:r>
    </w:p>
    <w:p w:rsidR="00C73590" w:rsidRPr="0076546A" w:rsidRDefault="00C73590" w:rsidP="00C73590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C73590" w:rsidRPr="0076546A" w:rsidRDefault="00C74E50" w:rsidP="00C73590">
      <w:p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Osijek</w:t>
      </w:r>
      <w:r w:rsidR="00C73590" w:rsidRPr="0076546A">
        <w:rPr>
          <w:rFonts w:ascii="Calibri" w:hAnsi="Calibri" w:cs="Calibri"/>
          <w:b/>
          <w:szCs w:val="22"/>
        </w:rPr>
        <w:t xml:space="preserve">, </w:t>
      </w:r>
      <w:r w:rsidR="00843DE8">
        <w:rPr>
          <w:rFonts w:ascii="Calibri" w:hAnsi="Calibri" w:cs="Calibri"/>
          <w:b/>
          <w:szCs w:val="22"/>
        </w:rPr>
        <w:t>6</w:t>
      </w:r>
      <w:r w:rsidR="00C73590" w:rsidRPr="0076546A">
        <w:rPr>
          <w:rFonts w:ascii="Calibri" w:hAnsi="Calibri" w:cs="Calibri"/>
          <w:b/>
          <w:szCs w:val="22"/>
        </w:rPr>
        <w:t xml:space="preserve">. </w:t>
      </w:r>
      <w:r>
        <w:rPr>
          <w:rFonts w:ascii="Calibri" w:hAnsi="Calibri" w:cs="Calibri"/>
          <w:b/>
          <w:szCs w:val="22"/>
        </w:rPr>
        <w:t>prosinca</w:t>
      </w:r>
      <w:r w:rsidR="00C73590" w:rsidRPr="0076546A">
        <w:rPr>
          <w:rFonts w:ascii="Calibri" w:hAnsi="Calibri" w:cs="Calibri"/>
          <w:b/>
          <w:szCs w:val="22"/>
        </w:rPr>
        <w:t xml:space="preserve"> 201</w:t>
      </w:r>
      <w:r w:rsidR="00843DE8">
        <w:rPr>
          <w:rFonts w:ascii="Calibri" w:hAnsi="Calibri" w:cs="Calibri"/>
          <w:b/>
          <w:szCs w:val="22"/>
        </w:rPr>
        <w:t>7</w:t>
      </w:r>
      <w:r w:rsidR="00C73590" w:rsidRPr="0076546A">
        <w:rPr>
          <w:rFonts w:ascii="Calibri" w:hAnsi="Calibri" w:cs="Calibri"/>
          <w:b/>
          <w:szCs w:val="22"/>
        </w:rPr>
        <w:t>.</w:t>
      </w:r>
      <w:r w:rsidR="001431A3" w:rsidRPr="0076546A">
        <w:rPr>
          <w:rFonts w:ascii="Calibri" w:hAnsi="Calibri" w:cs="Calibri"/>
          <w:b/>
          <w:szCs w:val="22"/>
        </w:rPr>
        <w:t xml:space="preserve"> </w:t>
      </w:r>
      <w:r w:rsidR="00C73590" w:rsidRPr="0076546A">
        <w:rPr>
          <w:rFonts w:ascii="Calibri" w:hAnsi="Calibri" w:cs="Calibri"/>
          <w:b/>
          <w:szCs w:val="22"/>
        </w:rPr>
        <w:t xml:space="preserve">– </w:t>
      </w:r>
      <w:r w:rsidR="0085767F" w:rsidRPr="0076546A">
        <w:rPr>
          <w:rFonts w:ascii="Calibri" w:hAnsi="Calibri" w:cs="Calibri"/>
          <w:b/>
          <w:szCs w:val="22"/>
        </w:rPr>
        <w:t xml:space="preserve">Inina donacija u iznosu od </w:t>
      </w:r>
      <w:r w:rsidR="00843DE8">
        <w:rPr>
          <w:rFonts w:ascii="Calibri" w:hAnsi="Calibri" w:cs="Calibri"/>
          <w:b/>
          <w:szCs w:val="22"/>
        </w:rPr>
        <w:t>8</w:t>
      </w:r>
      <w:r w:rsidR="0085767F" w:rsidRPr="0076546A">
        <w:rPr>
          <w:rFonts w:ascii="Calibri" w:hAnsi="Calibri" w:cs="Calibri"/>
          <w:b/>
          <w:szCs w:val="22"/>
        </w:rPr>
        <w:t xml:space="preserve">0 tisuća kuna </w:t>
      </w:r>
      <w:r w:rsidR="000E050A">
        <w:rPr>
          <w:rFonts w:ascii="Calibri" w:hAnsi="Calibri" w:cs="Calibri"/>
          <w:b/>
          <w:szCs w:val="22"/>
        </w:rPr>
        <w:t xml:space="preserve">koju je </w:t>
      </w:r>
      <w:r w:rsidR="000B067C" w:rsidRPr="000B067C">
        <w:rPr>
          <w:rFonts w:ascii="Calibri" w:hAnsi="Calibri" w:cs="Calibri"/>
          <w:b/>
          <w:szCs w:val="22"/>
        </w:rPr>
        <w:t xml:space="preserve">prof. dr. </w:t>
      </w:r>
      <w:proofErr w:type="spellStart"/>
      <w:r w:rsidR="000B067C" w:rsidRPr="000B067C">
        <w:rPr>
          <w:rFonts w:ascii="Calibri" w:hAnsi="Calibri" w:cs="Calibri"/>
          <w:b/>
          <w:szCs w:val="22"/>
        </w:rPr>
        <w:t>sc</w:t>
      </w:r>
      <w:proofErr w:type="spellEnd"/>
      <w:r w:rsidR="000B067C" w:rsidRPr="000B067C">
        <w:rPr>
          <w:rFonts w:ascii="Calibri" w:hAnsi="Calibri" w:cs="Calibri"/>
          <w:b/>
          <w:szCs w:val="22"/>
        </w:rPr>
        <w:t xml:space="preserve">. Jasminki Milas </w:t>
      </w:r>
      <w:proofErr w:type="spellStart"/>
      <w:r w:rsidR="000B067C" w:rsidRPr="000B067C">
        <w:rPr>
          <w:rFonts w:ascii="Calibri" w:hAnsi="Calibri" w:cs="Calibri"/>
          <w:b/>
          <w:szCs w:val="22"/>
        </w:rPr>
        <w:t>Ahić</w:t>
      </w:r>
      <w:proofErr w:type="spellEnd"/>
      <w:r w:rsidR="000B067C" w:rsidRPr="000B067C">
        <w:rPr>
          <w:rFonts w:ascii="Calibri" w:hAnsi="Calibri" w:cs="Calibri"/>
          <w:b/>
          <w:szCs w:val="22"/>
        </w:rPr>
        <w:t>, dr. med., pomoćnici ravnatelja za kvalitetu</w:t>
      </w:r>
      <w:r w:rsidR="000E050A">
        <w:rPr>
          <w:rFonts w:ascii="Calibri" w:hAnsi="Calibri" w:cs="Calibri"/>
          <w:b/>
          <w:szCs w:val="22"/>
        </w:rPr>
        <w:t xml:space="preserve">, uručio g. </w:t>
      </w:r>
      <w:r w:rsidR="00843DE8">
        <w:rPr>
          <w:rFonts w:ascii="Calibri" w:hAnsi="Calibri" w:cs="Calibri"/>
          <w:b/>
          <w:szCs w:val="22"/>
        </w:rPr>
        <w:t>Tvrtko Perković</w:t>
      </w:r>
      <w:r w:rsidR="000E050A">
        <w:rPr>
          <w:rFonts w:ascii="Calibri" w:hAnsi="Calibri" w:cs="Calibri"/>
          <w:b/>
          <w:szCs w:val="22"/>
        </w:rPr>
        <w:t xml:space="preserve">, </w:t>
      </w:r>
      <w:r w:rsidR="00843DE8">
        <w:rPr>
          <w:rFonts w:ascii="Calibri" w:hAnsi="Calibri" w:cs="Calibri"/>
          <w:b/>
          <w:szCs w:val="22"/>
        </w:rPr>
        <w:t>operativni direktor Ine, Istraživanje i proizvodnja</w:t>
      </w:r>
      <w:r w:rsidR="000E050A">
        <w:rPr>
          <w:rFonts w:ascii="Calibri" w:hAnsi="Calibri" w:cs="Calibri"/>
          <w:b/>
          <w:szCs w:val="22"/>
        </w:rPr>
        <w:t>,</w:t>
      </w:r>
      <w:r w:rsidR="000E050A" w:rsidRPr="000E050A">
        <w:rPr>
          <w:rFonts w:ascii="Calibri" w:hAnsi="Calibri" w:cs="Calibri"/>
          <w:b/>
          <w:szCs w:val="22"/>
        </w:rPr>
        <w:t xml:space="preserve"> </w:t>
      </w:r>
      <w:r w:rsidR="0085767F" w:rsidRPr="0076546A">
        <w:rPr>
          <w:rFonts w:ascii="Calibri" w:hAnsi="Calibri" w:cs="Calibri"/>
          <w:b/>
          <w:szCs w:val="22"/>
        </w:rPr>
        <w:t xml:space="preserve">omogućit će KBC-u </w:t>
      </w:r>
      <w:r>
        <w:rPr>
          <w:rFonts w:ascii="Calibri" w:hAnsi="Calibri" w:cs="Calibri"/>
          <w:b/>
          <w:szCs w:val="22"/>
        </w:rPr>
        <w:t xml:space="preserve">Osijek </w:t>
      </w:r>
      <w:r w:rsidR="00843DE8" w:rsidRPr="00FE0177">
        <w:rPr>
          <w:rFonts w:ascii="Calibri" w:hAnsi="Calibri" w:cs="Calibri"/>
          <w:b/>
          <w:szCs w:val="22"/>
        </w:rPr>
        <w:t>uređenje odjela</w:t>
      </w:r>
      <w:r w:rsidR="00843DE8" w:rsidRPr="00FE0177">
        <w:t xml:space="preserve"> </w:t>
      </w:r>
      <w:r w:rsidR="00843DE8" w:rsidRPr="00FE0177">
        <w:rPr>
          <w:rFonts w:ascii="Calibri" w:hAnsi="Calibri" w:cs="Calibri"/>
          <w:b/>
          <w:szCs w:val="22"/>
        </w:rPr>
        <w:t xml:space="preserve">Zavoda za </w:t>
      </w:r>
      <w:proofErr w:type="spellStart"/>
      <w:r w:rsidR="00843DE8" w:rsidRPr="00FE0177">
        <w:rPr>
          <w:rFonts w:ascii="Calibri" w:hAnsi="Calibri" w:cs="Calibri"/>
          <w:b/>
          <w:szCs w:val="22"/>
        </w:rPr>
        <w:t>neonatologiju</w:t>
      </w:r>
      <w:proofErr w:type="spellEnd"/>
      <w:r w:rsidR="00843DE8" w:rsidRPr="00FE0177">
        <w:rPr>
          <w:rFonts w:ascii="Calibri" w:hAnsi="Calibri" w:cs="Calibri"/>
          <w:b/>
          <w:szCs w:val="22"/>
        </w:rPr>
        <w:t xml:space="preserve"> i </w:t>
      </w:r>
      <w:proofErr w:type="spellStart"/>
      <w:r w:rsidR="00843DE8" w:rsidRPr="00FE0177">
        <w:rPr>
          <w:rFonts w:ascii="Calibri" w:hAnsi="Calibri" w:cs="Calibri"/>
          <w:b/>
          <w:szCs w:val="22"/>
        </w:rPr>
        <w:t>neonatalnu</w:t>
      </w:r>
      <w:proofErr w:type="spellEnd"/>
      <w:r w:rsidR="00843DE8" w:rsidRPr="00FE0177">
        <w:rPr>
          <w:rFonts w:ascii="Calibri" w:hAnsi="Calibri" w:cs="Calibri"/>
          <w:b/>
          <w:szCs w:val="22"/>
        </w:rPr>
        <w:t xml:space="preserve"> intenzivnu medicinu</w:t>
      </w:r>
      <w:r w:rsidR="000B067C">
        <w:rPr>
          <w:rFonts w:ascii="Calibri" w:hAnsi="Calibri" w:cs="Calibri"/>
          <w:b/>
          <w:szCs w:val="22"/>
        </w:rPr>
        <w:t xml:space="preserve"> Klinike za pedijatriju</w:t>
      </w:r>
      <w:r w:rsidR="005D1C62" w:rsidRPr="00FE0177">
        <w:rPr>
          <w:rFonts w:ascii="Calibri" w:hAnsi="Calibri" w:cs="Calibri"/>
          <w:b/>
          <w:szCs w:val="22"/>
        </w:rPr>
        <w:t>.</w:t>
      </w:r>
      <w:r w:rsidR="005D1C62">
        <w:rPr>
          <w:rFonts w:ascii="Calibri" w:hAnsi="Calibri" w:cs="Calibri"/>
          <w:b/>
          <w:szCs w:val="22"/>
        </w:rPr>
        <w:t xml:space="preserve"> </w:t>
      </w:r>
      <w:r w:rsidR="000E050A">
        <w:rPr>
          <w:rFonts w:ascii="Calibri" w:hAnsi="Calibri" w:cs="Calibri"/>
          <w:b/>
          <w:szCs w:val="22"/>
        </w:rPr>
        <w:t>M</w:t>
      </w:r>
      <w:r w:rsidR="0076546A">
        <w:rPr>
          <w:rFonts w:ascii="Calibri" w:hAnsi="Calibri" w:cs="Calibri"/>
          <w:b/>
          <w:szCs w:val="22"/>
        </w:rPr>
        <w:t xml:space="preserve">ale </w:t>
      </w:r>
      <w:r w:rsidR="0076546A" w:rsidRPr="0076546A">
        <w:rPr>
          <w:rFonts w:ascii="Calibri" w:hAnsi="Calibri" w:cs="Calibri"/>
          <w:b/>
          <w:szCs w:val="22"/>
        </w:rPr>
        <w:t xml:space="preserve">pacijente </w:t>
      </w:r>
      <w:r w:rsidR="0076546A">
        <w:rPr>
          <w:rFonts w:ascii="Calibri" w:hAnsi="Calibri" w:cs="Calibri"/>
          <w:b/>
          <w:szCs w:val="22"/>
        </w:rPr>
        <w:t>posebno</w:t>
      </w:r>
      <w:r w:rsidR="0076546A" w:rsidRPr="0076546A">
        <w:rPr>
          <w:rFonts w:ascii="Calibri" w:hAnsi="Calibri" w:cs="Calibri"/>
          <w:b/>
          <w:szCs w:val="22"/>
        </w:rPr>
        <w:t xml:space="preserve"> je razveselio </w:t>
      </w:r>
      <w:r w:rsidR="006B425C">
        <w:rPr>
          <w:rFonts w:ascii="Calibri" w:hAnsi="Calibri" w:cs="Calibri"/>
          <w:b/>
          <w:szCs w:val="22"/>
        </w:rPr>
        <w:t xml:space="preserve">posjet </w:t>
      </w:r>
      <w:r w:rsidR="00843DE8">
        <w:rPr>
          <w:rFonts w:ascii="Calibri" w:hAnsi="Calibri" w:cs="Calibri"/>
          <w:b/>
          <w:szCs w:val="22"/>
        </w:rPr>
        <w:t xml:space="preserve">igrača KHL </w:t>
      </w:r>
      <w:proofErr w:type="spellStart"/>
      <w:r w:rsidR="00843DE8">
        <w:rPr>
          <w:rFonts w:ascii="Calibri" w:hAnsi="Calibri" w:cs="Calibri"/>
          <w:b/>
          <w:szCs w:val="22"/>
        </w:rPr>
        <w:t>Medveščak</w:t>
      </w:r>
      <w:proofErr w:type="spellEnd"/>
      <w:r w:rsidR="00843DE8">
        <w:rPr>
          <w:rFonts w:ascii="Calibri" w:hAnsi="Calibri" w:cs="Calibri"/>
          <w:b/>
          <w:szCs w:val="22"/>
        </w:rPr>
        <w:t xml:space="preserve"> Zagreb i Crvenih nosova, klaunova doktora,</w:t>
      </w:r>
      <w:r w:rsidR="0085767F" w:rsidRPr="0076546A">
        <w:rPr>
          <w:rFonts w:ascii="Calibri" w:hAnsi="Calibri" w:cs="Calibri"/>
          <w:b/>
          <w:szCs w:val="22"/>
        </w:rPr>
        <w:t xml:space="preserve"> koji su </w:t>
      </w:r>
      <w:r w:rsidR="00A90D84">
        <w:rPr>
          <w:rFonts w:ascii="Calibri" w:hAnsi="Calibri" w:cs="Calibri"/>
          <w:b/>
          <w:szCs w:val="22"/>
        </w:rPr>
        <w:t>im</w:t>
      </w:r>
      <w:r w:rsidR="00E9046B">
        <w:rPr>
          <w:rFonts w:ascii="Calibri" w:hAnsi="Calibri" w:cs="Calibri"/>
          <w:b/>
          <w:szCs w:val="22"/>
        </w:rPr>
        <w:t xml:space="preserve"> </w:t>
      </w:r>
      <w:r w:rsidR="0085767F" w:rsidRPr="0076546A">
        <w:rPr>
          <w:rFonts w:ascii="Calibri" w:hAnsi="Calibri" w:cs="Calibri"/>
          <w:b/>
          <w:szCs w:val="22"/>
        </w:rPr>
        <w:t>tom prilikom podije</w:t>
      </w:r>
      <w:r w:rsidR="0076546A">
        <w:rPr>
          <w:rFonts w:ascii="Calibri" w:hAnsi="Calibri" w:cs="Calibri"/>
          <w:b/>
          <w:szCs w:val="22"/>
        </w:rPr>
        <w:t>lili</w:t>
      </w:r>
      <w:r w:rsidR="0085767F" w:rsidRPr="0076546A">
        <w:rPr>
          <w:rFonts w:ascii="Calibri" w:hAnsi="Calibri" w:cs="Calibri"/>
          <w:b/>
          <w:szCs w:val="22"/>
        </w:rPr>
        <w:t xml:space="preserve"> prigodn</w:t>
      </w:r>
      <w:r w:rsidR="0076546A">
        <w:rPr>
          <w:rFonts w:ascii="Calibri" w:hAnsi="Calibri" w:cs="Calibri"/>
          <w:b/>
          <w:szCs w:val="22"/>
        </w:rPr>
        <w:t>e</w:t>
      </w:r>
      <w:r w:rsidR="0085767F" w:rsidRPr="0076546A">
        <w:rPr>
          <w:rFonts w:ascii="Calibri" w:hAnsi="Calibri" w:cs="Calibri"/>
          <w:b/>
          <w:szCs w:val="22"/>
        </w:rPr>
        <w:t xml:space="preserve"> </w:t>
      </w:r>
      <w:r w:rsidR="0076546A">
        <w:rPr>
          <w:rFonts w:ascii="Calibri" w:hAnsi="Calibri" w:cs="Calibri"/>
          <w:b/>
          <w:szCs w:val="22"/>
        </w:rPr>
        <w:t>poklone.</w:t>
      </w:r>
      <w:r w:rsidR="0085767F" w:rsidRPr="0076546A"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>Ov</w:t>
      </w:r>
      <w:r w:rsidR="00843DE8">
        <w:rPr>
          <w:rFonts w:ascii="Calibri" w:hAnsi="Calibri" w:cs="Calibri"/>
          <w:b/>
          <w:szCs w:val="22"/>
        </w:rPr>
        <w:t>a</w:t>
      </w:r>
      <w:r>
        <w:rPr>
          <w:rFonts w:ascii="Calibri" w:hAnsi="Calibri" w:cs="Calibri"/>
          <w:b/>
          <w:szCs w:val="22"/>
        </w:rPr>
        <w:t xml:space="preserve"> donacij</w:t>
      </w:r>
      <w:r w:rsidR="00843DE8">
        <w:rPr>
          <w:rFonts w:ascii="Calibri" w:hAnsi="Calibri" w:cs="Calibri"/>
          <w:b/>
          <w:szCs w:val="22"/>
        </w:rPr>
        <w:t>a</w:t>
      </w:r>
      <w:r>
        <w:rPr>
          <w:rFonts w:ascii="Calibri" w:hAnsi="Calibri" w:cs="Calibri"/>
          <w:b/>
          <w:szCs w:val="22"/>
        </w:rPr>
        <w:t xml:space="preserve"> </w:t>
      </w:r>
      <w:r w:rsidR="00843DE8">
        <w:rPr>
          <w:rFonts w:ascii="Calibri" w:hAnsi="Calibri" w:cs="Calibri"/>
          <w:b/>
          <w:szCs w:val="22"/>
        </w:rPr>
        <w:t>peta je u</w:t>
      </w:r>
      <w:r>
        <w:rPr>
          <w:rFonts w:ascii="Calibri" w:hAnsi="Calibri" w:cs="Calibri"/>
          <w:b/>
          <w:szCs w:val="22"/>
        </w:rPr>
        <w:t xml:space="preserve"> niz</w:t>
      </w:r>
      <w:r w:rsidR="00843DE8">
        <w:rPr>
          <w:rFonts w:ascii="Calibri" w:hAnsi="Calibri" w:cs="Calibri"/>
          <w:b/>
          <w:szCs w:val="22"/>
        </w:rPr>
        <w:t>u</w:t>
      </w:r>
      <w:r>
        <w:rPr>
          <w:rFonts w:ascii="Calibri" w:hAnsi="Calibri" w:cs="Calibri"/>
          <w:b/>
          <w:szCs w:val="22"/>
        </w:rPr>
        <w:t xml:space="preserve"> od </w:t>
      </w:r>
      <w:r w:rsidR="00843DE8">
        <w:rPr>
          <w:rFonts w:ascii="Calibri" w:hAnsi="Calibri" w:cs="Calibri"/>
          <w:b/>
          <w:szCs w:val="22"/>
        </w:rPr>
        <w:t>sedam</w:t>
      </w:r>
      <w:r>
        <w:rPr>
          <w:rFonts w:ascii="Calibri" w:hAnsi="Calibri" w:cs="Calibri"/>
          <w:b/>
          <w:szCs w:val="22"/>
        </w:rPr>
        <w:t xml:space="preserve"> donacija za </w:t>
      </w:r>
      <w:r w:rsidR="00843DE8">
        <w:rPr>
          <w:rFonts w:ascii="Calibri" w:hAnsi="Calibri" w:cs="Calibri"/>
          <w:b/>
          <w:szCs w:val="22"/>
        </w:rPr>
        <w:t>bolnice</w:t>
      </w:r>
      <w:r w:rsidR="00CE4FAB" w:rsidRPr="0076546A">
        <w:rPr>
          <w:rFonts w:ascii="Calibri" w:hAnsi="Calibri" w:cs="Calibri"/>
          <w:b/>
          <w:szCs w:val="22"/>
        </w:rPr>
        <w:t xml:space="preserve"> diljem Hrvatske koje </w:t>
      </w:r>
      <w:r>
        <w:rPr>
          <w:rFonts w:ascii="Calibri" w:hAnsi="Calibri" w:cs="Calibri"/>
          <w:b/>
          <w:szCs w:val="22"/>
        </w:rPr>
        <w:t>j</w:t>
      </w:r>
      <w:r w:rsidR="00CE4FAB" w:rsidRPr="0076546A">
        <w:rPr>
          <w:rFonts w:ascii="Calibri" w:hAnsi="Calibri" w:cs="Calibri"/>
          <w:b/>
          <w:szCs w:val="22"/>
        </w:rPr>
        <w:t xml:space="preserve">e </w:t>
      </w:r>
      <w:r w:rsidR="00843DE8">
        <w:rPr>
          <w:rFonts w:ascii="Calibri" w:hAnsi="Calibri" w:cs="Calibri"/>
          <w:b/>
          <w:szCs w:val="22"/>
        </w:rPr>
        <w:t>INA pripremila</w:t>
      </w:r>
      <w:r w:rsidR="00CE4FAB" w:rsidRPr="0076546A">
        <w:rPr>
          <w:rFonts w:ascii="Calibri" w:hAnsi="Calibri" w:cs="Calibri"/>
          <w:b/>
          <w:szCs w:val="22"/>
        </w:rPr>
        <w:t xml:space="preserve">. </w:t>
      </w:r>
    </w:p>
    <w:p w:rsidR="00C73590" w:rsidRPr="0076546A" w:rsidRDefault="00C73590" w:rsidP="00C73590">
      <w:pPr>
        <w:jc w:val="both"/>
        <w:rPr>
          <w:rFonts w:ascii="Calibri" w:hAnsi="Calibri" w:cs="Calibri"/>
          <w:b/>
          <w:szCs w:val="22"/>
        </w:rPr>
      </w:pPr>
    </w:p>
    <w:p w:rsidR="007138F1" w:rsidRPr="0076546A" w:rsidRDefault="00E22748" w:rsidP="00FE0177">
      <w:pPr>
        <w:ind w:right="140"/>
        <w:jc w:val="both"/>
        <w:rPr>
          <w:rFonts w:ascii="Calibri" w:hAnsi="Calibri"/>
          <w:szCs w:val="22"/>
        </w:rPr>
      </w:pPr>
      <w:r w:rsidRPr="00E22748">
        <w:rPr>
          <w:rFonts w:ascii="Calibri" w:hAnsi="Calibri"/>
          <w:szCs w:val="22"/>
        </w:rPr>
        <w:t xml:space="preserve">G. </w:t>
      </w:r>
      <w:r w:rsidR="00843DE8">
        <w:rPr>
          <w:rFonts w:ascii="Calibri" w:hAnsi="Calibri"/>
          <w:szCs w:val="22"/>
        </w:rPr>
        <w:t>Perković</w:t>
      </w:r>
      <w:r w:rsidRPr="00E22748">
        <w:rPr>
          <w:rFonts w:ascii="Calibri" w:hAnsi="Calibri"/>
          <w:szCs w:val="22"/>
        </w:rPr>
        <w:t xml:space="preserve"> tom je prilikom izjavio: </w:t>
      </w:r>
      <w:r w:rsidRPr="00FE0177">
        <w:rPr>
          <w:rFonts w:ascii="Calibri" w:hAnsi="Calibri"/>
          <w:szCs w:val="22"/>
        </w:rPr>
        <w:t>„</w:t>
      </w:r>
      <w:r w:rsidR="00FE0177">
        <w:rPr>
          <w:rFonts w:ascii="Calibri" w:hAnsi="Calibri"/>
          <w:szCs w:val="22"/>
        </w:rPr>
        <w:t xml:space="preserve">Na </w:t>
      </w:r>
      <w:r w:rsidR="005A7138">
        <w:rPr>
          <w:rFonts w:ascii="Calibri" w:hAnsi="Calibri"/>
          <w:szCs w:val="22"/>
        </w:rPr>
        <w:t xml:space="preserve">ovom </w:t>
      </w:r>
      <w:r w:rsidR="00FE0177" w:rsidRPr="00FE0177">
        <w:rPr>
          <w:rFonts w:ascii="Calibri" w:hAnsi="Calibri"/>
          <w:szCs w:val="22"/>
        </w:rPr>
        <w:t>Zavodu</w:t>
      </w:r>
      <w:r w:rsidR="00FE0177">
        <w:rPr>
          <w:rFonts w:ascii="Calibri" w:hAnsi="Calibri"/>
          <w:szCs w:val="22"/>
        </w:rPr>
        <w:t xml:space="preserve">, koji će KBC Osijek urediti zahvaljujući </w:t>
      </w:r>
      <w:r w:rsidR="005A7138">
        <w:rPr>
          <w:rFonts w:ascii="Calibri" w:hAnsi="Calibri"/>
          <w:szCs w:val="22"/>
        </w:rPr>
        <w:t>našoj</w:t>
      </w:r>
      <w:bookmarkStart w:id="0" w:name="_GoBack"/>
      <w:bookmarkEnd w:id="0"/>
      <w:r w:rsidR="00FE0177">
        <w:rPr>
          <w:rFonts w:ascii="Calibri" w:hAnsi="Calibri"/>
          <w:szCs w:val="22"/>
        </w:rPr>
        <w:t xml:space="preserve"> donaciji,</w:t>
      </w:r>
      <w:r w:rsidR="00FE0177" w:rsidRPr="00FE0177">
        <w:rPr>
          <w:rFonts w:ascii="Calibri" w:hAnsi="Calibri"/>
          <w:szCs w:val="22"/>
        </w:rPr>
        <w:t xml:space="preserve"> liječe se najmlađi pacijenti na koje smo uvijek posebno osjetljivi</w:t>
      </w:r>
      <w:r w:rsidR="00FE0177">
        <w:rPr>
          <w:rFonts w:ascii="Calibri" w:hAnsi="Calibri"/>
          <w:szCs w:val="22"/>
        </w:rPr>
        <w:t xml:space="preserve">. Stoga </w:t>
      </w:r>
      <w:r w:rsidR="00FE0177" w:rsidRPr="00FE0177">
        <w:rPr>
          <w:rFonts w:ascii="Calibri" w:hAnsi="Calibri"/>
          <w:szCs w:val="22"/>
        </w:rPr>
        <w:t>nam je zadovoljstvo što smo još jednom mogli doprinijeti njihovom boljem i kvalitetnijem liječenju, kao i boljim uvjetima rada bolničkog osoblja. Pomaganje zajednici u kojoj djelujemo u samoj je srži Ininog poslovanja, a ova donacija peta je u nizu donacija bolnicama koje smo pripremili  kako bismo pomogli onima kojima je to najpotrebnije.</w:t>
      </w:r>
      <w:r w:rsidRPr="00FE0177">
        <w:rPr>
          <w:rFonts w:ascii="Calibri" w:hAnsi="Calibri"/>
          <w:szCs w:val="22"/>
        </w:rPr>
        <w:t>“</w:t>
      </w:r>
    </w:p>
    <w:p w:rsidR="00AE0FB2" w:rsidRPr="0076546A" w:rsidRDefault="00AE0FB2" w:rsidP="003E330B">
      <w:pPr>
        <w:ind w:right="140"/>
        <w:jc w:val="both"/>
        <w:rPr>
          <w:rFonts w:ascii="Calibri" w:hAnsi="Calibri"/>
          <w:szCs w:val="22"/>
        </w:rPr>
      </w:pPr>
    </w:p>
    <w:p w:rsidR="005D1C62" w:rsidRDefault="00A90D84" w:rsidP="000B067C">
      <w:pPr>
        <w:ind w:right="140"/>
        <w:jc w:val="both"/>
        <w:rPr>
          <w:rFonts w:ascii="Calibri" w:hAnsi="Calibri"/>
          <w:szCs w:val="22"/>
        </w:rPr>
      </w:pPr>
      <w:r w:rsidRPr="000B067C">
        <w:rPr>
          <w:rFonts w:ascii="Calibri" w:hAnsi="Calibri"/>
          <w:szCs w:val="22"/>
        </w:rPr>
        <w:t>„</w:t>
      </w:r>
      <w:r w:rsidR="000B067C">
        <w:rPr>
          <w:rFonts w:ascii="Calibri" w:hAnsi="Calibri"/>
          <w:szCs w:val="22"/>
        </w:rPr>
        <w:t>Ov</w:t>
      </w:r>
      <w:r w:rsidR="000B067C" w:rsidRPr="000B067C">
        <w:rPr>
          <w:rFonts w:ascii="Calibri" w:hAnsi="Calibri"/>
          <w:szCs w:val="22"/>
        </w:rPr>
        <w:t xml:space="preserve">a donacija omogućit će KBC-u Osijek renoviranje radne jedinice Zavoda za </w:t>
      </w:r>
      <w:proofErr w:type="spellStart"/>
      <w:r w:rsidR="000B067C" w:rsidRPr="000B067C">
        <w:rPr>
          <w:rFonts w:ascii="Calibri" w:hAnsi="Calibri"/>
          <w:szCs w:val="22"/>
        </w:rPr>
        <w:t>neonatologiju</w:t>
      </w:r>
      <w:proofErr w:type="spellEnd"/>
      <w:r w:rsidR="000B067C" w:rsidRPr="000B067C">
        <w:rPr>
          <w:rFonts w:ascii="Calibri" w:hAnsi="Calibri"/>
          <w:szCs w:val="22"/>
        </w:rPr>
        <w:t xml:space="preserve"> i </w:t>
      </w:r>
      <w:proofErr w:type="spellStart"/>
      <w:r w:rsidR="000B067C" w:rsidRPr="000B067C">
        <w:rPr>
          <w:rFonts w:ascii="Calibri" w:hAnsi="Calibri"/>
          <w:szCs w:val="22"/>
        </w:rPr>
        <w:t>neonatalnu</w:t>
      </w:r>
      <w:proofErr w:type="spellEnd"/>
      <w:r w:rsidR="000B067C" w:rsidRPr="000B067C">
        <w:rPr>
          <w:rFonts w:ascii="Calibri" w:hAnsi="Calibri"/>
          <w:szCs w:val="22"/>
        </w:rPr>
        <w:t xml:space="preserve"> intenzivnu medicinu, što konkretno uključuje </w:t>
      </w:r>
      <w:proofErr w:type="spellStart"/>
      <w:r w:rsidR="000B067C" w:rsidRPr="000B067C">
        <w:rPr>
          <w:rFonts w:ascii="Calibri" w:hAnsi="Calibri"/>
          <w:szCs w:val="22"/>
        </w:rPr>
        <w:t>podopolagačke</w:t>
      </w:r>
      <w:proofErr w:type="spellEnd"/>
      <w:r w:rsidR="000B067C" w:rsidRPr="000B067C">
        <w:rPr>
          <w:rFonts w:ascii="Calibri" w:hAnsi="Calibri"/>
          <w:szCs w:val="22"/>
        </w:rPr>
        <w:t xml:space="preserve"> radove te izradu i montažu namještaja.</w:t>
      </w:r>
      <w:r w:rsidR="000B067C">
        <w:rPr>
          <w:rFonts w:ascii="Calibri" w:hAnsi="Calibri"/>
          <w:szCs w:val="22"/>
        </w:rPr>
        <w:t xml:space="preserve"> </w:t>
      </w:r>
      <w:r w:rsidR="000B067C" w:rsidRPr="000B067C">
        <w:rPr>
          <w:rFonts w:ascii="Calibri" w:hAnsi="Calibri"/>
          <w:szCs w:val="22"/>
        </w:rPr>
        <w:t>Na ovaj način zamijenit će se stari i dotrajali inventar te će napokon biti zadovoljeni propisani hig</w:t>
      </w:r>
      <w:r w:rsidR="000B067C">
        <w:rPr>
          <w:rFonts w:ascii="Calibri" w:hAnsi="Calibri"/>
          <w:szCs w:val="22"/>
        </w:rPr>
        <w:t xml:space="preserve">ijensko-epidemiološki standardi, čime ćemo osigurati adekvatan prostor i </w:t>
      </w:r>
      <w:r w:rsidR="000B067C" w:rsidRPr="000B067C">
        <w:rPr>
          <w:rFonts w:ascii="Calibri" w:hAnsi="Calibri"/>
          <w:szCs w:val="22"/>
        </w:rPr>
        <w:t>podići kvalitetu skrbi o najmlađim pacijentima.</w:t>
      </w:r>
      <w:r w:rsidR="000B067C">
        <w:rPr>
          <w:rFonts w:ascii="Calibri" w:hAnsi="Calibri"/>
          <w:szCs w:val="22"/>
        </w:rPr>
        <w:t xml:space="preserve"> S</w:t>
      </w:r>
      <w:r w:rsidR="000B067C" w:rsidRPr="000B067C">
        <w:rPr>
          <w:rFonts w:ascii="Calibri" w:hAnsi="Calibri"/>
          <w:szCs w:val="22"/>
        </w:rPr>
        <w:t>vaka donacija je i više nego dobrodošla, a briga o najslabijim pacijentima jedan je od prioriteta</w:t>
      </w:r>
      <w:r w:rsidR="000B067C">
        <w:rPr>
          <w:rFonts w:ascii="Calibri" w:hAnsi="Calibri"/>
          <w:szCs w:val="22"/>
        </w:rPr>
        <w:t>, stoga o</w:t>
      </w:r>
      <w:r w:rsidR="000B067C" w:rsidRPr="000B067C">
        <w:rPr>
          <w:rFonts w:ascii="Calibri" w:hAnsi="Calibri"/>
          <w:szCs w:val="22"/>
        </w:rPr>
        <w:t xml:space="preserve">d srca </w:t>
      </w:r>
      <w:r w:rsidR="000B067C">
        <w:rPr>
          <w:rFonts w:ascii="Calibri" w:hAnsi="Calibri"/>
          <w:szCs w:val="22"/>
        </w:rPr>
        <w:t>hvala Ini</w:t>
      </w:r>
      <w:r w:rsidR="000B067C" w:rsidRPr="000B067C">
        <w:rPr>
          <w:rFonts w:ascii="Calibri" w:hAnsi="Calibri"/>
          <w:szCs w:val="22"/>
        </w:rPr>
        <w:t xml:space="preserve"> na još jednoj humanoj gesti.</w:t>
      </w:r>
      <w:r w:rsidRPr="000B067C">
        <w:rPr>
          <w:rFonts w:ascii="Calibri" w:hAnsi="Calibri"/>
          <w:szCs w:val="22"/>
        </w:rPr>
        <w:t>“, izjav</w:t>
      </w:r>
      <w:r w:rsidR="006B425C" w:rsidRPr="000B067C">
        <w:rPr>
          <w:rFonts w:ascii="Calibri" w:hAnsi="Calibri"/>
          <w:szCs w:val="22"/>
        </w:rPr>
        <w:t>i</w:t>
      </w:r>
      <w:r w:rsidRPr="000B067C">
        <w:rPr>
          <w:rFonts w:ascii="Calibri" w:hAnsi="Calibri"/>
          <w:szCs w:val="22"/>
        </w:rPr>
        <w:t>o</w:t>
      </w:r>
      <w:r w:rsidRPr="00A90D84">
        <w:rPr>
          <w:rFonts w:ascii="Calibri" w:hAnsi="Calibri"/>
          <w:szCs w:val="22"/>
        </w:rPr>
        <w:t xml:space="preserve"> je </w:t>
      </w:r>
      <w:r w:rsidR="006B425C">
        <w:rPr>
          <w:rFonts w:ascii="Calibri" w:hAnsi="Calibri"/>
          <w:szCs w:val="22"/>
        </w:rPr>
        <w:t>g</w:t>
      </w:r>
      <w:r w:rsidR="006B425C" w:rsidRPr="006B425C">
        <w:rPr>
          <w:rFonts w:ascii="Calibri" w:hAnsi="Calibri"/>
          <w:szCs w:val="22"/>
        </w:rPr>
        <w:t xml:space="preserve"> Zubčić, </w:t>
      </w:r>
      <w:r w:rsidR="00C74E50">
        <w:rPr>
          <w:rFonts w:ascii="Calibri" w:hAnsi="Calibri"/>
          <w:szCs w:val="22"/>
        </w:rPr>
        <w:t>r</w:t>
      </w:r>
      <w:r w:rsidRPr="00A90D84">
        <w:rPr>
          <w:rFonts w:ascii="Calibri" w:hAnsi="Calibri"/>
          <w:szCs w:val="22"/>
        </w:rPr>
        <w:t xml:space="preserve">avnatelj KBC-a </w:t>
      </w:r>
      <w:r w:rsidR="00C74E50">
        <w:rPr>
          <w:rFonts w:ascii="Calibri" w:hAnsi="Calibri"/>
          <w:szCs w:val="22"/>
        </w:rPr>
        <w:t>Osijek</w:t>
      </w:r>
      <w:r w:rsidRPr="00A90D84">
        <w:rPr>
          <w:rFonts w:ascii="Calibri" w:hAnsi="Calibri"/>
          <w:szCs w:val="22"/>
        </w:rPr>
        <w:t>.</w:t>
      </w:r>
    </w:p>
    <w:p w:rsidR="00330905" w:rsidRPr="0076546A" w:rsidRDefault="00330905" w:rsidP="00330905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</w:t>
      </w:r>
      <w:r w:rsidR="009224AB" w:rsidRPr="0076546A">
        <w:rPr>
          <w:rFonts w:asciiTheme="minorHAnsi" w:eastAsia="Calibri" w:hAnsiTheme="minorHAnsi" w:cs="Arial"/>
          <w:sz w:val="20"/>
          <w:szCs w:val="20"/>
        </w:rPr>
        <w:t>9</w:t>
      </w:r>
      <w:r w:rsidR="00FE0177">
        <w:rPr>
          <w:rFonts w:asciiTheme="minorHAnsi" w:eastAsia="Calibri" w:hAnsiTheme="minorHAnsi" w:cs="Arial"/>
          <w:sz w:val="20"/>
          <w:szCs w:val="20"/>
        </w:rPr>
        <w:t>4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FE0177">
        <w:rPr>
          <w:rFonts w:asciiTheme="minorHAnsi" w:eastAsia="Calibri" w:hAnsiTheme="minorHAnsi" w:cs="Arial"/>
          <w:sz w:val="20"/>
          <w:szCs w:val="20"/>
        </w:rPr>
        <w:t>e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FE0177">
        <w:rPr>
          <w:rFonts w:asciiTheme="minorHAnsi" w:eastAsia="Calibri" w:hAnsiTheme="minorHAnsi" w:cs="Arial"/>
          <w:sz w:val="20"/>
          <w:szCs w:val="20"/>
        </w:rPr>
        <w:t>e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8055F8" w:rsidRDefault="00330905" w:rsidP="003E330B">
      <w:pPr>
        <w:jc w:val="both"/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E6D" w:rsidRDefault="00807E6D">
      <w:r>
        <w:separator/>
      </w:r>
    </w:p>
  </w:endnote>
  <w:endnote w:type="continuationSeparator" w:id="0">
    <w:p w:rsidR="00807E6D" w:rsidRDefault="0080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807E6D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3F984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807E6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807E6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807E6D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807E6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807E6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807E6D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807E6D">
    <w:pPr>
      <w:rPr>
        <w:sz w:val="2"/>
        <w:szCs w:val="2"/>
      </w:rPr>
    </w:pPr>
  </w:p>
  <w:p w:rsidR="005922EC" w:rsidRPr="00B976E5" w:rsidRDefault="00807E6D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07E6D" w:rsidP="005E2581">
    <w:pPr>
      <w:pStyle w:val="Footer"/>
      <w:ind w:right="360"/>
      <w:rPr>
        <w:sz w:val="2"/>
      </w:rPr>
    </w:pPr>
  </w:p>
  <w:p w:rsidR="005922EC" w:rsidRDefault="00807E6D">
    <w:pPr>
      <w:pStyle w:val="Footer"/>
      <w:rPr>
        <w:sz w:val="2"/>
      </w:rPr>
    </w:pPr>
  </w:p>
  <w:p w:rsidR="005922EC" w:rsidRDefault="00807E6D" w:rsidP="001F421D">
    <w:pPr>
      <w:pStyle w:val="Footer"/>
      <w:ind w:right="360"/>
      <w:rPr>
        <w:sz w:val="2"/>
      </w:rPr>
    </w:pPr>
  </w:p>
  <w:p w:rsidR="005922EC" w:rsidRDefault="00807E6D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807E6D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807E6D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807E6D">
            <w:fldChar w:fldCharType="begin"/>
          </w:r>
          <w:r w:rsidR="00807E6D">
            <w:instrText xml:space="preserve"> NUMPAGES   \* MERGEFORMAT </w:instrText>
          </w:r>
          <w:r w:rsidR="00807E6D"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="00807E6D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807E6D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807E6D">
            <w:fldChar w:fldCharType="begin"/>
          </w:r>
          <w:r w:rsidR="00807E6D">
            <w:instrText xml:space="preserve"> NUMPAGES   \* MERGEFORMAT </w:instrText>
          </w:r>
          <w:r w:rsidR="00807E6D"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="00807E6D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:rsidR="005922EC" w:rsidRDefault="00807E6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807E6D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807E6D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807E6D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807E6D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807E6D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807E6D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807E6D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807E6D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807E6D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3E330B" w:rsidP="009224A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9224AB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9224AB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807E6D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807E6D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807E6D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807E6D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807E6D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A7138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807E6D">
            <w:fldChar w:fldCharType="begin"/>
          </w:r>
          <w:r w:rsidR="00807E6D">
            <w:instrText xml:space="preserve"> NUMPAGES   \* MERGEFORMAT </w:instrText>
          </w:r>
          <w:r w:rsidR="00807E6D">
            <w:fldChar w:fldCharType="separate"/>
          </w:r>
          <w:r w:rsidR="005A7138" w:rsidRPr="005A7138">
            <w:rPr>
              <w:rFonts w:cs="Arial"/>
              <w:noProof/>
              <w:vanish/>
              <w:sz w:val="11"/>
              <w:szCs w:val="11"/>
            </w:rPr>
            <w:t>1</w:t>
          </w:r>
          <w:r w:rsidR="00807E6D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807E6D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A7138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807E6D">
            <w:fldChar w:fldCharType="begin"/>
          </w:r>
          <w:r w:rsidR="00807E6D">
            <w:instrText xml:space="preserve"> NUMPAGES   \* MERGEFORMAT </w:instrText>
          </w:r>
          <w:r w:rsidR="00807E6D">
            <w:fldChar w:fldCharType="separate"/>
          </w:r>
          <w:r w:rsidR="005A7138" w:rsidRPr="005A7138">
            <w:rPr>
              <w:rFonts w:cs="Arial"/>
              <w:noProof/>
              <w:vanish/>
              <w:sz w:val="11"/>
              <w:szCs w:val="11"/>
            </w:rPr>
            <w:t>1</w:t>
          </w:r>
          <w:r w:rsidR="00807E6D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807E6D" w:rsidP="00F44E41">
    <w:pPr>
      <w:rPr>
        <w:sz w:val="2"/>
        <w:szCs w:val="2"/>
      </w:rPr>
    </w:pPr>
  </w:p>
  <w:p w:rsidR="005922EC" w:rsidRPr="00374688" w:rsidRDefault="00807E6D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07E6D">
    <w:pPr>
      <w:pStyle w:val="Footer"/>
      <w:rPr>
        <w:sz w:val="2"/>
      </w:rPr>
    </w:pPr>
  </w:p>
  <w:p w:rsidR="005922EC" w:rsidRDefault="00807E6D">
    <w:pPr>
      <w:pStyle w:val="Footer"/>
      <w:rPr>
        <w:sz w:val="2"/>
      </w:rPr>
    </w:pPr>
  </w:p>
  <w:p w:rsidR="005922EC" w:rsidRPr="000164F0" w:rsidRDefault="00807E6D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807E6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807E6D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807E6D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807E6D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807E6D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807E6D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807E6D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807E6D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807E6D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807E6D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807E6D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807E6D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807E6D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807E6D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07E6D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516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646DC3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807E6D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807E6D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E65F6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807E6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807E6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807E6D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807E6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807E6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807E6D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807E6D">
    <w:pPr>
      <w:rPr>
        <w:sz w:val="2"/>
        <w:szCs w:val="2"/>
      </w:rPr>
    </w:pPr>
  </w:p>
  <w:p w:rsidR="005922EC" w:rsidRPr="00B976E5" w:rsidRDefault="00807E6D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07E6D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07E6D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12FA8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807E6D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B067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B067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807E6D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E6D" w:rsidRDefault="00807E6D">
      <w:r>
        <w:separator/>
      </w:r>
    </w:p>
  </w:footnote>
  <w:footnote w:type="continuationSeparator" w:id="0">
    <w:p w:rsidR="00807E6D" w:rsidRDefault="00807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D1C62">
    <w:pPr>
      <w:pStyle w:val="Header"/>
      <w:jc w:val="right"/>
      <w:rPr>
        <w:sz w:val="2"/>
      </w:rPr>
    </w:pPr>
    <w:r>
      <w:rPr>
        <w:noProof/>
        <w:color w:val="000000"/>
        <w:lang w:eastAsia="hr-HR"/>
      </w:rPr>
      <w:drawing>
        <wp:anchor distT="0" distB="0" distL="114300" distR="114300" simplePos="0" relativeHeight="251662336" behindDoc="1" locked="0" layoutInCell="1" allowOverlap="1" wp14:anchorId="4BB3ACC9" wp14:editId="46F88378">
          <wp:simplePos x="0" y="0"/>
          <wp:positionH relativeFrom="margin">
            <wp:align>right</wp:align>
          </wp:positionH>
          <wp:positionV relativeFrom="paragraph">
            <wp:posOffset>-6985</wp:posOffset>
          </wp:positionV>
          <wp:extent cx="3733800" cy="542925"/>
          <wp:effectExtent l="0" t="0" r="0" b="9525"/>
          <wp:wrapTight wrapText="bothSides">
            <wp:wrapPolygon edited="0">
              <wp:start x="0" y="0"/>
              <wp:lineTo x="0" y="21221"/>
              <wp:lineTo x="21490" y="21221"/>
              <wp:lineTo x="21490" y="0"/>
              <wp:lineTo x="0" y="0"/>
            </wp:wrapPolygon>
          </wp:wrapTight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330B"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1CA648C8" wp14:editId="3242E76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807E6D">
    <w:pPr>
      <w:pStyle w:val="Header"/>
      <w:jc w:val="right"/>
      <w:rPr>
        <w:sz w:val="2"/>
      </w:rPr>
    </w:pPr>
  </w:p>
  <w:p w:rsidR="005922EC" w:rsidRDefault="00807E6D">
    <w:pPr>
      <w:pStyle w:val="Header"/>
      <w:jc w:val="right"/>
      <w:rPr>
        <w:sz w:val="2"/>
      </w:rPr>
    </w:pPr>
  </w:p>
  <w:p w:rsidR="005922EC" w:rsidRDefault="00807E6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2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807E6D">
    <w:pPr>
      <w:pStyle w:val="Header"/>
      <w:jc w:val="right"/>
      <w:rPr>
        <w:sz w:val="2"/>
      </w:rPr>
    </w:pPr>
  </w:p>
  <w:p w:rsidR="005922EC" w:rsidRDefault="00807E6D">
    <w:pPr>
      <w:pStyle w:val="Header"/>
      <w:jc w:val="right"/>
      <w:rPr>
        <w:sz w:val="2"/>
      </w:rPr>
    </w:pPr>
  </w:p>
  <w:p w:rsidR="005922EC" w:rsidRPr="0056798D" w:rsidRDefault="00807E6D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07E6D">
    <w:pPr>
      <w:pStyle w:val="Header"/>
      <w:jc w:val="right"/>
      <w:rPr>
        <w:sz w:val="2"/>
      </w:rPr>
    </w:pPr>
  </w:p>
  <w:p w:rsidR="005922EC" w:rsidRDefault="00807E6D">
    <w:pPr>
      <w:pStyle w:val="Header"/>
      <w:jc w:val="right"/>
      <w:rPr>
        <w:sz w:val="2"/>
      </w:rPr>
    </w:pPr>
  </w:p>
  <w:p w:rsidR="005922EC" w:rsidRDefault="00807E6D">
    <w:pPr>
      <w:pStyle w:val="Header"/>
      <w:jc w:val="right"/>
      <w:rPr>
        <w:sz w:val="2"/>
      </w:rPr>
    </w:pPr>
  </w:p>
  <w:p w:rsidR="005922EC" w:rsidRDefault="00807E6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07E6D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07E6D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07E6D">
    <w:pPr>
      <w:pStyle w:val="Header"/>
      <w:jc w:val="right"/>
      <w:rPr>
        <w:sz w:val="2"/>
      </w:rPr>
    </w:pPr>
  </w:p>
  <w:p w:rsidR="005922EC" w:rsidRDefault="00807E6D">
    <w:pPr>
      <w:pStyle w:val="Header"/>
      <w:jc w:val="right"/>
      <w:rPr>
        <w:sz w:val="2"/>
      </w:rPr>
    </w:pPr>
  </w:p>
  <w:p w:rsidR="005922EC" w:rsidRDefault="00807E6D">
    <w:pPr>
      <w:pStyle w:val="Header"/>
      <w:jc w:val="right"/>
      <w:rPr>
        <w:sz w:val="2"/>
      </w:rPr>
    </w:pPr>
  </w:p>
  <w:p w:rsidR="005922EC" w:rsidRDefault="00807E6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1F16"/>
    <w:rsid w:val="000145A6"/>
    <w:rsid w:val="00015C4D"/>
    <w:rsid w:val="00022EA9"/>
    <w:rsid w:val="00032BE9"/>
    <w:rsid w:val="00044D71"/>
    <w:rsid w:val="00047855"/>
    <w:rsid w:val="00056EFD"/>
    <w:rsid w:val="00064B64"/>
    <w:rsid w:val="00083087"/>
    <w:rsid w:val="0008634A"/>
    <w:rsid w:val="00094970"/>
    <w:rsid w:val="000A0BFF"/>
    <w:rsid w:val="000B067C"/>
    <w:rsid w:val="000B085A"/>
    <w:rsid w:val="000B327E"/>
    <w:rsid w:val="000C5C97"/>
    <w:rsid w:val="000D5FAE"/>
    <w:rsid w:val="000D7645"/>
    <w:rsid w:val="000E050A"/>
    <w:rsid w:val="000E49A0"/>
    <w:rsid w:val="000E5AB2"/>
    <w:rsid w:val="000F0F6A"/>
    <w:rsid w:val="000F3B1C"/>
    <w:rsid w:val="00100EF1"/>
    <w:rsid w:val="001208A1"/>
    <w:rsid w:val="00123DA3"/>
    <w:rsid w:val="001271E6"/>
    <w:rsid w:val="00141076"/>
    <w:rsid w:val="001431A3"/>
    <w:rsid w:val="00143B89"/>
    <w:rsid w:val="001445A2"/>
    <w:rsid w:val="001562CC"/>
    <w:rsid w:val="001570A7"/>
    <w:rsid w:val="001637B1"/>
    <w:rsid w:val="001644BB"/>
    <w:rsid w:val="0018492D"/>
    <w:rsid w:val="00191574"/>
    <w:rsid w:val="001A34F1"/>
    <w:rsid w:val="001B504C"/>
    <w:rsid w:val="001B6F9C"/>
    <w:rsid w:val="001D2EE7"/>
    <w:rsid w:val="001D34F7"/>
    <w:rsid w:val="001E3A20"/>
    <w:rsid w:val="001E7160"/>
    <w:rsid w:val="001F7F06"/>
    <w:rsid w:val="0020107F"/>
    <w:rsid w:val="0022082F"/>
    <w:rsid w:val="00230476"/>
    <w:rsid w:val="00236461"/>
    <w:rsid w:val="002379B9"/>
    <w:rsid w:val="00245D41"/>
    <w:rsid w:val="00250EE8"/>
    <w:rsid w:val="0025369E"/>
    <w:rsid w:val="0028225E"/>
    <w:rsid w:val="002A4D04"/>
    <w:rsid w:val="002B5522"/>
    <w:rsid w:val="002B76B1"/>
    <w:rsid w:val="002C08BB"/>
    <w:rsid w:val="002D14D8"/>
    <w:rsid w:val="002D3C40"/>
    <w:rsid w:val="002E0D3C"/>
    <w:rsid w:val="002E2DAC"/>
    <w:rsid w:val="002F73A7"/>
    <w:rsid w:val="00314E86"/>
    <w:rsid w:val="00322E56"/>
    <w:rsid w:val="00324A34"/>
    <w:rsid w:val="00330905"/>
    <w:rsid w:val="00343CB6"/>
    <w:rsid w:val="00345092"/>
    <w:rsid w:val="00346589"/>
    <w:rsid w:val="0035496D"/>
    <w:rsid w:val="00376752"/>
    <w:rsid w:val="00390B88"/>
    <w:rsid w:val="003A4A13"/>
    <w:rsid w:val="003A4B6F"/>
    <w:rsid w:val="003B1FC8"/>
    <w:rsid w:val="003C144F"/>
    <w:rsid w:val="003C341F"/>
    <w:rsid w:val="003D0B3E"/>
    <w:rsid w:val="003D5EF1"/>
    <w:rsid w:val="003E330B"/>
    <w:rsid w:val="00420474"/>
    <w:rsid w:val="00435CF7"/>
    <w:rsid w:val="00437FE2"/>
    <w:rsid w:val="004470F4"/>
    <w:rsid w:val="00454D5E"/>
    <w:rsid w:val="00455EEF"/>
    <w:rsid w:val="00464BA2"/>
    <w:rsid w:val="00485353"/>
    <w:rsid w:val="004A2423"/>
    <w:rsid w:val="004B442F"/>
    <w:rsid w:val="004B6427"/>
    <w:rsid w:val="004C05F6"/>
    <w:rsid w:val="004C19C0"/>
    <w:rsid w:val="004D3800"/>
    <w:rsid w:val="004D7DA5"/>
    <w:rsid w:val="004E29DD"/>
    <w:rsid w:val="004F6B76"/>
    <w:rsid w:val="004F779A"/>
    <w:rsid w:val="00503FE8"/>
    <w:rsid w:val="0051175D"/>
    <w:rsid w:val="00533201"/>
    <w:rsid w:val="00535A75"/>
    <w:rsid w:val="00540E34"/>
    <w:rsid w:val="0054365E"/>
    <w:rsid w:val="00557ADE"/>
    <w:rsid w:val="0056268C"/>
    <w:rsid w:val="00590DED"/>
    <w:rsid w:val="005A7138"/>
    <w:rsid w:val="005C38B7"/>
    <w:rsid w:val="005C7014"/>
    <w:rsid w:val="005D1C62"/>
    <w:rsid w:val="006023CD"/>
    <w:rsid w:val="00602B87"/>
    <w:rsid w:val="00607A22"/>
    <w:rsid w:val="00610071"/>
    <w:rsid w:val="00612899"/>
    <w:rsid w:val="00613575"/>
    <w:rsid w:val="006147A2"/>
    <w:rsid w:val="00627F4B"/>
    <w:rsid w:val="00641E5E"/>
    <w:rsid w:val="00643621"/>
    <w:rsid w:val="00652641"/>
    <w:rsid w:val="00656555"/>
    <w:rsid w:val="00656A56"/>
    <w:rsid w:val="006642E2"/>
    <w:rsid w:val="00674DAB"/>
    <w:rsid w:val="00682C6F"/>
    <w:rsid w:val="006B3FDB"/>
    <w:rsid w:val="006B425C"/>
    <w:rsid w:val="006C39DD"/>
    <w:rsid w:val="006C5480"/>
    <w:rsid w:val="006C6074"/>
    <w:rsid w:val="006D2E0C"/>
    <w:rsid w:val="006F110E"/>
    <w:rsid w:val="006F3112"/>
    <w:rsid w:val="00701D11"/>
    <w:rsid w:val="007138F1"/>
    <w:rsid w:val="00737B93"/>
    <w:rsid w:val="00740D64"/>
    <w:rsid w:val="0076546A"/>
    <w:rsid w:val="007677B5"/>
    <w:rsid w:val="00767DFD"/>
    <w:rsid w:val="00772C85"/>
    <w:rsid w:val="00775415"/>
    <w:rsid w:val="00776446"/>
    <w:rsid w:val="00776F1B"/>
    <w:rsid w:val="00796191"/>
    <w:rsid w:val="007C1664"/>
    <w:rsid w:val="007D2B00"/>
    <w:rsid w:val="007D48EA"/>
    <w:rsid w:val="0080088D"/>
    <w:rsid w:val="00804CDB"/>
    <w:rsid w:val="008055F8"/>
    <w:rsid w:val="00807E6D"/>
    <w:rsid w:val="0081027D"/>
    <w:rsid w:val="00811B68"/>
    <w:rsid w:val="00813A73"/>
    <w:rsid w:val="008205F6"/>
    <w:rsid w:val="00827ED2"/>
    <w:rsid w:val="008407F2"/>
    <w:rsid w:val="0084184D"/>
    <w:rsid w:val="00843DE8"/>
    <w:rsid w:val="00844B80"/>
    <w:rsid w:val="008525D8"/>
    <w:rsid w:val="0085767F"/>
    <w:rsid w:val="008608AF"/>
    <w:rsid w:val="008869EC"/>
    <w:rsid w:val="00892FE4"/>
    <w:rsid w:val="00893636"/>
    <w:rsid w:val="0089733E"/>
    <w:rsid w:val="008A05A3"/>
    <w:rsid w:val="008C2039"/>
    <w:rsid w:val="008C3B67"/>
    <w:rsid w:val="008E1661"/>
    <w:rsid w:val="008E6FAA"/>
    <w:rsid w:val="008F1640"/>
    <w:rsid w:val="009034B0"/>
    <w:rsid w:val="00905F02"/>
    <w:rsid w:val="0091144B"/>
    <w:rsid w:val="009222D9"/>
    <w:rsid w:val="009224AB"/>
    <w:rsid w:val="0093248F"/>
    <w:rsid w:val="0093407B"/>
    <w:rsid w:val="009423F3"/>
    <w:rsid w:val="009605EA"/>
    <w:rsid w:val="0096259C"/>
    <w:rsid w:val="00965E50"/>
    <w:rsid w:val="009676DF"/>
    <w:rsid w:val="00970F7C"/>
    <w:rsid w:val="00974298"/>
    <w:rsid w:val="00986C57"/>
    <w:rsid w:val="009A47EE"/>
    <w:rsid w:val="009C63CA"/>
    <w:rsid w:val="009D6D74"/>
    <w:rsid w:val="009E0B0E"/>
    <w:rsid w:val="009E1B40"/>
    <w:rsid w:val="009E67A9"/>
    <w:rsid w:val="009F0513"/>
    <w:rsid w:val="00A01800"/>
    <w:rsid w:val="00A03FCD"/>
    <w:rsid w:val="00A044C5"/>
    <w:rsid w:val="00A07EAE"/>
    <w:rsid w:val="00A2046A"/>
    <w:rsid w:val="00A333D4"/>
    <w:rsid w:val="00A4624F"/>
    <w:rsid w:val="00A5059B"/>
    <w:rsid w:val="00A52CE0"/>
    <w:rsid w:val="00A60B22"/>
    <w:rsid w:val="00A65EEF"/>
    <w:rsid w:val="00A7591D"/>
    <w:rsid w:val="00A81A82"/>
    <w:rsid w:val="00A90D84"/>
    <w:rsid w:val="00A914E3"/>
    <w:rsid w:val="00AA110D"/>
    <w:rsid w:val="00AA198B"/>
    <w:rsid w:val="00AA38DE"/>
    <w:rsid w:val="00AA6B9A"/>
    <w:rsid w:val="00AC6F2A"/>
    <w:rsid w:val="00AD0553"/>
    <w:rsid w:val="00AD6AE7"/>
    <w:rsid w:val="00AE0FB2"/>
    <w:rsid w:val="00AE1DF2"/>
    <w:rsid w:val="00B10FBC"/>
    <w:rsid w:val="00B13C96"/>
    <w:rsid w:val="00B45BCA"/>
    <w:rsid w:val="00B462D0"/>
    <w:rsid w:val="00B515FD"/>
    <w:rsid w:val="00B526AA"/>
    <w:rsid w:val="00B629A7"/>
    <w:rsid w:val="00B64C55"/>
    <w:rsid w:val="00B70BF0"/>
    <w:rsid w:val="00B72AA9"/>
    <w:rsid w:val="00B800D6"/>
    <w:rsid w:val="00B963BE"/>
    <w:rsid w:val="00BA1C3D"/>
    <w:rsid w:val="00BA3DF4"/>
    <w:rsid w:val="00BA6149"/>
    <w:rsid w:val="00BC17C1"/>
    <w:rsid w:val="00BC3116"/>
    <w:rsid w:val="00BC5061"/>
    <w:rsid w:val="00BC60B1"/>
    <w:rsid w:val="00BC6DDA"/>
    <w:rsid w:val="00BD043D"/>
    <w:rsid w:val="00BD6B46"/>
    <w:rsid w:val="00BE12F9"/>
    <w:rsid w:val="00BE7371"/>
    <w:rsid w:val="00BE7C3F"/>
    <w:rsid w:val="00BF5C84"/>
    <w:rsid w:val="00C120CE"/>
    <w:rsid w:val="00C12BAE"/>
    <w:rsid w:val="00C156A7"/>
    <w:rsid w:val="00C16BEB"/>
    <w:rsid w:val="00C176E0"/>
    <w:rsid w:val="00C4370F"/>
    <w:rsid w:val="00C44678"/>
    <w:rsid w:val="00C503E5"/>
    <w:rsid w:val="00C70D37"/>
    <w:rsid w:val="00C73590"/>
    <w:rsid w:val="00C74E50"/>
    <w:rsid w:val="00C83B13"/>
    <w:rsid w:val="00C91307"/>
    <w:rsid w:val="00C96F23"/>
    <w:rsid w:val="00CA22C7"/>
    <w:rsid w:val="00CA2A27"/>
    <w:rsid w:val="00CA6ED5"/>
    <w:rsid w:val="00CB1D8E"/>
    <w:rsid w:val="00CC1889"/>
    <w:rsid w:val="00CE06EE"/>
    <w:rsid w:val="00CE4FAB"/>
    <w:rsid w:val="00CF36C1"/>
    <w:rsid w:val="00D030E5"/>
    <w:rsid w:val="00D07A08"/>
    <w:rsid w:val="00D1387C"/>
    <w:rsid w:val="00D146C3"/>
    <w:rsid w:val="00D23B4F"/>
    <w:rsid w:val="00D300A0"/>
    <w:rsid w:val="00D46074"/>
    <w:rsid w:val="00D4621E"/>
    <w:rsid w:val="00D53879"/>
    <w:rsid w:val="00D839F5"/>
    <w:rsid w:val="00DA3120"/>
    <w:rsid w:val="00DA7643"/>
    <w:rsid w:val="00DB7889"/>
    <w:rsid w:val="00DC24F6"/>
    <w:rsid w:val="00DF5851"/>
    <w:rsid w:val="00E22748"/>
    <w:rsid w:val="00E26FAD"/>
    <w:rsid w:val="00E3411F"/>
    <w:rsid w:val="00E344FA"/>
    <w:rsid w:val="00E40CCA"/>
    <w:rsid w:val="00E4143F"/>
    <w:rsid w:val="00E43DE4"/>
    <w:rsid w:val="00E65F1B"/>
    <w:rsid w:val="00E9046B"/>
    <w:rsid w:val="00EC785B"/>
    <w:rsid w:val="00ED7D7C"/>
    <w:rsid w:val="00EE2482"/>
    <w:rsid w:val="00EE66EC"/>
    <w:rsid w:val="00EF1C2A"/>
    <w:rsid w:val="00EF493D"/>
    <w:rsid w:val="00EF4C30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45B4"/>
    <w:rsid w:val="00F37489"/>
    <w:rsid w:val="00F417BC"/>
    <w:rsid w:val="00F61CFF"/>
    <w:rsid w:val="00F625A5"/>
    <w:rsid w:val="00F63C49"/>
    <w:rsid w:val="00F64F30"/>
    <w:rsid w:val="00F71197"/>
    <w:rsid w:val="00F96846"/>
    <w:rsid w:val="00F9785D"/>
    <w:rsid w:val="00FC1049"/>
    <w:rsid w:val="00FC3C14"/>
    <w:rsid w:val="00FD59A5"/>
    <w:rsid w:val="00FE0177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FAE1383D-D49D-49E4-B782-B823C07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334727B493F94741B4E68B84EDEABC9A@kbco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 Sandra</dc:creator>
  <cp:lastModifiedBy>Knežević Sandra</cp:lastModifiedBy>
  <cp:revision>25</cp:revision>
  <dcterms:created xsi:type="dcterms:W3CDTF">2015-10-06T07:46:00Z</dcterms:created>
  <dcterms:modified xsi:type="dcterms:W3CDTF">2017-12-05T11:02:00Z</dcterms:modified>
</cp:coreProperties>
</file>