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p>
    <w:tbl>
      <w:tblPr>
        <w:tblpPr w:leftFromText="180" w:rightFromText="180" w:horzAnchor="margin" w:tblpXSpec="right" w:tblpY="-1575"/>
        <w:tblW w:w="0" w:type="auto"/>
        <w:tblLayout w:type="fixed"/>
        <w:tblLook w:val="0000" w:firstRow="0" w:lastRow="0" w:firstColumn="0" w:lastColumn="0" w:noHBand="0" w:noVBand="0"/>
      </w:tblPr>
      <w:tblGrid>
        <w:gridCol w:w="3855"/>
      </w:tblGrid>
      <w:tr w:rsidR="00FC6E29" w:rsidRPr="00616BBE" w:rsidTr="00E61413">
        <w:trPr>
          <w:trHeight w:val="646"/>
        </w:trPr>
        <w:tc>
          <w:tcPr>
            <w:tcW w:w="3855" w:type="dxa"/>
          </w:tcPr>
          <w:p w:rsidR="00FC6E29" w:rsidRPr="00616BBE" w:rsidRDefault="00FC6E29" w:rsidP="00F82DA3">
            <w:pPr>
              <w:rPr>
                <w:sz w:val="10"/>
                <w:szCs w:val="10"/>
              </w:rPr>
            </w:pPr>
            <w:bookmarkStart w:id="0" w:name="Adresa"/>
          </w:p>
          <w:bookmarkEnd w:id="0"/>
          <w:p w:rsidR="00FC6E29" w:rsidRPr="00BA05C4" w:rsidRDefault="00FC6E29" w:rsidP="00F82DA3">
            <w:pPr>
              <w:jc w:val="center"/>
              <w:rPr>
                <w:rFonts w:asciiTheme="minorHAnsi" w:hAnsiTheme="minorHAnsi" w:cstheme="minorHAnsi"/>
                <w:sz w:val="32"/>
                <w:szCs w:val="32"/>
              </w:rPr>
            </w:pPr>
            <w:r w:rsidRPr="00BA05C4">
              <w:rPr>
                <w:rFonts w:asciiTheme="minorHAnsi" w:hAnsiTheme="minorHAnsi" w:cstheme="minorHAnsi"/>
                <w:sz w:val="32"/>
                <w:szCs w:val="32"/>
              </w:rPr>
              <w:fldChar w:fldCharType="begin"/>
            </w:r>
            <w:r w:rsidRPr="00BA05C4">
              <w:rPr>
                <w:rFonts w:asciiTheme="minorHAnsi" w:hAnsiTheme="minorHAnsi" w:cstheme="minorHAnsi"/>
                <w:sz w:val="32"/>
                <w:szCs w:val="32"/>
              </w:rPr>
              <w:instrText xml:space="preserve"> FILLIN "Adresa" \* MERGEFORMAT </w:instrText>
            </w:r>
            <w:r w:rsidRPr="00BA05C4">
              <w:rPr>
                <w:rFonts w:asciiTheme="minorHAnsi" w:hAnsiTheme="minorHAnsi" w:cstheme="minorHAnsi"/>
                <w:sz w:val="32"/>
                <w:szCs w:val="32"/>
              </w:rPr>
              <w:fldChar w:fldCharType="separate"/>
            </w:r>
            <w:r w:rsidR="00B656C3" w:rsidRPr="00BA05C4">
              <w:rPr>
                <w:rFonts w:asciiTheme="minorHAnsi" w:hAnsiTheme="minorHAnsi" w:cstheme="minorHAnsi"/>
                <w:sz w:val="32"/>
                <w:szCs w:val="32"/>
              </w:rPr>
              <w:t xml:space="preserve">   </w:t>
            </w:r>
            <w:r w:rsidRPr="00BA05C4">
              <w:rPr>
                <w:rFonts w:asciiTheme="minorHAnsi" w:hAnsiTheme="minorHAnsi" w:cstheme="minorHAnsi"/>
                <w:sz w:val="32"/>
                <w:szCs w:val="32"/>
              </w:rPr>
              <w:fldChar w:fldCharType="end"/>
            </w:r>
            <w:r w:rsidR="002148DA" w:rsidRPr="00BA05C4">
              <w:rPr>
                <w:rFonts w:asciiTheme="minorHAnsi" w:hAnsiTheme="minorHAnsi" w:cstheme="minorHAnsi"/>
                <w:b/>
                <w:sz w:val="32"/>
                <w:szCs w:val="32"/>
              </w:rPr>
              <w:t xml:space="preserve"> 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81754F" w:rsidRDefault="00FF56C2" w:rsidP="00FF56C2">
      <w:pPr>
        <w:tabs>
          <w:tab w:val="left" w:pos="5610"/>
        </w:tabs>
        <w:jc w:val="both"/>
        <w:rPr>
          <w:rFonts w:ascii="Calibri" w:hAnsi="Calibri" w:cs="Calibri"/>
          <w:b/>
          <w:color w:val="005A9C"/>
          <w:sz w:val="28"/>
          <w:szCs w:val="28"/>
          <w:lang w:eastAsia="hr-HR"/>
        </w:rPr>
      </w:pPr>
      <w:r>
        <w:rPr>
          <w:rFonts w:ascii="Calibri" w:hAnsi="Calibri" w:cs="Calibri"/>
          <w:b/>
          <w:color w:val="005A9C"/>
          <w:sz w:val="28"/>
          <w:szCs w:val="28"/>
          <w:lang w:eastAsia="hr-HR"/>
        </w:rPr>
        <w:t>INA zaprimila Zapisnik poreznog nadzora</w:t>
      </w:r>
      <w:r>
        <w:rPr>
          <w:rFonts w:ascii="Calibri" w:hAnsi="Calibri" w:cs="Calibri"/>
          <w:b/>
          <w:color w:val="005A9C"/>
          <w:sz w:val="28"/>
          <w:szCs w:val="28"/>
          <w:lang w:eastAsia="hr-HR"/>
        </w:rPr>
        <w:tab/>
      </w:r>
    </w:p>
    <w:p w:rsidR="00FF56C2" w:rsidRDefault="00FF56C2" w:rsidP="00FF56C2">
      <w:pPr>
        <w:tabs>
          <w:tab w:val="left" w:pos="5610"/>
        </w:tabs>
        <w:jc w:val="both"/>
        <w:rPr>
          <w:rFonts w:ascii="Calibri" w:hAnsi="Calibri" w:cs="Calibri"/>
          <w:b/>
          <w:color w:val="005A9C"/>
          <w:sz w:val="28"/>
          <w:szCs w:val="28"/>
          <w:lang w:eastAsia="hr-HR"/>
        </w:rPr>
      </w:pPr>
    </w:p>
    <w:p w:rsidR="00FF56C2" w:rsidRDefault="00FF56C2" w:rsidP="00FF56C2">
      <w:pPr>
        <w:numPr>
          <w:ilvl w:val="0"/>
          <w:numId w:val="1"/>
        </w:numPr>
        <w:jc w:val="both"/>
        <w:rPr>
          <w:rFonts w:ascii="Calibri" w:hAnsi="Calibri" w:cs="Calibri"/>
          <w:b/>
          <w:szCs w:val="22"/>
        </w:rPr>
      </w:pPr>
      <w:r>
        <w:rPr>
          <w:rFonts w:ascii="Calibri" w:hAnsi="Calibri" w:cs="Calibri"/>
          <w:b/>
          <w:szCs w:val="22"/>
        </w:rPr>
        <w:t>porezni nadzor proveden je za 2010. i 2011. godinu, a vezan je uz obračun vlastite potrošnje i gubitaka u rafinerijama</w:t>
      </w:r>
    </w:p>
    <w:p w:rsidR="00FF56C2" w:rsidRDefault="00FF56C2" w:rsidP="00FF56C2">
      <w:pPr>
        <w:numPr>
          <w:ilvl w:val="0"/>
          <w:numId w:val="1"/>
        </w:numPr>
        <w:jc w:val="both"/>
        <w:rPr>
          <w:rFonts w:ascii="Calibri" w:hAnsi="Calibri" w:cs="Calibri"/>
          <w:b/>
          <w:szCs w:val="22"/>
        </w:rPr>
      </w:pPr>
      <w:r>
        <w:rPr>
          <w:rFonts w:ascii="Calibri" w:hAnsi="Calibri" w:cs="Calibri"/>
          <w:b/>
          <w:szCs w:val="22"/>
        </w:rPr>
        <w:t>dodatna retroaktivna obveza iznosi 319 milijuna kuna što predstavlja opterećenje za rafinerijsko poslovanje</w:t>
      </w:r>
    </w:p>
    <w:p w:rsidR="00FF56C2" w:rsidRPr="00E61413" w:rsidRDefault="00FF56C2" w:rsidP="00FF56C2">
      <w:pPr>
        <w:numPr>
          <w:ilvl w:val="0"/>
          <w:numId w:val="1"/>
        </w:numPr>
        <w:jc w:val="both"/>
        <w:rPr>
          <w:rFonts w:ascii="Calibri" w:hAnsi="Calibri" w:cs="Calibri"/>
          <w:b/>
          <w:szCs w:val="22"/>
        </w:rPr>
      </w:pPr>
      <w:r>
        <w:rPr>
          <w:rFonts w:ascii="Calibri" w:hAnsi="Calibri" w:cs="Calibri"/>
          <w:b/>
          <w:szCs w:val="22"/>
        </w:rPr>
        <w:t xml:space="preserve">INA obračunava svoju poreznu obvezu primjenjujući </w:t>
      </w:r>
      <w:r w:rsidRPr="00FF56C2">
        <w:rPr>
          <w:rFonts w:ascii="Calibri" w:hAnsi="Calibri" w:cs="Calibri"/>
          <w:b/>
          <w:szCs w:val="22"/>
        </w:rPr>
        <w:t>Međunarodne računovodstvene standarde</w:t>
      </w:r>
    </w:p>
    <w:p w:rsidR="00FF56C2" w:rsidRPr="0081754F" w:rsidRDefault="00FF56C2" w:rsidP="0081754F">
      <w:pPr>
        <w:jc w:val="both"/>
        <w:rPr>
          <w:rFonts w:ascii="Calibri" w:hAnsi="Calibri" w:cs="Calibri"/>
          <w:b/>
          <w:color w:val="005A9C"/>
          <w:sz w:val="28"/>
          <w:szCs w:val="28"/>
          <w:lang w:eastAsia="hr-HR"/>
        </w:rPr>
      </w:pPr>
    </w:p>
    <w:p w:rsidR="00FF56C2" w:rsidRDefault="00FF56C2" w:rsidP="00FF56C2">
      <w:pPr>
        <w:rPr>
          <w:rFonts w:asciiTheme="minorHAnsi" w:hAnsiTheme="minorHAnsi" w:cstheme="minorHAnsi"/>
          <w:b/>
          <w:sz w:val="24"/>
          <w:lang w:eastAsia="hr-HR"/>
        </w:rPr>
      </w:pPr>
    </w:p>
    <w:p w:rsidR="00FF56C2" w:rsidRPr="00FF56C2" w:rsidRDefault="00C76EC8" w:rsidP="00FF56C2">
      <w:pPr>
        <w:jc w:val="both"/>
        <w:rPr>
          <w:rFonts w:asciiTheme="minorHAnsi" w:hAnsiTheme="minorHAnsi" w:cstheme="minorHAnsi"/>
          <w:sz w:val="24"/>
          <w:lang w:eastAsia="hr-HR"/>
        </w:rPr>
      </w:pPr>
      <w:r w:rsidRPr="00C76EC8">
        <w:rPr>
          <w:rFonts w:asciiTheme="minorHAnsi" w:hAnsiTheme="minorHAnsi" w:cstheme="minorHAnsi"/>
          <w:b/>
          <w:sz w:val="24"/>
          <w:lang w:eastAsia="hr-HR"/>
        </w:rPr>
        <w:t xml:space="preserve">Zagreb, </w:t>
      </w:r>
      <w:r w:rsidR="00FF56C2">
        <w:rPr>
          <w:rFonts w:asciiTheme="minorHAnsi" w:hAnsiTheme="minorHAnsi" w:cstheme="minorHAnsi"/>
          <w:b/>
          <w:sz w:val="24"/>
          <w:lang w:eastAsia="hr-HR"/>
        </w:rPr>
        <w:t>28</w:t>
      </w:r>
      <w:r w:rsidRPr="00C76EC8">
        <w:rPr>
          <w:rFonts w:asciiTheme="minorHAnsi" w:hAnsiTheme="minorHAnsi" w:cstheme="minorHAnsi"/>
          <w:b/>
          <w:sz w:val="24"/>
          <w:lang w:eastAsia="hr-HR"/>
        </w:rPr>
        <w:t>. listopada</w:t>
      </w:r>
      <w:r w:rsidRPr="00C76EC8">
        <w:rPr>
          <w:rFonts w:asciiTheme="minorHAnsi" w:hAnsiTheme="minorHAnsi" w:cstheme="minorHAnsi"/>
          <w:sz w:val="24"/>
          <w:lang w:eastAsia="hr-HR"/>
        </w:rPr>
        <w:t xml:space="preserve"> </w:t>
      </w:r>
      <w:r w:rsidRPr="00FF56C2">
        <w:rPr>
          <w:rFonts w:asciiTheme="minorHAnsi" w:hAnsiTheme="minorHAnsi" w:cstheme="minorHAnsi"/>
          <w:sz w:val="24"/>
          <w:lang w:eastAsia="hr-HR"/>
        </w:rPr>
        <w:t xml:space="preserve">- </w:t>
      </w:r>
      <w:r w:rsidR="00FF56C2" w:rsidRPr="00FF56C2">
        <w:rPr>
          <w:rFonts w:asciiTheme="minorHAnsi" w:hAnsiTheme="minorHAnsi" w:cstheme="minorHAnsi"/>
          <w:sz w:val="24"/>
          <w:lang w:eastAsia="hr-HR"/>
        </w:rPr>
        <w:t xml:space="preserve">INA, </w:t>
      </w:r>
      <w:proofErr w:type="spellStart"/>
      <w:r w:rsidR="00FF56C2" w:rsidRPr="00FF56C2">
        <w:rPr>
          <w:rFonts w:asciiTheme="minorHAnsi" w:hAnsiTheme="minorHAnsi" w:cstheme="minorHAnsi"/>
          <w:sz w:val="24"/>
          <w:lang w:eastAsia="hr-HR"/>
        </w:rPr>
        <w:t>d.d</w:t>
      </w:r>
      <w:proofErr w:type="spellEnd"/>
      <w:r w:rsidR="00FF56C2" w:rsidRPr="00FF56C2">
        <w:rPr>
          <w:rFonts w:asciiTheme="minorHAnsi" w:hAnsiTheme="minorHAnsi" w:cstheme="minorHAnsi"/>
          <w:sz w:val="24"/>
          <w:lang w:eastAsia="hr-HR"/>
        </w:rPr>
        <w:t>. je zaprimila Zapisnik poreznog nadzora Ministarstva financija, kojim je utvrđena dodatna, retroaktivna, porezna obveza na ime PDV-a i poreza na dobit za 2010. i 2011. godinu u iznosu 319 milijuna kuna, uključujući zatezne kamate do dana izdavanja Zapisnika. Navedeno se temelji na razlici u računanju vlastite potrošnje i gubitaka</w:t>
      </w:r>
      <w:r w:rsidR="00FF56C2">
        <w:rPr>
          <w:rFonts w:asciiTheme="minorHAnsi" w:hAnsiTheme="minorHAnsi" w:cstheme="minorHAnsi"/>
          <w:sz w:val="24"/>
          <w:lang w:eastAsia="hr-HR"/>
        </w:rPr>
        <w:t xml:space="preserve"> </w:t>
      </w:r>
      <w:r w:rsidR="00FF56C2" w:rsidRPr="00425594">
        <w:rPr>
          <w:rFonts w:asciiTheme="minorHAnsi" w:hAnsiTheme="minorHAnsi" w:cstheme="minorHAnsi"/>
          <w:sz w:val="24"/>
          <w:lang w:eastAsia="hr-HR"/>
        </w:rPr>
        <w:t>u rafinerijama.</w:t>
      </w:r>
      <w:r w:rsidR="00FF56C2" w:rsidRPr="00FF56C2">
        <w:rPr>
          <w:rFonts w:asciiTheme="minorHAnsi" w:hAnsiTheme="minorHAnsi" w:cstheme="minorHAnsi"/>
          <w:sz w:val="24"/>
          <w:lang w:eastAsia="hr-HR"/>
        </w:rPr>
        <w:t xml:space="preserve"> INA će uputiti žalbu na predmetni Zapisnik u zadanom roku. Plaćanje spomenutog iznosa bit će potrebno tek ako se konačnim izvršnim drugostupanjskim poreznim rješenjem potvrde nalazi izneseni u </w:t>
      </w:r>
      <w:r w:rsidR="00FF56C2">
        <w:rPr>
          <w:rFonts w:asciiTheme="minorHAnsi" w:hAnsiTheme="minorHAnsi" w:cstheme="minorHAnsi"/>
          <w:sz w:val="24"/>
          <w:lang w:eastAsia="hr-HR"/>
        </w:rPr>
        <w:t>Zapisniku.</w:t>
      </w:r>
      <w:r w:rsidR="00FF56C2" w:rsidRPr="00FF56C2">
        <w:rPr>
          <w:rFonts w:asciiTheme="minorHAnsi" w:hAnsiTheme="minorHAnsi" w:cstheme="minorHAnsi"/>
          <w:sz w:val="24"/>
          <w:lang w:eastAsia="hr-HR"/>
        </w:rPr>
        <w:t xml:space="preserve">                                                                                                             </w:t>
      </w:r>
    </w:p>
    <w:p w:rsidR="00FF56C2" w:rsidRPr="00FF56C2" w:rsidRDefault="00FF56C2" w:rsidP="00FF56C2">
      <w:pPr>
        <w:jc w:val="both"/>
        <w:rPr>
          <w:rFonts w:asciiTheme="minorHAnsi" w:hAnsiTheme="minorHAnsi" w:cstheme="minorHAnsi"/>
          <w:sz w:val="24"/>
          <w:lang w:eastAsia="hr-HR"/>
        </w:rPr>
      </w:pPr>
      <w:r w:rsidRPr="00FF56C2">
        <w:rPr>
          <w:rFonts w:asciiTheme="minorHAnsi" w:hAnsiTheme="minorHAnsi" w:cstheme="minorHAnsi"/>
          <w:sz w:val="24"/>
          <w:lang w:eastAsia="hr-HR"/>
        </w:rPr>
        <w:t> </w:t>
      </w:r>
    </w:p>
    <w:p w:rsidR="00FF56C2" w:rsidRPr="00FF56C2" w:rsidRDefault="00FF56C2" w:rsidP="00FF56C2">
      <w:pPr>
        <w:jc w:val="both"/>
        <w:rPr>
          <w:rFonts w:asciiTheme="minorHAnsi" w:hAnsiTheme="minorHAnsi" w:cstheme="minorHAnsi"/>
          <w:sz w:val="24"/>
          <w:lang w:eastAsia="hr-HR"/>
        </w:rPr>
      </w:pPr>
      <w:r w:rsidRPr="00FF56C2">
        <w:rPr>
          <w:rFonts w:asciiTheme="minorHAnsi" w:hAnsiTheme="minorHAnsi" w:cstheme="minorHAnsi"/>
          <w:sz w:val="24"/>
          <w:lang w:eastAsia="hr-HR"/>
        </w:rPr>
        <w:t>Ističemo kako je INA obračunala svoju poreznu obvezu u skladu s najboljom poslovnom praksom i relevantnom regulativom, primjenjujući Međunarodne računovodstvene standarde. Stoga, INA smatra kako je metodologija procjene Ministarstva neutemeljena. Ovo ne bi bila prva odluka vezana uz dodatnu retroaktivnu poreznu obvezu koju je INA zaprimila. Slična odluka je donesena 2013. godine za poslovanje iz 2008. i 2009., protiv koje je INA uložila tužbu Upravnom sudu. Proces je još u tijeku.</w:t>
      </w:r>
    </w:p>
    <w:p w:rsidR="00FF56C2" w:rsidRPr="00FF56C2" w:rsidRDefault="00FF56C2" w:rsidP="00FF56C2">
      <w:pPr>
        <w:jc w:val="both"/>
        <w:rPr>
          <w:rFonts w:asciiTheme="minorHAnsi" w:hAnsiTheme="minorHAnsi" w:cstheme="minorHAnsi"/>
          <w:sz w:val="24"/>
          <w:lang w:eastAsia="hr-HR"/>
        </w:rPr>
      </w:pPr>
      <w:r w:rsidRPr="00FF56C2">
        <w:rPr>
          <w:rFonts w:asciiTheme="minorHAnsi" w:hAnsiTheme="minorHAnsi" w:cstheme="minorHAnsi"/>
          <w:sz w:val="24"/>
          <w:lang w:eastAsia="hr-HR"/>
        </w:rPr>
        <w:t> </w:t>
      </w:r>
    </w:p>
    <w:p w:rsidR="00FF56C2" w:rsidRPr="00FF56C2" w:rsidRDefault="00FF56C2" w:rsidP="00FF56C2">
      <w:pPr>
        <w:jc w:val="both"/>
        <w:rPr>
          <w:rFonts w:asciiTheme="minorHAnsi" w:hAnsiTheme="minorHAnsi" w:cstheme="minorHAnsi"/>
          <w:sz w:val="24"/>
          <w:lang w:eastAsia="hr-HR"/>
        </w:rPr>
      </w:pPr>
      <w:r w:rsidRPr="00FF56C2">
        <w:rPr>
          <w:rFonts w:asciiTheme="minorHAnsi" w:hAnsiTheme="minorHAnsi" w:cstheme="minorHAnsi"/>
          <w:sz w:val="24"/>
          <w:lang w:eastAsia="hr-HR"/>
        </w:rPr>
        <w:t>Nadalje, INA naglašava kako ovakve odluke predstavljaju opterećenje za rafinerijsko poslovanje u Hrvatskoj, te ako se nastave u budućnosti, mogu imati štetan utjecaj na razinu aktivnosti Ininih rafinerija i buduća ulaganja.</w:t>
      </w:r>
    </w:p>
    <w:p w:rsidR="00FF56C2" w:rsidRDefault="00FF56C2" w:rsidP="002148DA">
      <w:pPr>
        <w:jc w:val="both"/>
        <w:rPr>
          <w:rFonts w:ascii="Calibri" w:eastAsia="Calibri" w:hAnsi="Calibri"/>
          <w:b/>
          <w:sz w:val="20"/>
          <w:szCs w:val="20"/>
        </w:rPr>
      </w:pPr>
    </w:p>
    <w:p w:rsidR="002148DA" w:rsidRPr="00BA05C4" w:rsidRDefault="002148DA" w:rsidP="002148DA">
      <w:pPr>
        <w:jc w:val="both"/>
        <w:rPr>
          <w:rFonts w:ascii="Calibri" w:eastAsia="Calibri" w:hAnsi="Calibri"/>
          <w:b/>
          <w:sz w:val="20"/>
          <w:szCs w:val="20"/>
        </w:rPr>
      </w:pPr>
      <w:r w:rsidRPr="00BA05C4">
        <w:rPr>
          <w:rFonts w:ascii="Calibri" w:eastAsia="Calibri" w:hAnsi="Calibri"/>
          <w:b/>
          <w:sz w:val="20"/>
          <w:szCs w:val="20"/>
        </w:rPr>
        <w:t xml:space="preserve">O INA Grupi </w:t>
      </w:r>
    </w:p>
    <w:p w:rsidR="002148DA" w:rsidRPr="00BA05C4" w:rsidRDefault="002148DA" w:rsidP="002148DA">
      <w:pPr>
        <w:jc w:val="both"/>
        <w:rPr>
          <w:rFonts w:ascii="Calibri" w:eastAsia="Calibri" w:hAnsi="Calibri"/>
          <w:sz w:val="20"/>
          <w:szCs w:val="20"/>
        </w:rPr>
      </w:pPr>
      <w:r w:rsidRPr="00BA05C4">
        <w:rPr>
          <w:rFonts w:ascii="Calibri" w:eastAsia="Calibri" w:hAnsi="Calibri"/>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w:t>
      </w:r>
      <w:proofErr w:type="spellStart"/>
      <w:r w:rsidRPr="00BA05C4">
        <w:rPr>
          <w:rFonts w:ascii="Calibri" w:eastAsia="Calibri" w:hAnsi="Calibri"/>
          <w:sz w:val="20"/>
          <w:szCs w:val="20"/>
        </w:rPr>
        <w:t>d.d</w:t>
      </w:r>
      <w:proofErr w:type="spellEnd"/>
      <w:r w:rsidRPr="00BA05C4">
        <w:rPr>
          <w:rFonts w:ascii="Calibri" w:eastAsia="Calibri" w:hAnsi="Calibri"/>
          <w:sz w:val="20"/>
          <w:szCs w:val="20"/>
        </w:rPr>
        <w:t xml:space="preserve">. Sjedište Grupe nalazi se u Zagrebu, Hrvatska. U području istraživanja i proizvodnje nafte i plina, INA danas posluje, osim u Hrvatskoj, u Angoli i Egiptu. Prerada nafte odvija se u Ininim rafinerijama nafte; RN Rijeka i RN Sisak, dok se regionalna maloprodajna mreža sastoji od </w:t>
      </w:r>
      <w:r w:rsidR="005B1996" w:rsidRPr="00BA05C4">
        <w:rPr>
          <w:rFonts w:ascii="Calibri" w:eastAsia="Calibri" w:hAnsi="Calibri"/>
          <w:sz w:val="20"/>
          <w:szCs w:val="20"/>
        </w:rPr>
        <w:t>44</w:t>
      </w:r>
      <w:r w:rsidR="005B1996">
        <w:rPr>
          <w:rFonts w:ascii="Calibri" w:eastAsia="Calibri" w:hAnsi="Calibri"/>
          <w:sz w:val="20"/>
          <w:szCs w:val="20"/>
        </w:rPr>
        <w:t>9</w:t>
      </w:r>
      <w:r w:rsidR="005B1996" w:rsidRPr="00BA05C4">
        <w:rPr>
          <w:rFonts w:ascii="Calibri" w:eastAsia="Calibri" w:hAnsi="Calibri"/>
          <w:sz w:val="20"/>
          <w:szCs w:val="20"/>
        </w:rPr>
        <w:t xml:space="preserve"> </w:t>
      </w:r>
      <w:r w:rsidRPr="00BA05C4">
        <w:rPr>
          <w:rFonts w:ascii="Calibri" w:eastAsia="Calibri" w:hAnsi="Calibri"/>
          <w:sz w:val="20"/>
          <w:szCs w:val="20"/>
        </w:rPr>
        <w:t>benzinskih postaja u Hrvatskoj i u susjednim zemljama.</w:t>
      </w: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proofErr w:type="spellStart"/>
      <w:r w:rsidRPr="00616BBE">
        <w:rPr>
          <w:rFonts w:ascii="Calibri" w:eastAsia="Calibri" w:hAnsi="Calibri"/>
          <w:i/>
          <w:sz w:val="20"/>
          <w:szCs w:val="20"/>
        </w:rPr>
        <w:t>Tel</w:t>
      </w:r>
      <w:proofErr w:type="spellEnd"/>
      <w:r w:rsidRPr="00616BBE">
        <w:rPr>
          <w:rFonts w:ascii="Calibri" w:eastAsia="Calibri" w:hAnsi="Calibri"/>
          <w:i/>
          <w:sz w:val="20"/>
          <w:szCs w:val="20"/>
        </w:rPr>
        <w:t>:  01 6450 552|</w:t>
      </w:r>
      <w:proofErr w:type="spellStart"/>
      <w:r w:rsidRPr="00616BBE">
        <w:rPr>
          <w:rFonts w:ascii="Calibri" w:eastAsia="Calibri" w:hAnsi="Calibri"/>
          <w:i/>
          <w:sz w:val="20"/>
          <w:szCs w:val="20"/>
        </w:rPr>
        <w:t>Fax</w:t>
      </w:r>
      <w:proofErr w:type="spellEnd"/>
      <w:r w:rsidRPr="00616BBE">
        <w:rPr>
          <w:rFonts w:ascii="Calibri" w:eastAsia="Calibri" w:hAnsi="Calibri"/>
          <w:i/>
          <w:sz w:val="20"/>
          <w:szCs w:val="20"/>
        </w:rPr>
        <w:t xml:space="preserve">: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BC" w:rsidRDefault="004D07BC" w:rsidP="00C11370">
      <w:r>
        <w:separator/>
      </w:r>
    </w:p>
  </w:endnote>
  <w:endnote w:type="continuationSeparator" w:id="0">
    <w:p w:rsidR="004D07BC" w:rsidRDefault="004D07BC"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4D5ED308" wp14:editId="49D2AC8D">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F56C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F56C2">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BC" w:rsidRDefault="004D07BC" w:rsidP="00C11370">
      <w:r>
        <w:separator/>
      </w:r>
    </w:p>
  </w:footnote>
  <w:footnote w:type="continuationSeparator" w:id="0">
    <w:p w:rsidR="004D07BC" w:rsidRDefault="004D07BC"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3" w:rsidRDefault="00EF6289">
    <w:pPr>
      <w:pStyle w:val="Header"/>
    </w:pPr>
    <w:r>
      <w:rPr>
        <w:noProof/>
        <w:lang w:eastAsia="hr-HR"/>
      </w:rPr>
      <w:drawing>
        <wp:inline distT="0" distB="0" distL="0" distR="0" wp14:anchorId="21022BFE" wp14:editId="6B5E7D92">
          <wp:extent cx="1212850" cy="45085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rsidR="00FF56C2" w:rsidRDefault="00FF5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655AFC"/>
    <w:multiLevelType w:val="hybridMultilevel"/>
    <w:tmpl w:val="84AC3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7B7DEA"/>
    <w:multiLevelType w:val="hybridMultilevel"/>
    <w:tmpl w:val="9C70E8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4ED2430"/>
    <w:multiLevelType w:val="hybridMultilevel"/>
    <w:tmpl w:val="0C9AF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5C5106"/>
    <w:multiLevelType w:val="hybridMultilevel"/>
    <w:tmpl w:val="230C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5F64"/>
    <w:rsid w:val="00061911"/>
    <w:rsid w:val="00071D86"/>
    <w:rsid w:val="00075F38"/>
    <w:rsid w:val="00091C7B"/>
    <w:rsid w:val="00092FD1"/>
    <w:rsid w:val="000A1F20"/>
    <w:rsid w:val="000A3F5F"/>
    <w:rsid w:val="000C0130"/>
    <w:rsid w:val="000C192D"/>
    <w:rsid w:val="000D15F5"/>
    <w:rsid w:val="000D401A"/>
    <w:rsid w:val="000D730A"/>
    <w:rsid w:val="000F71A2"/>
    <w:rsid w:val="001013F4"/>
    <w:rsid w:val="001049F4"/>
    <w:rsid w:val="00107C4D"/>
    <w:rsid w:val="00136FFA"/>
    <w:rsid w:val="00150BC0"/>
    <w:rsid w:val="00170E14"/>
    <w:rsid w:val="00180B8B"/>
    <w:rsid w:val="001830C6"/>
    <w:rsid w:val="00183994"/>
    <w:rsid w:val="00191574"/>
    <w:rsid w:val="00193912"/>
    <w:rsid w:val="00196CCB"/>
    <w:rsid w:val="001A4D58"/>
    <w:rsid w:val="001B26D4"/>
    <w:rsid w:val="001E4FBE"/>
    <w:rsid w:val="001E7160"/>
    <w:rsid w:val="001F421D"/>
    <w:rsid w:val="00202B5C"/>
    <w:rsid w:val="00211556"/>
    <w:rsid w:val="002148DA"/>
    <w:rsid w:val="002305A8"/>
    <w:rsid w:val="0023794C"/>
    <w:rsid w:val="00251FE0"/>
    <w:rsid w:val="00253A51"/>
    <w:rsid w:val="00253C4A"/>
    <w:rsid w:val="002620F6"/>
    <w:rsid w:val="00270D13"/>
    <w:rsid w:val="00285EED"/>
    <w:rsid w:val="002A13C9"/>
    <w:rsid w:val="002A1FCB"/>
    <w:rsid w:val="002A2CF9"/>
    <w:rsid w:val="002B040F"/>
    <w:rsid w:val="002C08BB"/>
    <w:rsid w:val="002C3198"/>
    <w:rsid w:val="002D5863"/>
    <w:rsid w:val="002D7556"/>
    <w:rsid w:val="002E5910"/>
    <w:rsid w:val="002F09A3"/>
    <w:rsid w:val="002F3EB1"/>
    <w:rsid w:val="002F6190"/>
    <w:rsid w:val="00304A2F"/>
    <w:rsid w:val="0030681B"/>
    <w:rsid w:val="003144F9"/>
    <w:rsid w:val="0031778E"/>
    <w:rsid w:val="00321001"/>
    <w:rsid w:val="00323CC9"/>
    <w:rsid w:val="0033578D"/>
    <w:rsid w:val="00337C8E"/>
    <w:rsid w:val="0034147C"/>
    <w:rsid w:val="00352F37"/>
    <w:rsid w:val="003666B4"/>
    <w:rsid w:val="00374622"/>
    <w:rsid w:val="00374688"/>
    <w:rsid w:val="00377250"/>
    <w:rsid w:val="00382E87"/>
    <w:rsid w:val="00387DB4"/>
    <w:rsid w:val="003A59EB"/>
    <w:rsid w:val="003B0A1B"/>
    <w:rsid w:val="003B0C3F"/>
    <w:rsid w:val="003B1337"/>
    <w:rsid w:val="003B68EE"/>
    <w:rsid w:val="003C1D95"/>
    <w:rsid w:val="003C2046"/>
    <w:rsid w:val="003D3637"/>
    <w:rsid w:val="003D4053"/>
    <w:rsid w:val="003F19ED"/>
    <w:rsid w:val="00405654"/>
    <w:rsid w:val="00415DAC"/>
    <w:rsid w:val="00417D07"/>
    <w:rsid w:val="00423727"/>
    <w:rsid w:val="00425594"/>
    <w:rsid w:val="00433E18"/>
    <w:rsid w:val="004413A7"/>
    <w:rsid w:val="00452C3E"/>
    <w:rsid w:val="00454858"/>
    <w:rsid w:val="00465703"/>
    <w:rsid w:val="004717BA"/>
    <w:rsid w:val="0047535F"/>
    <w:rsid w:val="00477BAB"/>
    <w:rsid w:val="00480482"/>
    <w:rsid w:val="00483324"/>
    <w:rsid w:val="00490B28"/>
    <w:rsid w:val="004B6427"/>
    <w:rsid w:val="004C4514"/>
    <w:rsid w:val="004C47E8"/>
    <w:rsid w:val="004D07BC"/>
    <w:rsid w:val="004E220D"/>
    <w:rsid w:val="004E29DD"/>
    <w:rsid w:val="004E4BF6"/>
    <w:rsid w:val="004F2BEA"/>
    <w:rsid w:val="004F7EB7"/>
    <w:rsid w:val="00501508"/>
    <w:rsid w:val="0050393A"/>
    <w:rsid w:val="00520873"/>
    <w:rsid w:val="00535CD9"/>
    <w:rsid w:val="005541E8"/>
    <w:rsid w:val="00555177"/>
    <w:rsid w:val="005642FB"/>
    <w:rsid w:val="00564AC9"/>
    <w:rsid w:val="00564EEA"/>
    <w:rsid w:val="00584ADD"/>
    <w:rsid w:val="005A0BC6"/>
    <w:rsid w:val="005A4974"/>
    <w:rsid w:val="005B1996"/>
    <w:rsid w:val="005B2F55"/>
    <w:rsid w:val="005B4DB0"/>
    <w:rsid w:val="005C0B39"/>
    <w:rsid w:val="005C7204"/>
    <w:rsid w:val="005D43FB"/>
    <w:rsid w:val="005D70FA"/>
    <w:rsid w:val="005E2581"/>
    <w:rsid w:val="005E67FF"/>
    <w:rsid w:val="005F47B8"/>
    <w:rsid w:val="005F7E1C"/>
    <w:rsid w:val="00601B4E"/>
    <w:rsid w:val="00602363"/>
    <w:rsid w:val="00603ACF"/>
    <w:rsid w:val="00616027"/>
    <w:rsid w:val="00616BBE"/>
    <w:rsid w:val="00623D4D"/>
    <w:rsid w:val="00625103"/>
    <w:rsid w:val="00626A82"/>
    <w:rsid w:val="00627F2E"/>
    <w:rsid w:val="0063047C"/>
    <w:rsid w:val="006304FE"/>
    <w:rsid w:val="00635953"/>
    <w:rsid w:val="00653931"/>
    <w:rsid w:val="006558B6"/>
    <w:rsid w:val="00656627"/>
    <w:rsid w:val="00665767"/>
    <w:rsid w:val="0067614D"/>
    <w:rsid w:val="00690A9C"/>
    <w:rsid w:val="006A6CA2"/>
    <w:rsid w:val="006B3370"/>
    <w:rsid w:val="006C0980"/>
    <w:rsid w:val="006C510C"/>
    <w:rsid w:val="006D7DCD"/>
    <w:rsid w:val="006F110E"/>
    <w:rsid w:val="006F4D88"/>
    <w:rsid w:val="006F6820"/>
    <w:rsid w:val="0071422B"/>
    <w:rsid w:val="007168CB"/>
    <w:rsid w:val="00720CB2"/>
    <w:rsid w:val="007235C0"/>
    <w:rsid w:val="00737BE7"/>
    <w:rsid w:val="00741927"/>
    <w:rsid w:val="007426C2"/>
    <w:rsid w:val="00742B4F"/>
    <w:rsid w:val="007475A5"/>
    <w:rsid w:val="00751FBC"/>
    <w:rsid w:val="0075703C"/>
    <w:rsid w:val="00773049"/>
    <w:rsid w:val="00777BEB"/>
    <w:rsid w:val="00780806"/>
    <w:rsid w:val="0078091D"/>
    <w:rsid w:val="007812A6"/>
    <w:rsid w:val="007853DA"/>
    <w:rsid w:val="00785494"/>
    <w:rsid w:val="0079099E"/>
    <w:rsid w:val="007A0EAE"/>
    <w:rsid w:val="007A5724"/>
    <w:rsid w:val="007A7D02"/>
    <w:rsid w:val="007C62F4"/>
    <w:rsid w:val="007D2924"/>
    <w:rsid w:val="007D6FC3"/>
    <w:rsid w:val="007E3E71"/>
    <w:rsid w:val="007E769C"/>
    <w:rsid w:val="007F53FE"/>
    <w:rsid w:val="0080059F"/>
    <w:rsid w:val="00802DFF"/>
    <w:rsid w:val="00804CDB"/>
    <w:rsid w:val="008055F8"/>
    <w:rsid w:val="00810667"/>
    <w:rsid w:val="00812280"/>
    <w:rsid w:val="008127FA"/>
    <w:rsid w:val="0081754F"/>
    <w:rsid w:val="008213B0"/>
    <w:rsid w:val="00830A5D"/>
    <w:rsid w:val="0083242B"/>
    <w:rsid w:val="0087153B"/>
    <w:rsid w:val="00876FA7"/>
    <w:rsid w:val="0087778D"/>
    <w:rsid w:val="00882B22"/>
    <w:rsid w:val="008830E1"/>
    <w:rsid w:val="00894B7F"/>
    <w:rsid w:val="00896334"/>
    <w:rsid w:val="008A1085"/>
    <w:rsid w:val="008A5A50"/>
    <w:rsid w:val="008A6B18"/>
    <w:rsid w:val="008A72A6"/>
    <w:rsid w:val="008C03DE"/>
    <w:rsid w:val="008C6126"/>
    <w:rsid w:val="008D431B"/>
    <w:rsid w:val="008D5D7F"/>
    <w:rsid w:val="008E4909"/>
    <w:rsid w:val="008E678F"/>
    <w:rsid w:val="008E7E9A"/>
    <w:rsid w:val="008F4F4D"/>
    <w:rsid w:val="0091786C"/>
    <w:rsid w:val="00921DE1"/>
    <w:rsid w:val="00922812"/>
    <w:rsid w:val="00931AE9"/>
    <w:rsid w:val="0093239E"/>
    <w:rsid w:val="009423E6"/>
    <w:rsid w:val="00950644"/>
    <w:rsid w:val="0096259C"/>
    <w:rsid w:val="00963967"/>
    <w:rsid w:val="00976CA7"/>
    <w:rsid w:val="009855C9"/>
    <w:rsid w:val="009923B9"/>
    <w:rsid w:val="00995E87"/>
    <w:rsid w:val="009961DA"/>
    <w:rsid w:val="0099672B"/>
    <w:rsid w:val="00996D02"/>
    <w:rsid w:val="009A252D"/>
    <w:rsid w:val="009C3F52"/>
    <w:rsid w:val="009D24DD"/>
    <w:rsid w:val="009D2E0E"/>
    <w:rsid w:val="009F6A50"/>
    <w:rsid w:val="009F74FE"/>
    <w:rsid w:val="00A044C5"/>
    <w:rsid w:val="00A04F71"/>
    <w:rsid w:val="00A1118A"/>
    <w:rsid w:val="00A12F94"/>
    <w:rsid w:val="00A24260"/>
    <w:rsid w:val="00A36101"/>
    <w:rsid w:val="00A435B3"/>
    <w:rsid w:val="00A46061"/>
    <w:rsid w:val="00A51414"/>
    <w:rsid w:val="00A5302A"/>
    <w:rsid w:val="00A54CCE"/>
    <w:rsid w:val="00A60119"/>
    <w:rsid w:val="00AA6293"/>
    <w:rsid w:val="00AD2AD0"/>
    <w:rsid w:val="00AD47C0"/>
    <w:rsid w:val="00AD7181"/>
    <w:rsid w:val="00AF2AB5"/>
    <w:rsid w:val="00AF648A"/>
    <w:rsid w:val="00AF683D"/>
    <w:rsid w:val="00B0162E"/>
    <w:rsid w:val="00B01804"/>
    <w:rsid w:val="00B06D78"/>
    <w:rsid w:val="00B154F1"/>
    <w:rsid w:val="00B165C8"/>
    <w:rsid w:val="00B17298"/>
    <w:rsid w:val="00B30848"/>
    <w:rsid w:val="00B32A9E"/>
    <w:rsid w:val="00B32DD7"/>
    <w:rsid w:val="00B458B5"/>
    <w:rsid w:val="00B50D40"/>
    <w:rsid w:val="00B56815"/>
    <w:rsid w:val="00B656C3"/>
    <w:rsid w:val="00B67C38"/>
    <w:rsid w:val="00B717A4"/>
    <w:rsid w:val="00B753A4"/>
    <w:rsid w:val="00B775FB"/>
    <w:rsid w:val="00B80EDB"/>
    <w:rsid w:val="00B81A9C"/>
    <w:rsid w:val="00B906B4"/>
    <w:rsid w:val="00B937F9"/>
    <w:rsid w:val="00B976E5"/>
    <w:rsid w:val="00BA05C4"/>
    <w:rsid w:val="00BA1F76"/>
    <w:rsid w:val="00BB1614"/>
    <w:rsid w:val="00BB7F7D"/>
    <w:rsid w:val="00BC4913"/>
    <w:rsid w:val="00BC7DE4"/>
    <w:rsid w:val="00BD1C46"/>
    <w:rsid w:val="00BD2AAD"/>
    <w:rsid w:val="00BD6B46"/>
    <w:rsid w:val="00BD70E3"/>
    <w:rsid w:val="00BE0A98"/>
    <w:rsid w:val="00BE0B2E"/>
    <w:rsid w:val="00BF6E06"/>
    <w:rsid w:val="00C05BEB"/>
    <w:rsid w:val="00C11370"/>
    <w:rsid w:val="00C30CA7"/>
    <w:rsid w:val="00C3285A"/>
    <w:rsid w:val="00C349B9"/>
    <w:rsid w:val="00C3744E"/>
    <w:rsid w:val="00C45112"/>
    <w:rsid w:val="00C466F5"/>
    <w:rsid w:val="00C47C07"/>
    <w:rsid w:val="00C61188"/>
    <w:rsid w:val="00C62672"/>
    <w:rsid w:val="00C64860"/>
    <w:rsid w:val="00C76EC8"/>
    <w:rsid w:val="00C83217"/>
    <w:rsid w:val="00C83B13"/>
    <w:rsid w:val="00C95427"/>
    <w:rsid w:val="00CA2A27"/>
    <w:rsid w:val="00CA7C33"/>
    <w:rsid w:val="00CC20C3"/>
    <w:rsid w:val="00CC23F2"/>
    <w:rsid w:val="00CD2AC3"/>
    <w:rsid w:val="00CE6837"/>
    <w:rsid w:val="00CF6118"/>
    <w:rsid w:val="00D061CB"/>
    <w:rsid w:val="00D07A08"/>
    <w:rsid w:val="00D07EC6"/>
    <w:rsid w:val="00D146C3"/>
    <w:rsid w:val="00D15AA6"/>
    <w:rsid w:val="00D31F2E"/>
    <w:rsid w:val="00D42D3C"/>
    <w:rsid w:val="00D568CF"/>
    <w:rsid w:val="00D57000"/>
    <w:rsid w:val="00D57133"/>
    <w:rsid w:val="00D5720D"/>
    <w:rsid w:val="00D57BB9"/>
    <w:rsid w:val="00D60F5D"/>
    <w:rsid w:val="00D61326"/>
    <w:rsid w:val="00D63449"/>
    <w:rsid w:val="00D839F5"/>
    <w:rsid w:val="00D86777"/>
    <w:rsid w:val="00D96778"/>
    <w:rsid w:val="00D96EF6"/>
    <w:rsid w:val="00D97BD2"/>
    <w:rsid w:val="00DA659C"/>
    <w:rsid w:val="00DB259E"/>
    <w:rsid w:val="00DD0333"/>
    <w:rsid w:val="00DD2EC5"/>
    <w:rsid w:val="00DD476B"/>
    <w:rsid w:val="00DE0B02"/>
    <w:rsid w:val="00DE2EFE"/>
    <w:rsid w:val="00DE7D43"/>
    <w:rsid w:val="00DF7892"/>
    <w:rsid w:val="00E01046"/>
    <w:rsid w:val="00E07700"/>
    <w:rsid w:val="00E101B4"/>
    <w:rsid w:val="00E2478A"/>
    <w:rsid w:val="00E2486F"/>
    <w:rsid w:val="00E27CFD"/>
    <w:rsid w:val="00E3542A"/>
    <w:rsid w:val="00E46802"/>
    <w:rsid w:val="00E471BF"/>
    <w:rsid w:val="00E52D24"/>
    <w:rsid w:val="00E547BD"/>
    <w:rsid w:val="00E61413"/>
    <w:rsid w:val="00E65AAE"/>
    <w:rsid w:val="00E65F1B"/>
    <w:rsid w:val="00E66181"/>
    <w:rsid w:val="00E66716"/>
    <w:rsid w:val="00E8227D"/>
    <w:rsid w:val="00E82779"/>
    <w:rsid w:val="00E874F1"/>
    <w:rsid w:val="00E93A50"/>
    <w:rsid w:val="00EA379F"/>
    <w:rsid w:val="00EB6DB5"/>
    <w:rsid w:val="00EC11DC"/>
    <w:rsid w:val="00EE167A"/>
    <w:rsid w:val="00EE2482"/>
    <w:rsid w:val="00EF3DF4"/>
    <w:rsid w:val="00EF6289"/>
    <w:rsid w:val="00F14874"/>
    <w:rsid w:val="00F27D43"/>
    <w:rsid w:val="00F35E84"/>
    <w:rsid w:val="00F363C1"/>
    <w:rsid w:val="00F374CD"/>
    <w:rsid w:val="00F42675"/>
    <w:rsid w:val="00F45B30"/>
    <w:rsid w:val="00F5728F"/>
    <w:rsid w:val="00F57892"/>
    <w:rsid w:val="00F61520"/>
    <w:rsid w:val="00F61ECB"/>
    <w:rsid w:val="00F63C49"/>
    <w:rsid w:val="00F71197"/>
    <w:rsid w:val="00F7128A"/>
    <w:rsid w:val="00F76024"/>
    <w:rsid w:val="00F82BBA"/>
    <w:rsid w:val="00F82DA3"/>
    <w:rsid w:val="00FA00FA"/>
    <w:rsid w:val="00FA5B8B"/>
    <w:rsid w:val="00FA75AA"/>
    <w:rsid w:val="00FB2741"/>
    <w:rsid w:val="00FC6E29"/>
    <w:rsid w:val="00FC6E92"/>
    <w:rsid w:val="00FD2459"/>
    <w:rsid w:val="00FE054B"/>
    <w:rsid w:val="00FF56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105">
      <w:bodyDiv w:val="1"/>
      <w:marLeft w:val="0"/>
      <w:marRight w:val="0"/>
      <w:marTop w:val="0"/>
      <w:marBottom w:val="0"/>
      <w:divBdr>
        <w:top w:val="none" w:sz="0" w:space="0" w:color="auto"/>
        <w:left w:val="none" w:sz="0" w:space="0" w:color="auto"/>
        <w:bottom w:val="none" w:sz="0" w:space="0" w:color="auto"/>
        <w:right w:val="none" w:sz="0" w:space="0" w:color="auto"/>
      </w:divBdr>
    </w:div>
    <w:div w:id="254947081">
      <w:bodyDiv w:val="1"/>
      <w:marLeft w:val="0"/>
      <w:marRight w:val="0"/>
      <w:marTop w:val="0"/>
      <w:marBottom w:val="0"/>
      <w:divBdr>
        <w:top w:val="none" w:sz="0" w:space="0" w:color="auto"/>
        <w:left w:val="none" w:sz="0" w:space="0" w:color="auto"/>
        <w:bottom w:val="none" w:sz="0" w:space="0" w:color="auto"/>
        <w:right w:val="none" w:sz="0" w:space="0" w:color="auto"/>
      </w:divBdr>
    </w:div>
    <w:div w:id="42666018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03640734">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707095922">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F2F8-288D-4822-87B1-290329F8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IDulovic</dc:creator>
  <cp:lastModifiedBy>IDulovic</cp:lastModifiedBy>
  <cp:revision>5</cp:revision>
  <cp:lastPrinted>2014-09-09T10:30:00Z</cp:lastPrinted>
  <dcterms:created xsi:type="dcterms:W3CDTF">2014-10-28T09:40:00Z</dcterms:created>
  <dcterms:modified xsi:type="dcterms:W3CDTF">2014-10-28T09:51:00Z</dcterms:modified>
</cp:coreProperties>
</file>