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6F05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9B6D9EC" w14:textId="77777777" w:rsidR="00330905" w:rsidRPr="007C400C" w:rsidRDefault="00330905" w:rsidP="00330905">
      <w:pPr>
        <w:rPr>
          <w:sz w:val="2"/>
        </w:rPr>
      </w:pPr>
    </w:p>
    <w:p w14:paraId="56D31B0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BC0FC1C" w14:textId="77777777" w:rsidR="003B3D2F" w:rsidRDefault="003B3D2F" w:rsidP="00330905">
      <w:pPr>
        <w:rPr>
          <w:rFonts w:cs="Arial"/>
          <w:sz w:val="18"/>
          <w:szCs w:val="18"/>
        </w:rPr>
      </w:pPr>
    </w:p>
    <w:p w14:paraId="3594C831" w14:textId="77777777" w:rsidR="003B3D2F" w:rsidRDefault="003B3D2F" w:rsidP="00330905">
      <w:pPr>
        <w:rPr>
          <w:rFonts w:cs="Arial"/>
          <w:sz w:val="18"/>
          <w:szCs w:val="18"/>
        </w:rPr>
      </w:pPr>
    </w:p>
    <w:p w14:paraId="27D0C9C2" w14:textId="77777777" w:rsidR="003B3D2F" w:rsidRDefault="003B3D2F" w:rsidP="00330905">
      <w:pPr>
        <w:rPr>
          <w:rFonts w:cs="Arial"/>
          <w:sz w:val="18"/>
          <w:szCs w:val="18"/>
        </w:rPr>
      </w:pPr>
    </w:p>
    <w:p w14:paraId="0FD8D5AC" w14:textId="0436A13E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5F4CCB">
        <w:rPr>
          <w:rFonts w:cs="Arial"/>
          <w:sz w:val="18"/>
          <w:szCs w:val="18"/>
        </w:rPr>
        <w:t xml:space="preserve"> </w:t>
      </w:r>
      <w:r w:rsidR="00E82C86">
        <w:rPr>
          <w:rFonts w:cs="Arial"/>
          <w:sz w:val="18"/>
        </w:rPr>
        <w:t>i marketing</w:t>
      </w:r>
    </w:p>
    <w:p w14:paraId="0C89D1D3" w14:textId="77777777" w:rsidR="00330905" w:rsidRPr="0076546A" w:rsidRDefault="00330905" w:rsidP="00330905">
      <w:pPr>
        <w:rPr>
          <w:rFonts w:cs="Arial"/>
          <w:sz w:val="18"/>
        </w:rPr>
      </w:pPr>
    </w:p>
    <w:p w14:paraId="1E4330D2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12B49F5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5279AB" w14:textId="77777777" w:rsidR="00330905" w:rsidRPr="0076546A" w:rsidRDefault="00330905" w:rsidP="00330905">
      <w:pPr>
        <w:rPr>
          <w:rFonts w:cs="Arial"/>
          <w:sz w:val="2"/>
        </w:rPr>
      </w:pPr>
    </w:p>
    <w:p w14:paraId="15126885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E40702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91BB76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758A50C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EC065AB" w14:textId="77777777" w:rsidR="00330905" w:rsidRPr="0076546A" w:rsidRDefault="00330905" w:rsidP="00330905">
      <w:pPr>
        <w:rPr>
          <w:rFonts w:cs="Arial"/>
          <w:sz w:val="18"/>
        </w:rPr>
      </w:pPr>
    </w:p>
    <w:p w14:paraId="660946AE" w14:textId="77777777" w:rsidR="00330905" w:rsidRPr="0076546A" w:rsidRDefault="00330905" w:rsidP="00330905">
      <w:pPr>
        <w:rPr>
          <w:rFonts w:cs="Arial"/>
          <w:sz w:val="18"/>
        </w:rPr>
      </w:pPr>
    </w:p>
    <w:p w14:paraId="0CE98144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510D16F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F9CF258" w14:textId="5716E339" w:rsidR="00330905" w:rsidRPr="0076546A" w:rsidRDefault="00330905" w:rsidP="00CE269E">
      <w:pPr>
        <w:tabs>
          <w:tab w:val="left" w:pos="8220"/>
        </w:tabs>
        <w:ind w:left="5664"/>
        <w:jc w:val="center"/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76546A">
        <w:rPr>
          <w:rFonts w:cs="Arial"/>
          <w:b/>
        </w:rPr>
        <w:t>PRIOPĆENJE</w:t>
      </w:r>
      <w:r w:rsidR="00CE269E">
        <w:rPr>
          <w:rFonts w:cs="Arial"/>
          <w:b/>
        </w:rPr>
        <w:t xml:space="preserve"> ZA MEDIJE</w:t>
      </w:r>
    </w:p>
    <w:p w14:paraId="6309CD5E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8FB9B7D" w14:textId="4F64433C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0D649CA4" w14:textId="33B66996" w:rsidR="009D13EB" w:rsidRPr="00CE269E" w:rsidRDefault="00C73590" w:rsidP="00CE269E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4B268AFF" w14:textId="77777777" w:rsidR="0054183E" w:rsidRDefault="0054183E" w:rsidP="00CE269E">
      <w:pPr>
        <w:spacing w:before="120"/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 w:rsidRPr="0054183E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Donesena odluka o ulaganju u Postrojenje za obradu teških ostataka u Rafineriji nafte Rijeka </w:t>
      </w:r>
    </w:p>
    <w:p w14:paraId="523ACF3A" w14:textId="30E4A409" w:rsidR="0054183E" w:rsidRPr="0054183E" w:rsidRDefault="00CE269E" w:rsidP="0054183E">
      <w:pPr>
        <w:spacing w:before="120"/>
        <w:jc w:val="both"/>
        <w:rPr>
          <w:rFonts w:ascii="Calibri" w:hAnsi="Calibri" w:cs="Calibri"/>
          <w:b/>
          <w:szCs w:val="22"/>
        </w:rPr>
      </w:pPr>
      <w:r w:rsidRPr="00CE269E">
        <w:rPr>
          <w:rFonts w:ascii="Calibri" w:hAnsi="Calibri" w:cs="Calibri"/>
          <w:b/>
          <w:szCs w:val="22"/>
        </w:rPr>
        <w:t xml:space="preserve">Zagreb, 12. prosinca 2019. – </w:t>
      </w:r>
      <w:r w:rsidR="0054183E" w:rsidRPr="0054183E">
        <w:rPr>
          <w:rFonts w:ascii="Calibri" w:hAnsi="Calibri" w:cs="Calibri"/>
          <w:b/>
          <w:szCs w:val="22"/>
        </w:rPr>
        <w:t>Nadzorni odbor Ine danas je dao prethodnu suglasnost za izgradnju postrojenja za obradu teških ostataka u Rafineriji nafte Rijeka, a Uprava Ine je donijela jedno</w:t>
      </w:r>
      <w:r w:rsidR="0054183E">
        <w:rPr>
          <w:rFonts w:ascii="Calibri" w:hAnsi="Calibri" w:cs="Calibri"/>
          <w:b/>
          <w:szCs w:val="22"/>
        </w:rPr>
        <w:t xml:space="preserve">glasnu odluku o ulaganju. </w:t>
      </w:r>
      <w:r w:rsidR="0054183E" w:rsidRPr="0054183E">
        <w:rPr>
          <w:rFonts w:ascii="Calibri" w:hAnsi="Calibri" w:cs="Calibri"/>
          <w:b/>
          <w:szCs w:val="22"/>
        </w:rPr>
        <w:t xml:space="preserve">Odluku kojom će se osigurati budućnost Ininog rafinerijskog poslovanja u potpunosti su podržali Vlada Republike Hrvatske i MOL kao dva najveća pojedinačna dioničara. </w:t>
      </w:r>
    </w:p>
    <w:p w14:paraId="12F9A8BD" w14:textId="31DC08DC" w:rsidR="0054183E" w:rsidRPr="0089290F" w:rsidRDefault="0054183E" w:rsidP="0054183E">
      <w:pPr>
        <w:spacing w:before="120"/>
        <w:jc w:val="both"/>
        <w:rPr>
          <w:rFonts w:ascii="Calibri" w:hAnsi="Calibri" w:cs="Calibri"/>
          <w:b/>
          <w:szCs w:val="22"/>
        </w:rPr>
      </w:pPr>
      <w:r w:rsidRPr="0054183E">
        <w:rPr>
          <w:rFonts w:ascii="Calibri" w:hAnsi="Calibri" w:cs="Calibri"/>
          <w:b/>
          <w:szCs w:val="22"/>
        </w:rPr>
        <w:t xml:space="preserve">Zahvaljujući postrojenju za obradu teških ostataka, struktura proizvoda riječke rafinerije će se </w:t>
      </w:r>
      <w:r w:rsidRPr="0089290F">
        <w:rPr>
          <w:rFonts w:ascii="Calibri" w:hAnsi="Calibri" w:cs="Calibri"/>
          <w:b/>
          <w:szCs w:val="22"/>
        </w:rPr>
        <w:t>poboljšati na način da će se povećati udio profitabilnih bijelih proizvoda, to jest motornih goriva.</w:t>
      </w:r>
      <w:r w:rsidR="0089290F" w:rsidRPr="0089290F">
        <w:rPr>
          <w:rFonts w:ascii="Calibri" w:hAnsi="Calibri" w:cs="Calibri"/>
          <w:b/>
          <w:szCs w:val="22"/>
        </w:rPr>
        <w:t xml:space="preserve"> Proizvodnja će pokriti sve potrebe tržišta i eliminirati uvoz</w:t>
      </w:r>
      <w:r w:rsidR="0089290F" w:rsidRPr="0089290F">
        <w:rPr>
          <w:rFonts w:ascii="Calibri" w:hAnsi="Calibri" w:cs="Calibri"/>
          <w:b/>
          <w:szCs w:val="22"/>
        </w:rPr>
        <w:t>.</w:t>
      </w:r>
      <w:r w:rsidRPr="0089290F">
        <w:rPr>
          <w:rFonts w:ascii="Calibri" w:hAnsi="Calibri" w:cs="Calibri"/>
          <w:b/>
          <w:szCs w:val="22"/>
        </w:rPr>
        <w:t xml:space="preserve"> Radovi na novom postrojenju započet će ubrzo, dok je puštanje u rad planirano za 2023.</w:t>
      </w:r>
    </w:p>
    <w:p w14:paraId="703AFF6B" w14:textId="77777777" w:rsidR="0054183E" w:rsidRPr="0054183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89290F">
        <w:rPr>
          <w:rFonts w:ascii="Calibri" w:hAnsi="Calibri" w:cs="Calibri"/>
          <w:szCs w:val="22"/>
        </w:rPr>
        <w:t>Ulaganjem u projekt postrojenja za obradu teških ostataka, rekonstrukcijom postojećih postrojenja, novom lukom sa zatvorenim skladištem za naftni k</w:t>
      </w:r>
      <w:bookmarkStart w:id="0" w:name="_GoBack"/>
      <w:bookmarkEnd w:id="0"/>
      <w:r w:rsidRPr="0089290F">
        <w:rPr>
          <w:rFonts w:ascii="Calibri" w:hAnsi="Calibri" w:cs="Calibri"/>
          <w:szCs w:val="22"/>
        </w:rPr>
        <w:t>oks te većom ukupnom složenosti, Rafinerija nafte Rijeka postat će moderna europska rafinerija. Ukupna ulaganja</w:t>
      </w:r>
      <w:r w:rsidRPr="0054183E">
        <w:rPr>
          <w:rFonts w:ascii="Calibri" w:hAnsi="Calibri" w:cs="Calibri"/>
          <w:szCs w:val="22"/>
        </w:rPr>
        <w:t xml:space="preserve"> vrijedna su oko četiri milijarde kuna, što predstavlja najveći pojedinačni investicijski projekt u povijesti kompanije u Hrvatskoj. </w:t>
      </w:r>
    </w:p>
    <w:p w14:paraId="2265ADB9" w14:textId="77777777" w:rsidR="0054183E" w:rsidRPr="0054183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54183E">
        <w:rPr>
          <w:rFonts w:ascii="Calibri" w:hAnsi="Calibri" w:cs="Calibri"/>
          <w:szCs w:val="22"/>
        </w:rPr>
        <w:t>G. Sándor Fasimon, predsjednik Uprave Ine,  rekao je: „</w:t>
      </w:r>
      <w:r w:rsidRPr="0054183E">
        <w:rPr>
          <w:rFonts w:ascii="Calibri" w:hAnsi="Calibri" w:cs="Calibri"/>
          <w:i/>
          <w:szCs w:val="22"/>
        </w:rPr>
        <w:t>Odluka o postrojenju za obradu teških ostataka označava važan korak u provedbi programa INA R&amp;M Novi smjer 2023., kao i važan trenutak u povijesti kompanije. Ovom odlukom Rafinerija nafte Rijeka transformirat će se u modernu europsku rafineriju, a istovremeno će se osigurati da INA zadrži vodeći položaj na tržištu. Radi se o velikom ulaganju koje će znatno utjecati na poslovanje kompanije u budućnosti.</w:t>
      </w:r>
      <w:r w:rsidRPr="0054183E">
        <w:rPr>
          <w:rFonts w:ascii="Calibri" w:hAnsi="Calibri" w:cs="Calibri"/>
          <w:szCs w:val="22"/>
        </w:rPr>
        <w:t>“</w:t>
      </w:r>
    </w:p>
    <w:p w14:paraId="31C663CE" w14:textId="77777777" w:rsidR="0054183E" w:rsidRPr="0054183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54183E">
        <w:rPr>
          <w:rFonts w:ascii="Calibri" w:hAnsi="Calibri" w:cs="Calibri"/>
          <w:szCs w:val="22"/>
        </w:rPr>
        <w:t>G. Tomislav Ćorić, ministar zaštite okoliša i energetike u Vladi RH, rekao je: „</w:t>
      </w:r>
      <w:r w:rsidRPr="0054183E">
        <w:rPr>
          <w:rFonts w:ascii="Calibri" w:hAnsi="Calibri" w:cs="Calibri"/>
          <w:i/>
          <w:szCs w:val="22"/>
        </w:rPr>
        <w:t>Današnjom odlukom o pokretanju projekta modernizacije Rafinerije nafte Rijeka INA radi velik iskorak. Radi se o jednom od najvećih ulaganja u našem energetskom sektoru i drago mi je da je ono realizirano upravo za vrijeme mandata ove Vlade. Ovom će se investicijom unaprijediti struktura proizvoda iz Rijeke, povećati profitabilnost i unaprijediti konkurentnost Ine u području zaštite okoliša znatnim smanjenjem emisije CO2 i ostalih štetnih plinova</w:t>
      </w:r>
      <w:r w:rsidRPr="0054183E">
        <w:rPr>
          <w:rFonts w:ascii="Calibri" w:hAnsi="Calibri" w:cs="Calibri"/>
          <w:szCs w:val="22"/>
        </w:rPr>
        <w:t xml:space="preserve">.” </w:t>
      </w:r>
    </w:p>
    <w:p w14:paraId="22EFA842" w14:textId="39046086" w:rsidR="0054183E" w:rsidRPr="0054183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54183E">
        <w:rPr>
          <w:rFonts w:ascii="Calibri" w:hAnsi="Calibri" w:cs="Calibri"/>
          <w:szCs w:val="22"/>
        </w:rPr>
        <w:t xml:space="preserve">G. </w:t>
      </w:r>
      <w:proofErr w:type="spellStart"/>
      <w:r w:rsidR="00702186" w:rsidRPr="00702186">
        <w:rPr>
          <w:rFonts w:ascii="Calibri" w:hAnsi="Calibri" w:cs="Calibri"/>
          <w:szCs w:val="22"/>
        </w:rPr>
        <w:t>József</w:t>
      </w:r>
      <w:proofErr w:type="spellEnd"/>
      <w:r w:rsidR="00702186" w:rsidRPr="00702186">
        <w:rPr>
          <w:rFonts w:ascii="Calibri" w:hAnsi="Calibri" w:cs="Calibri"/>
          <w:szCs w:val="22"/>
        </w:rPr>
        <w:t xml:space="preserve"> Molnár</w:t>
      </w:r>
      <w:r w:rsidRPr="0054183E">
        <w:rPr>
          <w:rFonts w:ascii="Calibri" w:hAnsi="Calibri" w:cs="Calibri"/>
          <w:szCs w:val="22"/>
        </w:rPr>
        <w:t>, glavni izvršni direktor MOL Grupe</w:t>
      </w:r>
      <w:r w:rsidR="0011030C" w:rsidRPr="0011030C">
        <w:rPr>
          <w:rFonts w:ascii="Calibri" w:hAnsi="Calibri" w:cs="Calibri"/>
          <w:szCs w:val="22"/>
        </w:rPr>
        <w:t xml:space="preserve"> </w:t>
      </w:r>
      <w:r w:rsidR="0011030C">
        <w:rPr>
          <w:rFonts w:ascii="Calibri" w:hAnsi="Calibri" w:cs="Calibri"/>
          <w:szCs w:val="22"/>
        </w:rPr>
        <w:t xml:space="preserve">i </w:t>
      </w:r>
      <w:r w:rsidR="001E4CFA">
        <w:rPr>
          <w:rFonts w:ascii="Calibri" w:hAnsi="Calibri" w:cs="Calibri"/>
          <w:szCs w:val="22"/>
        </w:rPr>
        <w:t>zamjenik predsjednika</w:t>
      </w:r>
      <w:r w:rsidR="0011030C" w:rsidRPr="0054183E">
        <w:rPr>
          <w:rFonts w:ascii="Calibri" w:hAnsi="Calibri" w:cs="Calibri"/>
          <w:szCs w:val="22"/>
        </w:rPr>
        <w:t xml:space="preserve"> Nadzornog odbora Ine</w:t>
      </w:r>
      <w:r w:rsidRPr="0054183E">
        <w:rPr>
          <w:rFonts w:ascii="Calibri" w:hAnsi="Calibri" w:cs="Calibri"/>
          <w:szCs w:val="22"/>
        </w:rPr>
        <w:t>, izjavio je: „</w:t>
      </w:r>
      <w:r w:rsidRPr="0054183E">
        <w:rPr>
          <w:rFonts w:ascii="Calibri" w:hAnsi="Calibri" w:cs="Calibri"/>
          <w:i/>
          <w:szCs w:val="22"/>
        </w:rPr>
        <w:t xml:space="preserve">Ova odluka dokazuje posvećenost MOL Grupe Ini. Izgradnjom postrojenja za obradu teških ostataka značajno ćemo povećati složenost i učinkovitost riječke rafinerije. Čvrsto vjerujem da će se konkurentnost </w:t>
      </w:r>
      <w:r w:rsidRPr="0054183E">
        <w:rPr>
          <w:rFonts w:ascii="Calibri" w:hAnsi="Calibri" w:cs="Calibri"/>
          <w:i/>
          <w:szCs w:val="22"/>
        </w:rPr>
        <w:lastRenderedPageBreak/>
        <w:t>Inine djelatnosti Rafinerije i marketing dodatno poboljšati nakon početka rada postrojenja te da će ova investicija imati značajan pozitivan utjecaj na profitabilnost kompanije u budućnosti.</w:t>
      </w:r>
      <w:r w:rsidRPr="0054183E">
        <w:rPr>
          <w:rFonts w:ascii="Calibri" w:hAnsi="Calibri" w:cs="Calibri"/>
          <w:szCs w:val="22"/>
        </w:rPr>
        <w:t>"</w:t>
      </w:r>
    </w:p>
    <w:p w14:paraId="5F16BE52" w14:textId="77777777" w:rsidR="0054183E" w:rsidRPr="0054183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54183E">
        <w:rPr>
          <w:rFonts w:ascii="Calibri" w:hAnsi="Calibri" w:cs="Calibri"/>
          <w:szCs w:val="22"/>
        </w:rPr>
        <w:t>Odluka o postrojenju za obradu teških ostataka dolazi godinu dana nakon najave programa INA R&amp;M Novi smjer 2023., čiji je cilj transformacija Inina rafinerijskog sustava kako bi umjesto gubitaka ostvarivao dobit. Program uključuje koncentraciju djelatnosti prerade sirove nafte u Republici Hrvatskoj u Rafineriji nafte Rijeka i, u sklopu toga, konverziju Rafinerije nafte Sisak u industrijski centar koji će obuhvaćati proizvodnju bitumena, što je odobreno u ožujku ove godine te se puštanje u pogon planira u 2021., zatim logističko središte te, potencijalno, proizvodnju maziva i rafineriju bio-komponenti. Uz provođenje svih aktivnosti obuhvaćenih programom INA R&amp;M Novi smjer 2023., nakon 2023. godine INA očekuje prosječan godišnji rast EBITDA od preko milijardu kuna.</w:t>
      </w:r>
    </w:p>
    <w:p w14:paraId="21057064" w14:textId="06904189" w:rsidR="00CE269E" w:rsidRDefault="0054183E" w:rsidP="0054183E">
      <w:pPr>
        <w:spacing w:before="120"/>
        <w:jc w:val="both"/>
        <w:rPr>
          <w:rFonts w:ascii="Calibri" w:hAnsi="Calibri" w:cs="Calibri"/>
          <w:szCs w:val="22"/>
        </w:rPr>
      </w:pPr>
      <w:r w:rsidRPr="0054183E">
        <w:rPr>
          <w:rFonts w:ascii="Calibri" w:hAnsi="Calibri" w:cs="Calibri"/>
          <w:szCs w:val="22"/>
        </w:rPr>
        <w:t>Kompanija će i dalje o svim novostima obavještavati javnost.</w:t>
      </w:r>
    </w:p>
    <w:p w14:paraId="290EC4F4" w14:textId="42161489" w:rsidR="00C86678" w:rsidRDefault="00C86678" w:rsidP="0054183E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Video o postrojenju za obradu teških ostataka: </w:t>
      </w:r>
      <w:hyperlink r:id="rId20" w:history="1">
        <w:r w:rsidRPr="002C5650">
          <w:rPr>
            <w:rStyle w:val="Hyperlink"/>
            <w:rFonts w:ascii="Calibri" w:hAnsi="Calibri" w:cs="Calibri"/>
            <w:szCs w:val="22"/>
          </w:rPr>
          <w:t>https://tinyurl.com/INA-Rafinerija-nafte-Rijeka</w:t>
        </w:r>
      </w:hyperlink>
      <w:r>
        <w:rPr>
          <w:rFonts w:ascii="Calibri" w:hAnsi="Calibri" w:cs="Calibri"/>
          <w:szCs w:val="22"/>
        </w:rPr>
        <w:t xml:space="preserve"> </w:t>
      </w:r>
    </w:p>
    <w:p w14:paraId="672ECDE7" w14:textId="77777777" w:rsidR="0054183E" w:rsidRPr="00CE269E" w:rsidRDefault="0054183E" w:rsidP="0054183E">
      <w:pPr>
        <w:jc w:val="both"/>
        <w:rPr>
          <w:rFonts w:ascii="Calibri" w:hAnsi="Calibri" w:cs="Calibri"/>
          <w:szCs w:val="22"/>
        </w:rPr>
      </w:pPr>
    </w:p>
    <w:p w14:paraId="7B89AF6C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6C1BB82B" w14:textId="05D394F0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CE269E">
        <w:rPr>
          <w:rFonts w:asciiTheme="minorHAnsi" w:eastAsia="Calibri" w:hAnsiTheme="minorHAnsi" w:cs="Arial"/>
          <w:sz w:val="20"/>
          <w:szCs w:val="20"/>
        </w:rPr>
        <w:t xml:space="preserve">više od </w:t>
      </w:r>
      <w:r w:rsidR="00EC7601">
        <w:rPr>
          <w:rFonts w:asciiTheme="minorHAnsi" w:eastAsia="Calibri" w:hAnsiTheme="minorHAnsi" w:cs="Arial"/>
          <w:sz w:val="20"/>
          <w:szCs w:val="20"/>
        </w:rPr>
        <w:t>5</w:t>
      </w:r>
      <w:r w:rsidR="00CE269E">
        <w:rPr>
          <w:rFonts w:asciiTheme="minorHAnsi" w:eastAsia="Calibri" w:hAnsiTheme="minorHAnsi" w:cs="Arial"/>
          <w:sz w:val="20"/>
          <w:szCs w:val="20"/>
        </w:rPr>
        <w:t>0</w:t>
      </w:r>
      <w:r w:rsidR="00370E19">
        <w:rPr>
          <w:rFonts w:asciiTheme="minorHAnsi" w:eastAsia="Calibri" w:hAnsiTheme="minorHAnsi" w:cs="Arial"/>
          <w:sz w:val="20"/>
          <w:szCs w:val="20"/>
        </w:rPr>
        <w:t xml:space="preserve">0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E75463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413FB9B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DA84FB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D07C4D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83EE" w14:textId="77777777" w:rsidR="000153E6" w:rsidRDefault="000153E6">
      <w:r>
        <w:separator/>
      </w:r>
    </w:p>
  </w:endnote>
  <w:endnote w:type="continuationSeparator" w:id="0">
    <w:p w14:paraId="181C3740" w14:textId="77777777" w:rsidR="000153E6" w:rsidRDefault="000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4B93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EFD1A" w14:textId="77777777" w:rsidR="005922EC" w:rsidRDefault="000153E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A1B0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54B5C" wp14:editId="6EB8C61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9EFF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D9C76A" w14:textId="77777777" w:rsidR="005922EC" w:rsidRPr="00BE07FB" w:rsidRDefault="000153E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300EF80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BC3E54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3ECD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56BD28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4775C1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214547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F933F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34B89B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EFC69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A17746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D69A7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9396EE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60E9C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FF4C71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87853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60F6FF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474BC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F3293C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25B9FD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A290D8C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F16D7" w14:textId="77777777" w:rsidR="005922EC" w:rsidRDefault="000153E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2C03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583DE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EFE6A7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14758D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928AC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7002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0A7C7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956BF3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FF2B23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CAADC6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D5B2F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E3F37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A42C7D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EF91C5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5C1B1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B2A322" w14:textId="77777777" w:rsidR="005922EC" w:rsidRDefault="000153E6">
          <w:pPr>
            <w:pStyle w:val="Footer"/>
            <w:rPr>
              <w:rFonts w:cs="Arial"/>
              <w:sz w:val="12"/>
            </w:rPr>
          </w:pPr>
        </w:p>
      </w:tc>
    </w:tr>
    <w:tr w:rsidR="005922EC" w14:paraId="263ABD0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3F95E3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09F6FB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F8CB6BD" w14:textId="77777777" w:rsidR="005922EC" w:rsidRDefault="000153E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B379E" w14:textId="77777777" w:rsidR="005922EC" w:rsidRDefault="000153E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A182C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3224EEE" w14:textId="77777777" w:rsidR="005922EC" w:rsidRDefault="000153E6">
          <w:pPr>
            <w:pStyle w:val="Footer"/>
            <w:rPr>
              <w:rFonts w:cs="Arial"/>
              <w:sz w:val="12"/>
            </w:rPr>
          </w:pPr>
        </w:p>
      </w:tc>
    </w:tr>
  </w:tbl>
  <w:p w14:paraId="3671A036" w14:textId="77777777" w:rsidR="005922EC" w:rsidRPr="00BE07FB" w:rsidRDefault="000153E6">
    <w:pPr>
      <w:rPr>
        <w:sz w:val="2"/>
        <w:szCs w:val="2"/>
      </w:rPr>
    </w:pPr>
  </w:p>
  <w:p w14:paraId="401C1115" w14:textId="77777777" w:rsidR="005922EC" w:rsidRPr="00B976E5" w:rsidRDefault="000153E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4D4" w14:textId="77777777" w:rsidR="005922EC" w:rsidRDefault="000153E6" w:rsidP="005E2581">
    <w:pPr>
      <w:pStyle w:val="Footer"/>
      <w:ind w:right="360"/>
      <w:rPr>
        <w:sz w:val="2"/>
      </w:rPr>
    </w:pPr>
  </w:p>
  <w:p w14:paraId="54145DB6" w14:textId="77777777" w:rsidR="005922EC" w:rsidRDefault="000153E6">
    <w:pPr>
      <w:pStyle w:val="Footer"/>
      <w:rPr>
        <w:sz w:val="2"/>
      </w:rPr>
    </w:pPr>
  </w:p>
  <w:p w14:paraId="2C5C0355" w14:textId="77777777" w:rsidR="005922EC" w:rsidRDefault="000153E6" w:rsidP="001F421D">
    <w:pPr>
      <w:pStyle w:val="Footer"/>
      <w:ind w:right="360"/>
      <w:rPr>
        <w:sz w:val="2"/>
      </w:rPr>
    </w:pPr>
  </w:p>
  <w:p w14:paraId="60F8A327" w14:textId="77777777" w:rsidR="005922EC" w:rsidRDefault="000153E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8D577C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D97EFC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60339C" w14:textId="77777777" w:rsidR="005922EC" w:rsidRDefault="000153E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EF2BCC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5A88AE4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DE50E8B" w14:textId="77777777" w:rsidR="005922EC" w:rsidRPr="00374688" w:rsidRDefault="000153E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76BB7C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A77548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E6AD92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140C9D3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8B91F3" w14:textId="77777777" w:rsidR="005922EC" w:rsidRPr="00374688" w:rsidRDefault="000153E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EF9204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41906F5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F2CA66A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659041C" w14:textId="77777777" w:rsidR="005922EC" w:rsidRDefault="000153E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2C4F3D0E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53CADB9F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8B8A7C0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F086198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F94CCD3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A8294DE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E95D6CD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55E3B41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142313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9270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F2240F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E5E1337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A13EE90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9B3CC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1A6E77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B0B49B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17472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7113E9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B9B134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73F5E5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512F777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13AC4B21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46A5FDB1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584A2A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21FA3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888B1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F216F5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0B8043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E8675A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75BEF3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CF5EF4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1E90A6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441C1D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9B6A24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7BA48D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864A8B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A83E5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96C06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52162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8932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7A2603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B50F88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C5B9D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1B8E94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DD9BFE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A2DCFA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4042C2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F1F8D8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884F29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5C865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B9B9E5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1723E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ECA730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AC6A6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BB3F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0B4A2F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CDC9E1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6A9D9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D10D5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9E25C9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C06C16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A358CB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651B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8CCC81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3254E4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938187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80F429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C7A0E3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17F534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A9BC34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7CC553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02513B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8F32DC9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44303A55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93A9F35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FA5CF1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4EE7D71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3EFAE98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6E6163A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D0A036A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57B4A1DF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431DFA3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85D39C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B7F08D3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382459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929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89290F" w:rsidRPr="0089290F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65C9C218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7B2D70E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2F11545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96D7A59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827FE3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1515D1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929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89290F" w:rsidRPr="0089290F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7FB823F" w14:textId="77777777" w:rsidR="005922EC" w:rsidRPr="00B622A1" w:rsidRDefault="000153E6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6C0F" w14:textId="77777777" w:rsidR="005922EC" w:rsidRDefault="000153E6">
    <w:pPr>
      <w:pStyle w:val="Footer"/>
      <w:rPr>
        <w:sz w:val="2"/>
      </w:rPr>
    </w:pPr>
  </w:p>
  <w:p w14:paraId="7E3155E2" w14:textId="77777777" w:rsidR="005922EC" w:rsidRDefault="000153E6">
    <w:pPr>
      <w:pStyle w:val="Footer"/>
      <w:rPr>
        <w:sz w:val="2"/>
      </w:rPr>
    </w:pPr>
  </w:p>
  <w:p w14:paraId="45B8C885" w14:textId="77777777" w:rsidR="005922EC" w:rsidRPr="000164F0" w:rsidRDefault="000153E6">
    <w:pPr>
      <w:pStyle w:val="Footer"/>
      <w:rPr>
        <w:sz w:val="8"/>
        <w:szCs w:val="8"/>
      </w:rPr>
    </w:pPr>
  </w:p>
  <w:p w14:paraId="5CF17540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2BF769" w14:textId="77777777" w:rsidR="005922EC" w:rsidRDefault="000153E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16D730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A6BC51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65680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4F54FFE7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AEA2A9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6FDAD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22C101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F736C2C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A09B7F1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E257D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51A5C8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E51C419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1DCC6C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DC296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D01C32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7A7EBA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00872F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F2FF70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E258E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E5447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37F6C54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50E9AD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374860F" w14:textId="77777777" w:rsidR="005922EC" w:rsidRPr="00473D9C" w:rsidRDefault="000153E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78F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C4F144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0CA41C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4998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46780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1AA4E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D922A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B8619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2A019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F32047" w14:textId="77777777" w:rsidR="005922EC" w:rsidRPr="00473D9C" w:rsidRDefault="000153E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2A15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D864F9F" w14:textId="77777777" w:rsidR="005922EC" w:rsidRPr="00473D9C" w:rsidRDefault="000153E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A954F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2E39A9" w14:textId="77777777" w:rsidR="005922EC" w:rsidRPr="00473D9C" w:rsidRDefault="000153E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66FA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DF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157BC3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DDCF91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14C3F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526ED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6312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0C3F61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C5944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ED5F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277561B" w14:textId="77777777" w:rsidR="005922EC" w:rsidRPr="00473D9C" w:rsidRDefault="000153E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2F04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BD3F6D" w14:textId="77777777" w:rsidR="005922EC" w:rsidRPr="00473D9C" w:rsidRDefault="000153E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370B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730C5" w14:textId="77777777" w:rsidR="005922EC" w:rsidRPr="00473D9C" w:rsidRDefault="000153E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7017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5FC42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FF45C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C8839F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24C5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AB1C5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0E573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D8C4D4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A7CEEC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E180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71E60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611D2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FA8170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E88CB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0F2CFE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E1F914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C167836" w14:textId="77777777" w:rsidR="005922EC" w:rsidRPr="00473D9C" w:rsidRDefault="000153E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DD0F8B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57012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0D4D15F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F710200" w14:textId="77777777" w:rsidR="005922EC" w:rsidRPr="00473D9C" w:rsidRDefault="000153E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D66A7B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63C2E82" w14:textId="77777777" w:rsidR="005922EC" w:rsidRPr="00473D9C" w:rsidRDefault="000153E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4E21C89" w14:textId="77777777" w:rsidR="005922EC" w:rsidRPr="00473D9C" w:rsidRDefault="000153E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E24112C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E1F942" w14:textId="77777777" w:rsidR="005922EC" w:rsidRPr="00473D9C" w:rsidRDefault="000153E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8B3A7AB" w14:textId="77777777" w:rsidR="005922EC" w:rsidRDefault="000153E6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2380" w14:textId="77777777" w:rsidR="005922EC" w:rsidRDefault="000153E6">
    <w:pPr>
      <w:pStyle w:val="Footer"/>
      <w:rPr>
        <w:sz w:val="2"/>
      </w:rPr>
    </w:pPr>
  </w:p>
  <w:p w14:paraId="59D5C94E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63BAC2" wp14:editId="010044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F01B9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9988D13" w14:textId="77777777" w:rsidR="005922EC" w:rsidRPr="000164F0" w:rsidRDefault="000153E6">
    <w:pPr>
      <w:pStyle w:val="Footer"/>
      <w:rPr>
        <w:sz w:val="8"/>
        <w:szCs w:val="8"/>
      </w:rPr>
    </w:pPr>
  </w:p>
  <w:p w14:paraId="6C6906A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309B6C" w14:textId="77777777" w:rsidR="005922EC" w:rsidRDefault="000153E6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B256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6FF54" wp14:editId="78BDF63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0318A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6C0177B7" w14:textId="77777777" w:rsidR="005922EC" w:rsidRPr="00BE07FB" w:rsidRDefault="000153E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197E59A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5A8598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EC3D11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93934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28DAD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04FD4A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19ECB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3F5291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35100D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B56FE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892DF1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584431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0F289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69420A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BB4DE8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C9248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38A255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5C6F7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D1BAB1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958FCF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F416702" w14:textId="77777777" w:rsidR="005922EC" w:rsidRDefault="000153E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B197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A438F4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DC685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9AB6E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066AC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DE938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7200EF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3EC305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70856E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5FB6E3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9C0A6C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EC9DB0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0E3AB9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3AFE8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744254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C566476" w14:textId="77777777" w:rsidR="005922EC" w:rsidRDefault="000153E6">
          <w:pPr>
            <w:pStyle w:val="Footer"/>
            <w:rPr>
              <w:rFonts w:cs="Arial"/>
              <w:sz w:val="12"/>
            </w:rPr>
          </w:pPr>
        </w:p>
      </w:tc>
    </w:tr>
    <w:tr w:rsidR="005922EC" w14:paraId="39A647C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5EEC5A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422BEF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403DA67" w14:textId="77777777" w:rsidR="005922EC" w:rsidRDefault="000153E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DE5364" w14:textId="77777777" w:rsidR="005922EC" w:rsidRDefault="000153E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632297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D6D0002" w14:textId="77777777" w:rsidR="005922EC" w:rsidRDefault="000153E6">
          <w:pPr>
            <w:pStyle w:val="Footer"/>
            <w:rPr>
              <w:rFonts w:cs="Arial"/>
              <w:sz w:val="12"/>
            </w:rPr>
          </w:pPr>
        </w:p>
      </w:tc>
    </w:tr>
  </w:tbl>
  <w:p w14:paraId="3B1BC10F" w14:textId="77777777" w:rsidR="005922EC" w:rsidRPr="00BE07FB" w:rsidRDefault="000153E6">
    <w:pPr>
      <w:rPr>
        <w:sz w:val="2"/>
        <w:szCs w:val="2"/>
      </w:rPr>
    </w:pPr>
  </w:p>
  <w:p w14:paraId="32CA1F49" w14:textId="77777777" w:rsidR="005922EC" w:rsidRPr="00B976E5" w:rsidRDefault="000153E6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60F" w14:textId="77777777" w:rsidR="005922EC" w:rsidRDefault="000153E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C509" w14:textId="77777777" w:rsidR="005922EC" w:rsidRDefault="000153E6">
    <w:pPr>
      <w:pStyle w:val="Footer"/>
      <w:rPr>
        <w:sz w:val="2"/>
      </w:rPr>
    </w:pPr>
  </w:p>
  <w:p w14:paraId="112E9F3F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A9B398A" wp14:editId="1FFB2C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E6D54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49FF779" w14:textId="77777777" w:rsidR="005922EC" w:rsidRPr="000164F0" w:rsidRDefault="000153E6">
    <w:pPr>
      <w:pStyle w:val="Footer"/>
      <w:rPr>
        <w:sz w:val="8"/>
        <w:szCs w:val="8"/>
      </w:rPr>
    </w:pPr>
  </w:p>
  <w:p w14:paraId="47E5B0A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929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929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B6CC63" w14:textId="77777777" w:rsidR="005922EC" w:rsidRDefault="000153E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AFA6" w14:textId="77777777" w:rsidR="000153E6" w:rsidRDefault="000153E6">
      <w:r>
        <w:separator/>
      </w:r>
    </w:p>
  </w:footnote>
  <w:footnote w:type="continuationSeparator" w:id="0">
    <w:p w14:paraId="0CF3B491" w14:textId="77777777" w:rsidR="000153E6" w:rsidRDefault="0001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A39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C2BF" w14:textId="77777777" w:rsidR="00765242" w:rsidRPr="0056798D" w:rsidRDefault="00765242" w:rsidP="00765242">
    <w:pPr>
      <w:pStyle w:val="Header"/>
      <w:jc w:val="right"/>
      <w:rPr>
        <w:sz w:val="2"/>
      </w:rPr>
    </w:pPr>
  </w:p>
  <w:p w14:paraId="02860F7A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C0C78FC" w14:textId="77777777" w:rsidR="005922EC" w:rsidRDefault="000153E6">
    <w:pPr>
      <w:pStyle w:val="Header"/>
      <w:jc w:val="right"/>
      <w:rPr>
        <w:sz w:val="2"/>
      </w:rPr>
    </w:pPr>
  </w:p>
  <w:p w14:paraId="358A4832" w14:textId="58F7DD21" w:rsidR="005922EC" w:rsidRDefault="000153E6">
    <w:pPr>
      <w:pStyle w:val="Header"/>
      <w:jc w:val="right"/>
      <w:rPr>
        <w:sz w:val="2"/>
      </w:rPr>
    </w:pPr>
  </w:p>
  <w:p w14:paraId="15007F42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B0BBC9" wp14:editId="23210BE7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E38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FA2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5D26D77" wp14:editId="34BE5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4A2C72" w14:textId="77777777" w:rsidR="005922EC" w:rsidRDefault="000153E6">
    <w:pPr>
      <w:pStyle w:val="Header"/>
      <w:jc w:val="right"/>
      <w:rPr>
        <w:sz w:val="2"/>
      </w:rPr>
    </w:pPr>
  </w:p>
  <w:p w14:paraId="5597EFBF" w14:textId="77777777" w:rsidR="005922EC" w:rsidRDefault="000153E6">
    <w:pPr>
      <w:pStyle w:val="Header"/>
      <w:jc w:val="right"/>
      <w:rPr>
        <w:sz w:val="2"/>
      </w:rPr>
    </w:pPr>
  </w:p>
  <w:p w14:paraId="40D56687" w14:textId="77777777" w:rsidR="005922EC" w:rsidRPr="0056798D" w:rsidRDefault="000153E6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D6A4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72C2" w14:textId="77777777" w:rsidR="005922EC" w:rsidRDefault="000153E6">
    <w:pPr>
      <w:pStyle w:val="Header"/>
      <w:jc w:val="right"/>
      <w:rPr>
        <w:sz w:val="2"/>
      </w:rPr>
    </w:pPr>
  </w:p>
  <w:p w14:paraId="40034695" w14:textId="77777777" w:rsidR="005922EC" w:rsidRDefault="000153E6">
    <w:pPr>
      <w:pStyle w:val="Header"/>
      <w:jc w:val="right"/>
      <w:rPr>
        <w:sz w:val="2"/>
      </w:rPr>
    </w:pPr>
  </w:p>
  <w:p w14:paraId="58B78E41" w14:textId="77777777" w:rsidR="005922EC" w:rsidRDefault="000153E6">
    <w:pPr>
      <w:pStyle w:val="Header"/>
      <w:jc w:val="right"/>
      <w:rPr>
        <w:sz w:val="2"/>
      </w:rPr>
    </w:pPr>
  </w:p>
  <w:p w14:paraId="14D9426F" w14:textId="77777777" w:rsidR="005922EC" w:rsidRDefault="000153E6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D28B" w14:textId="77777777" w:rsidR="005922EC" w:rsidRDefault="000153E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0D4" w14:textId="77777777" w:rsidR="005922EC" w:rsidRDefault="000153E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CF5" w14:textId="77777777" w:rsidR="005922EC" w:rsidRDefault="000153E6">
    <w:pPr>
      <w:pStyle w:val="Header"/>
      <w:jc w:val="right"/>
      <w:rPr>
        <w:sz w:val="2"/>
      </w:rPr>
    </w:pPr>
  </w:p>
  <w:p w14:paraId="7F65A322" w14:textId="77777777" w:rsidR="005922EC" w:rsidRDefault="000153E6">
    <w:pPr>
      <w:pStyle w:val="Header"/>
      <w:jc w:val="right"/>
      <w:rPr>
        <w:sz w:val="2"/>
      </w:rPr>
    </w:pPr>
  </w:p>
  <w:p w14:paraId="79305146" w14:textId="77777777" w:rsidR="005922EC" w:rsidRDefault="000153E6">
    <w:pPr>
      <w:pStyle w:val="Header"/>
      <w:jc w:val="right"/>
      <w:rPr>
        <w:sz w:val="2"/>
      </w:rPr>
    </w:pPr>
  </w:p>
  <w:p w14:paraId="4DAAE96F" w14:textId="77777777" w:rsidR="005922EC" w:rsidRDefault="000153E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3E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859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952C9"/>
    <w:rsid w:val="00097145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CBF"/>
    <w:rsid w:val="0011030C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4020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AF0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4CFA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72B7"/>
    <w:rsid w:val="0028225E"/>
    <w:rsid w:val="00295C4B"/>
    <w:rsid w:val="00297408"/>
    <w:rsid w:val="00297C24"/>
    <w:rsid w:val="00297E2C"/>
    <w:rsid w:val="002A11C3"/>
    <w:rsid w:val="002A4D04"/>
    <w:rsid w:val="002A641F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1D14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0E19"/>
    <w:rsid w:val="003716B2"/>
    <w:rsid w:val="00376752"/>
    <w:rsid w:val="003827B9"/>
    <w:rsid w:val="00383C9A"/>
    <w:rsid w:val="00384D83"/>
    <w:rsid w:val="00390B88"/>
    <w:rsid w:val="00392414"/>
    <w:rsid w:val="003A25FA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239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543F"/>
    <w:rsid w:val="004C7F48"/>
    <w:rsid w:val="004D4DB6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83E"/>
    <w:rsid w:val="005422F9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C0B"/>
    <w:rsid w:val="0058603E"/>
    <w:rsid w:val="00590DED"/>
    <w:rsid w:val="00591F55"/>
    <w:rsid w:val="005A2D12"/>
    <w:rsid w:val="005B7E29"/>
    <w:rsid w:val="005C0DF8"/>
    <w:rsid w:val="005C281B"/>
    <w:rsid w:val="005C38B7"/>
    <w:rsid w:val="005E10A5"/>
    <w:rsid w:val="005F4CCB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2B2D"/>
    <w:rsid w:val="0064307B"/>
    <w:rsid w:val="00643621"/>
    <w:rsid w:val="00643DEA"/>
    <w:rsid w:val="006460B0"/>
    <w:rsid w:val="00646A1E"/>
    <w:rsid w:val="00652641"/>
    <w:rsid w:val="006529DC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0745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2186"/>
    <w:rsid w:val="00703CC9"/>
    <w:rsid w:val="0070727F"/>
    <w:rsid w:val="007138F1"/>
    <w:rsid w:val="00716A27"/>
    <w:rsid w:val="0072688C"/>
    <w:rsid w:val="00730A81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11CE"/>
    <w:rsid w:val="008046E5"/>
    <w:rsid w:val="00804CDB"/>
    <w:rsid w:val="008050D2"/>
    <w:rsid w:val="008055F8"/>
    <w:rsid w:val="008074D4"/>
    <w:rsid w:val="0081027D"/>
    <w:rsid w:val="008103F8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1C34"/>
    <w:rsid w:val="00874A6F"/>
    <w:rsid w:val="0087551D"/>
    <w:rsid w:val="008818A3"/>
    <w:rsid w:val="00885AB5"/>
    <w:rsid w:val="008869EC"/>
    <w:rsid w:val="0089290F"/>
    <w:rsid w:val="00892FE4"/>
    <w:rsid w:val="00893636"/>
    <w:rsid w:val="00893A5B"/>
    <w:rsid w:val="0089733E"/>
    <w:rsid w:val="008A05A3"/>
    <w:rsid w:val="008A6730"/>
    <w:rsid w:val="008A6B5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1FCD"/>
    <w:rsid w:val="00902E9E"/>
    <w:rsid w:val="009034B0"/>
    <w:rsid w:val="00905F02"/>
    <w:rsid w:val="00906A0F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979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379FB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35BC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C7CDB"/>
    <w:rsid w:val="00AD0553"/>
    <w:rsid w:val="00AD6AE7"/>
    <w:rsid w:val="00AE0545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75F7F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54673"/>
    <w:rsid w:val="00C64152"/>
    <w:rsid w:val="00C70D37"/>
    <w:rsid w:val="00C73590"/>
    <w:rsid w:val="00C7652A"/>
    <w:rsid w:val="00C8162C"/>
    <w:rsid w:val="00C83B13"/>
    <w:rsid w:val="00C8417F"/>
    <w:rsid w:val="00C86678"/>
    <w:rsid w:val="00C91307"/>
    <w:rsid w:val="00C960F7"/>
    <w:rsid w:val="00C96F23"/>
    <w:rsid w:val="00CA22C7"/>
    <w:rsid w:val="00CA2A27"/>
    <w:rsid w:val="00CA30BD"/>
    <w:rsid w:val="00CA414C"/>
    <w:rsid w:val="00CA6ED5"/>
    <w:rsid w:val="00CC1889"/>
    <w:rsid w:val="00CC3652"/>
    <w:rsid w:val="00CC6F61"/>
    <w:rsid w:val="00CE06EE"/>
    <w:rsid w:val="00CE269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0286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1A93"/>
    <w:rsid w:val="00DA3120"/>
    <w:rsid w:val="00DA5E79"/>
    <w:rsid w:val="00DA7643"/>
    <w:rsid w:val="00DA77ED"/>
    <w:rsid w:val="00DA7C00"/>
    <w:rsid w:val="00DB7889"/>
    <w:rsid w:val="00DC24F6"/>
    <w:rsid w:val="00DC7213"/>
    <w:rsid w:val="00DC7648"/>
    <w:rsid w:val="00DC7D73"/>
    <w:rsid w:val="00DD015B"/>
    <w:rsid w:val="00DD1DD6"/>
    <w:rsid w:val="00DD1DEC"/>
    <w:rsid w:val="00DD6F16"/>
    <w:rsid w:val="00DF0224"/>
    <w:rsid w:val="00DF06CC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373F3"/>
    <w:rsid w:val="00E4143F"/>
    <w:rsid w:val="00E43DE4"/>
    <w:rsid w:val="00E447EB"/>
    <w:rsid w:val="00E44EDD"/>
    <w:rsid w:val="00E45547"/>
    <w:rsid w:val="00E51F61"/>
    <w:rsid w:val="00E60B91"/>
    <w:rsid w:val="00E63958"/>
    <w:rsid w:val="00E65F1B"/>
    <w:rsid w:val="00E82C86"/>
    <w:rsid w:val="00E875B6"/>
    <w:rsid w:val="00E87F0E"/>
    <w:rsid w:val="00E900C7"/>
    <w:rsid w:val="00E9046B"/>
    <w:rsid w:val="00EA52E2"/>
    <w:rsid w:val="00EA7E6B"/>
    <w:rsid w:val="00EB01FC"/>
    <w:rsid w:val="00EB1C18"/>
    <w:rsid w:val="00EB5115"/>
    <w:rsid w:val="00EB6685"/>
    <w:rsid w:val="00EC09F8"/>
    <w:rsid w:val="00EC7601"/>
    <w:rsid w:val="00EC785B"/>
    <w:rsid w:val="00ED6830"/>
    <w:rsid w:val="00ED7D7C"/>
    <w:rsid w:val="00ED7FF7"/>
    <w:rsid w:val="00EE1CEA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0E8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12A9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E8"/>
    <w:rsid w:val="00F74FF6"/>
    <w:rsid w:val="00F96846"/>
    <w:rsid w:val="00F97176"/>
    <w:rsid w:val="00F9785D"/>
    <w:rsid w:val="00FA378D"/>
    <w:rsid w:val="00FA5CAA"/>
    <w:rsid w:val="00FA74F6"/>
    <w:rsid w:val="00FB169A"/>
    <w:rsid w:val="00FB23E9"/>
    <w:rsid w:val="00FB3D2D"/>
    <w:rsid w:val="00FB602A"/>
    <w:rsid w:val="00FC1049"/>
    <w:rsid w:val="00FC3C14"/>
    <w:rsid w:val="00FD1CAC"/>
    <w:rsid w:val="00FD3373"/>
    <w:rsid w:val="00FD3B25"/>
    <w:rsid w:val="00FD59A5"/>
    <w:rsid w:val="00FE3BF3"/>
    <w:rsid w:val="00FE779C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B9B3AA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tinyurl.com/INA-Rafinerija-nafte-Rije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30</cp:revision>
  <cp:lastPrinted>2016-11-16T10:44:00Z</cp:lastPrinted>
  <dcterms:created xsi:type="dcterms:W3CDTF">2019-10-31T10:37:00Z</dcterms:created>
  <dcterms:modified xsi:type="dcterms:W3CDTF">2019-12-12T16:02:00Z</dcterms:modified>
</cp:coreProperties>
</file>