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 w:rsidRPr="00FB1110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>Suradnja Ine i škole „Energy Delta Institute“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Pr="00FB1110" w:rsidRDefault="00FB1110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 w:rsidRPr="00FB1110">
        <w:rPr>
          <w:rFonts w:ascii="Calibri" w:hAnsi="Calibri" w:cs="Calibri"/>
          <w:b/>
          <w:sz w:val="24"/>
        </w:rPr>
        <w:t>INA domaćin četverodnevnog predavanja poslovne škole „Energy Delta Institute“</w:t>
      </w:r>
    </w:p>
    <w:p w:rsidR="00FB1110" w:rsidRPr="00FB1110" w:rsidRDefault="00FB1110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 w:rsidRPr="00FB1110">
        <w:rPr>
          <w:rFonts w:ascii="Calibri" w:hAnsi="Calibri" w:cs="Calibri"/>
          <w:b/>
          <w:sz w:val="24"/>
        </w:rPr>
        <w:t xml:space="preserve">Sudionicima će biti predstavljene teme iz energetike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  <w:r w:rsidRPr="00FB1110">
        <w:rPr>
          <w:rFonts w:ascii="Calibri" w:hAnsi="Calibri" w:cs="Calibri"/>
          <w:b/>
          <w:szCs w:val="22"/>
        </w:rPr>
        <w:t xml:space="preserve">Zagreb, 2. lipnja 2014.– INA je domaćin četverodnevnog edukacijskog programa  „Energetske politike i odnosi istočne i zapadne Europe“ koji je u organizaciji međunarodne poslovne škole započeo danas. Program okuplja stručnjake iz Ine, ali i predstavnike drugih energetskih kompanija, kao što su ExxonMobil International i Siemens.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</w:p>
    <w:p w:rsidR="008B578D" w:rsidRPr="00FB1110" w:rsidRDefault="00FB1110" w:rsidP="008B578D">
      <w:pPr>
        <w:jc w:val="both"/>
        <w:rPr>
          <w:rFonts w:ascii="Calibri" w:hAnsi="Calibri" w:cs="Calibri"/>
          <w:i/>
          <w:szCs w:val="22"/>
        </w:rPr>
      </w:pPr>
      <w:r w:rsidRPr="00FB1110">
        <w:rPr>
          <w:rFonts w:ascii="Calibri" w:hAnsi="Calibri" w:cs="Calibri"/>
          <w:i/>
          <w:szCs w:val="22"/>
        </w:rPr>
        <w:t xml:space="preserve">Pozdravljajući okupljene na svečanom otvorenju programa, g. Tomislav Thür, Inin izvršni direktor za korporativne poslove rekao je „Ovaj četverodnevni program veoma je važan u kontekstu promjena koje danas </w:t>
      </w:r>
      <w:r w:rsidR="002F2C0F">
        <w:rPr>
          <w:rFonts w:ascii="Calibri" w:hAnsi="Calibri" w:cs="Calibri"/>
          <w:i/>
          <w:szCs w:val="22"/>
        </w:rPr>
        <w:t>utječu na</w:t>
      </w:r>
      <w:r w:rsidRPr="00FB1110">
        <w:rPr>
          <w:rFonts w:ascii="Calibri" w:hAnsi="Calibri" w:cs="Calibri"/>
          <w:i/>
          <w:szCs w:val="22"/>
        </w:rPr>
        <w:t xml:space="preserve"> e</w:t>
      </w:r>
      <w:bookmarkStart w:id="0" w:name="_GoBack"/>
      <w:bookmarkEnd w:id="0"/>
      <w:r w:rsidRPr="00FB1110">
        <w:rPr>
          <w:rFonts w:ascii="Calibri" w:hAnsi="Calibri" w:cs="Calibri"/>
          <w:i/>
          <w:szCs w:val="22"/>
        </w:rPr>
        <w:t>nergetski sektor“ te dodao kako je Ini čast biti prepoznata kao partner priznate poslovne škole za energetiku kao što je Energy Delta Institute.</w:t>
      </w:r>
      <w:r w:rsidR="008B578D" w:rsidRPr="008B578D">
        <w:rPr>
          <w:rFonts w:ascii="Calibri" w:hAnsi="Calibri" w:cs="Calibri"/>
          <w:i/>
          <w:szCs w:val="22"/>
        </w:rPr>
        <w:t xml:space="preserve"> </w:t>
      </w:r>
      <w:r w:rsidR="008B578D" w:rsidRPr="00FB1110">
        <w:rPr>
          <w:rFonts w:ascii="Calibri" w:hAnsi="Calibri" w:cs="Calibri"/>
          <w:i/>
          <w:szCs w:val="22"/>
        </w:rPr>
        <w:t>Direktor programa škol</w:t>
      </w:r>
      <w:r w:rsidR="008B578D">
        <w:rPr>
          <w:rFonts w:ascii="Calibri" w:hAnsi="Calibri" w:cs="Calibri"/>
          <w:i/>
          <w:szCs w:val="22"/>
        </w:rPr>
        <w:t xml:space="preserve">e, g. </w:t>
      </w:r>
      <w:proofErr w:type="spellStart"/>
      <w:r w:rsidR="008B578D">
        <w:rPr>
          <w:rFonts w:ascii="Calibri" w:hAnsi="Calibri" w:cs="Calibri"/>
          <w:i/>
          <w:szCs w:val="22"/>
        </w:rPr>
        <w:t>Volko</w:t>
      </w:r>
      <w:proofErr w:type="spellEnd"/>
      <w:r w:rsidR="008B578D">
        <w:rPr>
          <w:rFonts w:ascii="Calibri" w:hAnsi="Calibri" w:cs="Calibri"/>
          <w:i/>
          <w:szCs w:val="22"/>
        </w:rPr>
        <w:t xml:space="preserve"> de </w:t>
      </w:r>
      <w:proofErr w:type="spellStart"/>
      <w:r w:rsidR="008B578D">
        <w:rPr>
          <w:rFonts w:ascii="Calibri" w:hAnsi="Calibri" w:cs="Calibri"/>
          <w:i/>
          <w:szCs w:val="22"/>
        </w:rPr>
        <w:t>Jong</w:t>
      </w:r>
      <w:proofErr w:type="spellEnd"/>
      <w:r w:rsidR="008B578D">
        <w:rPr>
          <w:rFonts w:ascii="Calibri" w:hAnsi="Calibri" w:cs="Calibri"/>
          <w:i/>
          <w:szCs w:val="22"/>
        </w:rPr>
        <w:t xml:space="preserve">, zahvalio se Ini na domaćinstvu te poželio svim sudionicima uspješno usvajanje programa.  </w:t>
      </w:r>
    </w:p>
    <w:p w:rsidR="00FB1110" w:rsidRPr="00FB1110" w:rsidRDefault="00FB1110" w:rsidP="00FB1110">
      <w:pPr>
        <w:jc w:val="both"/>
        <w:rPr>
          <w:rFonts w:ascii="Calibri" w:hAnsi="Calibri" w:cs="Calibri"/>
          <w:i/>
          <w:szCs w:val="22"/>
        </w:rPr>
      </w:pPr>
    </w:p>
    <w:p w:rsidR="00FB1110" w:rsidRPr="00FB1110" w:rsidRDefault="00FB1110" w:rsidP="00FB1110">
      <w:pPr>
        <w:jc w:val="both"/>
        <w:rPr>
          <w:rFonts w:ascii="Calibri" w:hAnsi="Calibri" w:cs="Calibri"/>
          <w:szCs w:val="22"/>
          <w:lang w:val="en-US"/>
        </w:rPr>
      </w:pPr>
      <w:r w:rsidRPr="00FB1110">
        <w:rPr>
          <w:rFonts w:ascii="Calibri" w:hAnsi="Calibri" w:cs="Calibri"/>
          <w:szCs w:val="22"/>
        </w:rPr>
        <w:t>Sudionicima će tijekom četiri dana biti predstavljene teme kao što su inovacije u energetici, opskrba Europe energijom i razvoj energetskog sektora. Predavanja i brojne radionice održavat će poznati predavači s prestižnih međunarodnih obrazovnih institucija kao što su „</w:t>
      </w:r>
      <w:r w:rsidRPr="00FB1110">
        <w:rPr>
          <w:rFonts w:ascii="Calibri" w:hAnsi="Calibri" w:cs="Calibri"/>
          <w:szCs w:val="22"/>
          <w:lang w:val="en-GB"/>
        </w:rPr>
        <w:t xml:space="preserve">Harvard </w:t>
      </w:r>
      <w:r w:rsidRPr="00FB1110">
        <w:rPr>
          <w:rFonts w:ascii="Calibri" w:hAnsi="Calibri" w:cs="Calibri"/>
          <w:szCs w:val="22"/>
        </w:rPr>
        <w:t xml:space="preserve">University Institute“ i </w:t>
      </w:r>
      <w:r w:rsidRPr="00FB1110">
        <w:rPr>
          <w:rFonts w:ascii="Calibri" w:hAnsi="Calibri" w:cs="Calibri"/>
          <w:szCs w:val="22"/>
          <w:lang w:val="en-US"/>
        </w:rPr>
        <w:t>„Oxford Institute for Energy Studies“. 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 xml:space="preserve"> INA Grupi </w:t>
      </w: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03" w:rsidRDefault="004E0303" w:rsidP="00C11370">
      <w:r>
        <w:separator/>
      </w:r>
    </w:p>
  </w:endnote>
  <w:endnote w:type="continuationSeparator" w:id="0">
    <w:p w:rsidR="004E0303" w:rsidRDefault="004E030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proofErr w:type="spellStart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F2C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F2C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F2C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F2C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5A015C1" wp14:editId="196F8E4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7468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B28C6A" wp14:editId="47C1AF0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B578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B578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03" w:rsidRDefault="004E0303" w:rsidP="00C11370">
      <w:r>
        <w:separator/>
      </w:r>
    </w:p>
  </w:footnote>
  <w:footnote w:type="continuationSeparator" w:id="0">
    <w:p w:rsidR="004E0303" w:rsidRDefault="004E030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4778-7FD2-4E93-87BA-7E089801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Karagity Tamara TK.</cp:lastModifiedBy>
  <cp:revision>5</cp:revision>
  <dcterms:created xsi:type="dcterms:W3CDTF">2014-06-02T08:20:00Z</dcterms:created>
  <dcterms:modified xsi:type="dcterms:W3CDTF">2014-06-02T13:30:00Z</dcterms:modified>
</cp:coreProperties>
</file>