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33553B2E" w14:textId="77777777" w:rsidR="006170CE" w:rsidRPr="006170CE" w:rsidRDefault="006170CE" w:rsidP="006170CE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6170CE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INA izrađuje detaljni dizajn Postrojenja za obradu teških ostataka</w:t>
      </w:r>
    </w:p>
    <w:p w14:paraId="7A1D8AF7" w14:textId="77777777" w:rsidR="00742778" w:rsidRPr="00B628B6" w:rsidRDefault="00742778" w:rsidP="00F3661D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728D5B2B" w14:textId="77777777" w:rsidR="006170CE" w:rsidRPr="006170CE" w:rsidRDefault="006170CE" w:rsidP="006170C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6170CE">
        <w:rPr>
          <w:sz w:val="24"/>
          <w:szCs w:val="24"/>
        </w:rPr>
        <w:t>INA nastavlja s pripremnim aktivnostima za ovu 400 milijuna dolara vrijednu investiciju</w:t>
      </w:r>
    </w:p>
    <w:p w14:paraId="33EF7DFA" w14:textId="77777777" w:rsidR="006170CE" w:rsidRPr="006170CE" w:rsidRDefault="006170CE" w:rsidP="006170C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6170CE">
        <w:rPr>
          <w:sz w:val="24"/>
          <w:szCs w:val="24"/>
        </w:rPr>
        <w:t>Finalna odluka o ulaganju očekuje se krajem sljedeće godine</w:t>
      </w:r>
    </w:p>
    <w:p w14:paraId="05C0B551" w14:textId="77777777" w:rsidR="006170CE" w:rsidRPr="006170CE" w:rsidRDefault="006170CE" w:rsidP="006170CE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sz w:val="24"/>
          <w:szCs w:val="24"/>
        </w:rPr>
      </w:pPr>
      <w:r w:rsidRPr="006170CE">
        <w:rPr>
          <w:sz w:val="24"/>
          <w:szCs w:val="24"/>
        </w:rPr>
        <w:t xml:space="preserve">Slijedi intenzivna faza projektiranja i ishođenja građevinskih dozvola </w:t>
      </w:r>
    </w:p>
    <w:p w14:paraId="7E4CD1F9" w14:textId="77777777" w:rsidR="006170CE" w:rsidRDefault="006170CE" w:rsidP="006170CE">
      <w:pPr>
        <w:jc w:val="both"/>
        <w:rPr>
          <w:rFonts w:asciiTheme="minorHAnsi" w:hAnsiTheme="minorHAnsi"/>
          <w:b/>
        </w:rPr>
      </w:pPr>
    </w:p>
    <w:p w14:paraId="4CF8A191" w14:textId="77777777" w:rsidR="006170CE" w:rsidRDefault="006170CE" w:rsidP="006170CE">
      <w:pPr>
        <w:jc w:val="both"/>
        <w:rPr>
          <w:rFonts w:asciiTheme="minorHAnsi" w:hAnsiTheme="minorHAnsi"/>
          <w:b/>
        </w:rPr>
      </w:pPr>
      <w:r w:rsidRPr="006170CE">
        <w:rPr>
          <w:rFonts w:asciiTheme="minorHAnsi" w:hAnsiTheme="minorHAnsi"/>
          <w:b/>
        </w:rPr>
        <w:t>Rijeka, 10. studenog 2016.- U Rafineriji nafte Rijeka danas je potpisan ugovor između Ine i španjolske kompanije Tecnicas Reunidas o izradi detaljnog inženjerskog projekta (</w:t>
      </w:r>
      <w:r w:rsidRPr="006170CE">
        <w:rPr>
          <w:rFonts w:asciiTheme="minorHAnsi" w:hAnsiTheme="minorHAnsi"/>
          <w:b/>
          <w:i/>
        </w:rPr>
        <w:t xml:space="preserve">eng. FEED: Front End Engineering Design) </w:t>
      </w:r>
      <w:r w:rsidRPr="006170CE">
        <w:rPr>
          <w:rFonts w:asciiTheme="minorHAnsi" w:hAnsiTheme="minorHAnsi"/>
          <w:b/>
        </w:rPr>
        <w:t xml:space="preserve">za Postrojenje za obradu teških ostataka čija je izgradnja planirana za riječku rafineriju. Uz predstavnike Ine i kompanije Tecnicas Reunidas, svečanom potpisivanju ugovora prisustvovali su i ministar zaštite okoliša i energetike g. Slaven Dobrović, zamjenik župana Primorsko-goranske županije g. Marko Boras Mandić, gradonačelnik Grada Rijeke g. Vojko Obersnel, načelnica općine Kostrena gđa Mirela Marunić, kao i drugi predstavnici državne, regionalne i lokalne vlasti. </w:t>
      </w:r>
    </w:p>
    <w:p w14:paraId="2971656D" w14:textId="77777777" w:rsidR="006170CE" w:rsidRPr="006170CE" w:rsidRDefault="006170CE" w:rsidP="006170CE">
      <w:pPr>
        <w:jc w:val="both"/>
        <w:rPr>
          <w:rFonts w:asciiTheme="minorHAnsi" w:hAnsiTheme="minorHAnsi"/>
          <w:b/>
        </w:rPr>
      </w:pPr>
    </w:p>
    <w:p w14:paraId="64203351" w14:textId="318BFAAC" w:rsidR="006170CE" w:rsidRDefault="006170CE" w:rsidP="006170CE">
      <w:pPr>
        <w:jc w:val="both"/>
        <w:rPr>
          <w:rFonts w:asciiTheme="minorHAnsi" w:hAnsiTheme="minorHAnsi"/>
          <w:i/>
        </w:rPr>
      </w:pPr>
      <w:r w:rsidRPr="006170CE">
        <w:rPr>
          <w:rFonts w:asciiTheme="minorHAnsi" w:hAnsiTheme="minorHAnsi"/>
        </w:rPr>
        <w:t xml:space="preserve">Komentirajući novu fazu projekta, predsjednik Uprave Ine, g. Zoltán Áldott, istaknuo je: </w:t>
      </w:r>
      <w:r w:rsidRPr="006170CE">
        <w:rPr>
          <w:rFonts w:asciiTheme="minorHAnsi" w:hAnsiTheme="minorHAnsi"/>
          <w:i/>
        </w:rPr>
        <w:t>„</w:t>
      </w:r>
      <w:r w:rsidR="008979F4" w:rsidRPr="008979F4">
        <w:rPr>
          <w:rFonts w:asciiTheme="minorHAnsi" w:hAnsiTheme="minorHAnsi"/>
          <w:i/>
        </w:rPr>
        <w:t>Ovo je važan dan za Inu. Ugovor za izradu detaljnog tehnološ</w:t>
      </w:r>
      <w:r w:rsidR="007770B9">
        <w:rPr>
          <w:rFonts w:asciiTheme="minorHAnsi" w:hAnsiTheme="minorHAnsi"/>
          <w:i/>
        </w:rPr>
        <w:t>kog rješenja je ključan i veliki</w:t>
      </w:r>
      <w:r w:rsidR="008979F4" w:rsidRPr="008979F4">
        <w:rPr>
          <w:rFonts w:asciiTheme="minorHAnsi" w:hAnsiTheme="minorHAnsi"/>
          <w:i/>
        </w:rPr>
        <w:t xml:space="preserve"> korak prema realizaciji našeg glavnog projekta –</w:t>
      </w:r>
      <w:r w:rsidR="007770B9">
        <w:rPr>
          <w:rFonts w:asciiTheme="minorHAnsi" w:hAnsiTheme="minorHAnsi"/>
          <w:i/>
        </w:rPr>
        <w:t xml:space="preserve"> </w:t>
      </w:r>
      <w:r w:rsidR="008979F4" w:rsidRPr="008979F4">
        <w:rPr>
          <w:rFonts w:asciiTheme="minorHAnsi" w:hAnsiTheme="minorHAnsi"/>
          <w:i/>
        </w:rPr>
        <w:t>postrojenja za obradu teških os</w:t>
      </w:r>
      <w:r w:rsidR="007770B9">
        <w:rPr>
          <w:rFonts w:asciiTheme="minorHAnsi" w:hAnsiTheme="minorHAnsi"/>
          <w:i/>
        </w:rPr>
        <w:t>tataka u riječkoj rafineriji. S</w:t>
      </w:r>
      <w:r w:rsidR="008979F4" w:rsidRPr="008979F4">
        <w:rPr>
          <w:rFonts w:asciiTheme="minorHAnsi" w:hAnsiTheme="minorHAnsi"/>
          <w:i/>
        </w:rPr>
        <w:t xml:space="preserve"> procijenjenom vrijednosti od oko 3 milijard</w:t>
      </w:r>
      <w:r w:rsidR="007770B9">
        <w:rPr>
          <w:rFonts w:asciiTheme="minorHAnsi" w:hAnsiTheme="minorHAnsi"/>
          <w:i/>
        </w:rPr>
        <w:t>e</w:t>
      </w:r>
      <w:r w:rsidR="008979F4" w:rsidRPr="008979F4">
        <w:rPr>
          <w:rFonts w:asciiTheme="minorHAnsi" w:hAnsiTheme="minorHAnsi"/>
          <w:i/>
        </w:rPr>
        <w:t xml:space="preserve"> kuna, to je ne samo jedna od najvećih investicija u povijesti Ine nego i jedna od najvećih</w:t>
      </w:r>
      <w:r w:rsidR="008979F4">
        <w:rPr>
          <w:rFonts w:asciiTheme="minorHAnsi" w:hAnsiTheme="minorHAnsi"/>
          <w:i/>
        </w:rPr>
        <w:t xml:space="preserve"> investicija u Hrvatskoj ikad. </w:t>
      </w:r>
      <w:r w:rsidR="008979F4" w:rsidRPr="008979F4">
        <w:rPr>
          <w:rFonts w:asciiTheme="minorHAnsi" w:hAnsiTheme="minorHAnsi"/>
          <w:i/>
        </w:rPr>
        <w:t>Naš je cilj znatno poboljšanje tržišnog položaja i konkurentnosti riječke rafinerije na regionalno</w:t>
      </w:r>
      <w:r w:rsidR="008979F4">
        <w:rPr>
          <w:rFonts w:asciiTheme="minorHAnsi" w:hAnsiTheme="minorHAnsi"/>
          <w:i/>
        </w:rPr>
        <w:t xml:space="preserve">j i europskoj razini. </w:t>
      </w:r>
      <w:r w:rsidR="008979F4" w:rsidRPr="008979F4">
        <w:rPr>
          <w:rFonts w:asciiTheme="minorHAnsi" w:hAnsiTheme="minorHAnsi"/>
          <w:i/>
        </w:rPr>
        <w:t xml:space="preserve">U ovom trenutku ulažemo oko </w:t>
      </w:r>
      <w:r w:rsidR="007770B9">
        <w:rPr>
          <w:rFonts w:asciiTheme="minorHAnsi" w:hAnsiTheme="minorHAnsi"/>
          <w:i/>
        </w:rPr>
        <w:t>200</w:t>
      </w:r>
      <w:r w:rsidR="008979F4" w:rsidRPr="008979F4">
        <w:rPr>
          <w:rFonts w:asciiTheme="minorHAnsi" w:hAnsiTheme="minorHAnsi"/>
          <w:i/>
        </w:rPr>
        <w:t xml:space="preserve"> milijuna kuna </w:t>
      </w:r>
      <w:r w:rsidR="007770B9">
        <w:rPr>
          <w:rFonts w:asciiTheme="minorHAnsi" w:hAnsiTheme="minorHAnsi"/>
          <w:i/>
        </w:rPr>
        <w:t>što je</w:t>
      </w:r>
      <w:r w:rsidR="008979F4" w:rsidRPr="008979F4">
        <w:rPr>
          <w:rFonts w:asciiTheme="minorHAnsi" w:hAnsiTheme="minorHAnsi"/>
          <w:i/>
        </w:rPr>
        <w:t xml:space="preserve"> pokazatelj naše predanosti prema daljnjoj realizaciji</w:t>
      </w:r>
      <w:r w:rsidR="007770B9">
        <w:rPr>
          <w:rFonts w:asciiTheme="minorHAnsi" w:hAnsiTheme="minorHAnsi"/>
          <w:i/>
        </w:rPr>
        <w:t xml:space="preserve"> projekta</w:t>
      </w:r>
      <w:r w:rsidR="008979F4" w:rsidRPr="008979F4">
        <w:rPr>
          <w:rFonts w:asciiTheme="minorHAnsi" w:hAnsiTheme="minorHAnsi"/>
          <w:i/>
        </w:rPr>
        <w:t>.</w:t>
      </w:r>
      <w:r w:rsidR="008979F4">
        <w:rPr>
          <w:rFonts w:asciiTheme="minorHAnsi" w:hAnsiTheme="minorHAnsi"/>
          <w:i/>
        </w:rPr>
        <w:t xml:space="preserve"> </w:t>
      </w:r>
      <w:r w:rsidR="008979F4" w:rsidRPr="008979F4">
        <w:rPr>
          <w:rFonts w:asciiTheme="minorHAnsi" w:hAnsiTheme="minorHAnsi"/>
          <w:i/>
        </w:rPr>
        <w:t>Naravno, na putu do finalne realizacije r</w:t>
      </w:r>
      <w:r w:rsidR="007770B9">
        <w:rPr>
          <w:rFonts w:asciiTheme="minorHAnsi" w:hAnsiTheme="minorHAnsi"/>
          <w:i/>
        </w:rPr>
        <w:t>ačunamo na suradnju svih naših ključnih dionika kako bi</w:t>
      </w:r>
      <w:r w:rsidR="008979F4" w:rsidRPr="008979F4">
        <w:rPr>
          <w:rFonts w:asciiTheme="minorHAnsi" w:hAnsiTheme="minorHAnsi"/>
          <w:i/>
        </w:rPr>
        <w:t>smo kroz ovaj proje</w:t>
      </w:r>
      <w:r w:rsidR="008979F4">
        <w:rPr>
          <w:rFonts w:asciiTheme="minorHAnsi" w:hAnsiTheme="minorHAnsi"/>
          <w:i/>
        </w:rPr>
        <w:t>kt ostvarili daljnji Inin rast</w:t>
      </w:r>
      <w:r>
        <w:rPr>
          <w:rFonts w:asciiTheme="minorHAnsi" w:hAnsiTheme="minorHAnsi"/>
          <w:i/>
        </w:rPr>
        <w:t>“.</w:t>
      </w:r>
    </w:p>
    <w:p w14:paraId="49160B57" w14:textId="77777777" w:rsidR="006170CE" w:rsidRPr="006170CE" w:rsidRDefault="006170CE" w:rsidP="006170CE">
      <w:pPr>
        <w:jc w:val="both"/>
        <w:rPr>
          <w:rFonts w:asciiTheme="minorHAnsi" w:hAnsiTheme="minorHAnsi"/>
          <w:i/>
        </w:rPr>
      </w:pPr>
    </w:p>
    <w:p w14:paraId="36FDB824" w14:textId="77777777" w:rsidR="006170CE" w:rsidRDefault="006170CE" w:rsidP="006170CE">
      <w:pPr>
        <w:jc w:val="both"/>
        <w:rPr>
          <w:rFonts w:asciiTheme="minorHAnsi" w:hAnsiTheme="minorHAnsi"/>
        </w:rPr>
      </w:pPr>
      <w:r w:rsidRPr="006170CE">
        <w:rPr>
          <w:rFonts w:asciiTheme="minorHAnsi" w:hAnsiTheme="minorHAnsi"/>
          <w:i/>
        </w:rPr>
        <w:t>„Naša rafinerijska industrija od velike je važnosti za rast gospodarstva te i</w:t>
      </w:r>
      <w:bookmarkStart w:id="0" w:name="_GoBack"/>
      <w:bookmarkEnd w:id="0"/>
      <w:r w:rsidRPr="006170CE">
        <w:rPr>
          <w:rFonts w:asciiTheme="minorHAnsi" w:hAnsiTheme="minorHAnsi"/>
          <w:i/>
        </w:rPr>
        <w:t xml:space="preserve">ma dugu tradiciju i velik potencijal. Da bi se nastavilo uspješno poslovanje, potrebna su ulaganja u  postrojenja u skladu s najvišim tehnološkim i ekološkim standardima. Ova investicija neophodna je stoga za jačanje konkurentnosti riječke rafinerije. Današnje potpisivanje ugovora o izradi projekta pozitivan je pomak koji će nadam se uskoro rezultirati i potpisivanjem ugovora o građenju i omogućiti daljnji razvoj rafinerije Rijeka“, </w:t>
      </w:r>
      <w:r w:rsidRPr="006170CE">
        <w:rPr>
          <w:rFonts w:asciiTheme="minorHAnsi" w:hAnsiTheme="minorHAnsi"/>
        </w:rPr>
        <w:t>rekao je ministar zaštite okoliša i energetike Slaven Dobrović.</w:t>
      </w:r>
    </w:p>
    <w:p w14:paraId="75EF9185" w14:textId="77777777" w:rsidR="006170CE" w:rsidRPr="006170CE" w:rsidRDefault="006170CE" w:rsidP="006170CE">
      <w:pPr>
        <w:jc w:val="both"/>
        <w:rPr>
          <w:rFonts w:asciiTheme="minorHAnsi" w:hAnsiTheme="minorHAnsi"/>
          <w:i/>
        </w:rPr>
      </w:pPr>
    </w:p>
    <w:p w14:paraId="6BD889A1" w14:textId="66769D5F" w:rsidR="006170CE" w:rsidRPr="006170CE" w:rsidRDefault="006170CE" w:rsidP="006170CE">
      <w:pPr>
        <w:jc w:val="both"/>
        <w:rPr>
          <w:rFonts w:asciiTheme="minorHAnsi" w:hAnsiTheme="minorHAnsi"/>
        </w:rPr>
      </w:pPr>
      <w:r w:rsidRPr="006170CE">
        <w:rPr>
          <w:rFonts w:asciiTheme="minorHAnsi" w:hAnsiTheme="minorHAnsi"/>
        </w:rPr>
        <w:t>Detaljni inženjerski projekt pokazuje kako će se planirano Postrojenje za obradu teških ostataka i prateća postrojenja integrirati s  postojećim rafinerijskim sustavima pri izgradnji, a INA će u ovu fazu uložiti više od 200 miliju</w:t>
      </w:r>
      <w:r>
        <w:rPr>
          <w:rFonts w:asciiTheme="minorHAnsi" w:hAnsiTheme="minorHAnsi"/>
        </w:rPr>
        <w:t>na kuna u 2016. i 2017. godini.</w:t>
      </w:r>
      <w:r w:rsidRPr="006170CE">
        <w:rPr>
          <w:rFonts w:asciiTheme="minorHAnsi" w:hAnsiTheme="minorHAnsi"/>
        </w:rPr>
        <w:t xml:space="preserve"> Uz postrojenje za obradu teških ostataka, u riječkoj rafineriji također će biti izgrađena i nova luka, zatvoreno skladište za koks, trafostanicu i dalekovod, dok će brojna postojeća rafinerijska postrojenja morati biti rekonstruirana. Finaliziranje FEED-a je predviđeno do kraja sljedeće godine kada se i očekuje odluka o gradnji Postrojenja za obradu teških ostataka, a INA je u projekt dosad uložila više od 40 milijuna kuna te ishodila lokacijske dozvole za nova postrojenja.</w:t>
      </w:r>
    </w:p>
    <w:p w14:paraId="7DA8736E" w14:textId="77777777" w:rsidR="006170CE" w:rsidRDefault="006170CE" w:rsidP="00F3661D">
      <w:pPr>
        <w:spacing w:line="276" w:lineRule="auto"/>
        <w:jc w:val="both"/>
        <w:rPr>
          <w:rFonts w:asciiTheme="minorHAnsi" w:eastAsia="Calibri" w:hAnsiTheme="minorHAnsi"/>
          <w:b/>
          <w:bCs/>
          <w:szCs w:val="22"/>
        </w:rPr>
      </w:pPr>
    </w:p>
    <w:p w14:paraId="6D16AE3E" w14:textId="77777777" w:rsidR="00330905" w:rsidRPr="004C5B3A" w:rsidRDefault="00330905" w:rsidP="00F3661D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2A1DD6B4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4C5B3A">
        <w:rPr>
          <w:rFonts w:asciiTheme="minorHAnsi" w:eastAsia="Calibri" w:hAnsiTheme="minorHAnsi" w:cs="Arial"/>
          <w:sz w:val="20"/>
          <w:szCs w:val="20"/>
        </w:rPr>
        <w:t>,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maloprodajna mreža sastoji od 4</w:t>
      </w:r>
      <w:r w:rsidR="006170CE">
        <w:rPr>
          <w:rFonts w:asciiTheme="minorHAnsi" w:eastAsia="Calibri" w:hAnsiTheme="minorHAnsi" w:cs="Arial"/>
          <w:sz w:val="20"/>
          <w:szCs w:val="20"/>
        </w:rPr>
        <w:t>95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ih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4C5B3A">
        <w:rPr>
          <w:rFonts w:asciiTheme="minorHAnsi" w:eastAsia="Calibri" w:hAnsiTheme="minorHAnsi" w:cs="Arial"/>
          <w:sz w:val="20"/>
          <w:szCs w:val="20"/>
        </w:rPr>
        <w:t>a</w:t>
      </w:r>
      <w:r w:rsidRPr="004C5B3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4C5B3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4C5B3A" w:rsidRDefault="00330905" w:rsidP="00F3661D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4C5B3A" w:rsidRDefault="00330905" w:rsidP="00F3661D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C5B3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4C5B3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4C5B3A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39CDD" w14:textId="77777777" w:rsidR="00B26B4B" w:rsidRDefault="00B26B4B">
      <w:r>
        <w:separator/>
      </w:r>
    </w:p>
  </w:endnote>
  <w:endnote w:type="continuationSeparator" w:id="0">
    <w:p w14:paraId="3142886E" w14:textId="77777777" w:rsidR="00B26B4B" w:rsidRDefault="00B2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B26B4B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8685" wp14:editId="003CC92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11E5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B26B4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B26B4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B26B4B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B26B4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B26B4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B26B4B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B26B4B">
    <w:pPr>
      <w:rPr>
        <w:sz w:val="2"/>
        <w:szCs w:val="2"/>
      </w:rPr>
    </w:pPr>
  </w:p>
  <w:p w14:paraId="794F0217" w14:textId="77777777" w:rsidR="005922EC" w:rsidRPr="00B976E5" w:rsidRDefault="00B26B4B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B26B4B" w:rsidP="005E2581">
    <w:pPr>
      <w:pStyle w:val="Footer"/>
      <w:ind w:right="360"/>
      <w:rPr>
        <w:sz w:val="2"/>
      </w:rPr>
    </w:pPr>
  </w:p>
  <w:p w14:paraId="6B7E9A06" w14:textId="77777777" w:rsidR="005922EC" w:rsidRDefault="00B26B4B">
    <w:pPr>
      <w:pStyle w:val="Footer"/>
      <w:rPr>
        <w:sz w:val="2"/>
      </w:rPr>
    </w:pPr>
  </w:p>
  <w:p w14:paraId="72E7CEB7" w14:textId="77777777" w:rsidR="005922EC" w:rsidRDefault="00B26B4B" w:rsidP="001F421D">
    <w:pPr>
      <w:pStyle w:val="Footer"/>
      <w:ind w:right="360"/>
      <w:rPr>
        <w:sz w:val="2"/>
      </w:rPr>
    </w:pPr>
  </w:p>
  <w:p w14:paraId="41F22A1B" w14:textId="77777777" w:rsidR="005922EC" w:rsidRDefault="00B26B4B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9B590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B26B4B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B26B4B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B5909" w:rsidRPr="009B59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B26B4B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B5909" w:rsidRPr="009B590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14:paraId="39BEC500" w14:textId="77777777" w:rsidR="005922EC" w:rsidRDefault="00B26B4B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B26B4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B26B4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B26B4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B26B4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B26B4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B26B4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B26B4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B26B4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B26B4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B26B4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B26B4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B26B4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B26B4B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B26B4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770B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770B9" w:rsidRPr="007770B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B26B4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770B9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770B9" w:rsidRPr="007770B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B26B4B" w:rsidP="00F44E41">
    <w:pPr>
      <w:rPr>
        <w:sz w:val="2"/>
        <w:szCs w:val="2"/>
      </w:rPr>
    </w:pPr>
  </w:p>
  <w:p w14:paraId="4133A36E" w14:textId="77777777" w:rsidR="005922EC" w:rsidRPr="00374688" w:rsidRDefault="00B26B4B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B26B4B">
    <w:pPr>
      <w:pStyle w:val="Footer"/>
      <w:rPr>
        <w:sz w:val="2"/>
      </w:rPr>
    </w:pPr>
  </w:p>
  <w:p w14:paraId="290BF5DA" w14:textId="77777777" w:rsidR="005922EC" w:rsidRDefault="00B26B4B">
    <w:pPr>
      <w:pStyle w:val="Footer"/>
      <w:rPr>
        <w:sz w:val="2"/>
      </w:rPr>
    </w:pPr>
  </w:p>
  <w:p w14:paraId="4AE36E22" w14:textId="77777777" w:rsidR="005922EC" w:rsidRPr="000164F0" w:rsidRDefault="00B26B4B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B26B4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B26B4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B26B4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B26B4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B26B4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B26B4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B26B4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B26B4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B26B4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B26B4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B26B4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B26B4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B26B4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B26B4B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B26B4B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41A294B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4F895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B26B4B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B590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B26B4B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40A9C" wp14:editId="1530AAB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B6B65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B26B4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B26B4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B26B4B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B26B4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B26B4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B26B4B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B26B4B">
    <w:pPr>
      <w:rPr>
        <w:sz w:val="2"/>
        <w:szCs w:val="2"/>
      </w:rPr>
    </w:pPr>
  </w:p>
  <w:p w14:paraId="421FF05C" w14:textId="77777777" w:rsidR="005922EC" w:rsidRPr="00B976E5" w:rsidRDefault="00B26B4B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B26B4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B26B4B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EEB913A" wp14:editId="071308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EA16E" id="Lin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B26B4B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770B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770B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B26B4B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4FEFC" w14:textId="77777777" w:rsidR="00B26B4B" w:rsidRDefault="00B26B4B">
      <w:r>
        <w:separator/>
      </w:r>
    </w:p>
  </w:footnote>
  <w:footnote w:type="continuationSeparator" w:id="0">
    <w:p w14:paraId="41F70F1E" w14:textId="77777777" w:rsidR="00B26B4B" w:rsidRDefault="00B2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8240" behindDoc="0" locked="0" layoutInCell="1" allowOverlap="1" wp14:anchorId="0383C8E4" wp14:editId="0D4EA5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B26B4B">
    <w:pPr>
      <w:pStyle w:val="Header"/>
      <w:jc w:val="right"/>
      <w:rPr>
        <w:sz w:val="2"/>
      </w:rPr>
    </w:pPr>
  </w:p>
  <w:p w14:paraId="418415F7" w14:textId="77777777" w:rsidR="005922EC" w:rsidRDefault="00B26B4B">
    <w:pPr>
      <w:pStyle w:val="Header"/>
      <w:jc w:val="right"/>
      <w:rPr>
        <w:sz w:val="2"/>
      </w:rPr>
    </w:pPr>
  </w:p>
  <w:p w14:paraId="034B8AA3" w14:textId="77777777" w:rsidR="005922EC" w:rsidRDefault="00B26B4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354A2EF9" wp14:editId="1D1ECCC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B26B4B">
    <w:pPr>
      <w:pStyle w:val="Header"/>
      <w:jc w:val="right"/>
      <w:rPr>
        <w:sz w:val="2"/>
      </w:rPr>
    </w:pPr>
  </w:p>
  <w:p w14:paraId="48C3FDDA" w14:textId="77777777" w:rsidR="005922EC" w:rsidRDefault="00B26B4B">
    <w:pPr>
      <w:pStyle w:val="Header"/>
      <w:jc w:val="right"/>
      <w:rPr>
        <w:sz w:val="2"/>
      </w:rPr>
    </w:pPr>
  </w:p>
  <w:p w14:paraId="21EE78D3" w14:textId="77777777" w:rsidR="005922EC" w:rsidRPr="0056798D" w:rsidRDefault="00B26B4B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B26B4B">
    <w:pPr>
      <w:pStyle w:val="Header"/>
      <w:jc w:val="right"/>
      <w:rPr>
        <w:sz w:val="2"/>
      </w:rPr>
    </w:pPr>
  </w:p>
  <w:p w14:paraId="37BD10D0" w14:textId="77777777" w:rsidR="005922EC" w:rsidRDefault="00B26B4B">
    <w:pPr>
      <w:pStyle w:val="Header"/>
      <w:jc w:val="right"/>
      <w:rPr>
        <w:sz w:val="2"/>
      </w:rPr>
    </w:pPr>
  </w:p>
  <w:p w14:paraId="6B3ABE9F" w14:textId="77777777" w:rsidR="005922EC" w:rsidRDefault="00B26B4B">
    <w:pPr>
      <w:pStyle w:val="Header"/>
      <w:jc w:val="right"/>
      <w:rPr>
        <w:sz w:val="2"/>
      </w:rPr>
    </w:pPr>
  </w:p>
  <w:p w14:paraId="47AFC968" w14:textId="77777777" w:rsidR="005922EC" w:rsidRDefault="00B26B4B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B26B4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B26B4B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B26B4B">
    <w:pPr>
      <w:pStyle w:val="Header"/>
      <w:jc w:val="right"/>
      <w:rPr>
        <w:sz w:val="2"/>
      </w:rPr>
    </w:pPr>
  </w:p>
  <w:p w14:paraId="4B02493F" w14:textId="77777777" w:rsidR="005922EC" w:rsidRDefault="00B26B4B">
    <w:pPr>
      <w:pStyle w:val="Header"/>
      <w:jc w:val="right"/>
      <w:rPr>
        <w:sz w:val="2"/>
      </w:rPr>
    </w:pPr>
  </w:p>
  <w:p w14:paraId="31C0E562" w14:textId="77777777" w:rsidR="005922EC" w:rsidRDefault="00B26B4B">
    <w:pPr>
      <w:pStyle w:val="Header"/>
      <w:jc w:val="right"/>
      <w:rPr>
        <w:sz w:val="2"/>
      </w:rPr>
    </w:pPr>
  </w:p>
  <w:p w14:paraId="502C9EDE" w14:textId="77777777" w:rsidR="005922EC" w:rsidRDefault="00B26B4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1746C"/>
    <w:multiLevelType w:val="hybridMultilevel"/>
    <w:tmpl w:val="1EDC2EE4"/>
    <w:lvl w:ilvl="0" w:tplc="A3E03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56A7"/>
    <w:multiLevelType w:val="hybridMultilevel"/>
    <w:tmpl w:val="24D457FC"/>
    <w:lvl w:ilvl="0" w:tplc="C526BF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237BF"/>
    <w:multiLevelType w:val="hybridMultilevel"/>
    <w:tmpl w:val="9BAED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0093B"/>
    <w:multiLevelType w:val="hybridMultilevel"/>
    <w:tmpl w:val="A85431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5"/>
  </w:num>
  <w:num w:numId="8">
    <w:abstractNumId w:val="2"/>
  </w:num>
  <w:num w:numId="9">
    <w:abstractNumId w:val="1"/>
  </w:num>
  <w:num w:numId="10">
    <w:abstractNumId w:val="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376A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1086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C5B3A"/>
    <w:rsid w:val="004D7DA5"/>
    <w:rsid w:val="004E29DD"/>
    <w:rsid w:val="004F6B76"/>
    <w:rsid w:val="004F779A"/>
    <w:rsid w:val="00503FE8"/>
    <w:rsid w:val="00507656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170CE"/>
    <w:rsid w:val="00627F4B"/>
    <w:rsid w:val="00641E5E"/>
    <w:rsid w:val="00643621"/>
    <w:rsid w:val="00652641"/>
    <w:rsid w:val="00654F8D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770B9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979F4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5909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26B4B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29C4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C6FC1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7A0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805C0"/>
    <w:rsid w:val="00EB4BF2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661D"/>
    <w:rsid w:val="00F37489"/>
    <w:rsid w:val="00F61CFF"/>
    <w:rsid w:val="00F625A5"/>
    <w:rsid w:val="00F63C49"/>
    <w:rsid w:val="00F64F30"/>
    <w:rsid w:val="00F71197"/>
    <w:rsid w:val="00F76F70"/>
    <w:rsid w:val="00F808A2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32</cp:revision>
  <cp:lastPrinted>2016-10-13T14:20:00Z</cp:lastPrinted>
  <dcterms:created xsi:type="dcterms:W3CDTF">2015-11-09T11:37:00Z</dcterms:created>
  <dcterms:modified xsi:type="dcterms:W3CDTF">2016-11-10T10:34:00Z</dcterms:modified>
</cp:coreProperties>
</file>