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1C" w:rsidRPr="0010661E" w:rsidRDefault="0030681C" w:rsidP="0030681C">
      <w:pPr>
        <w:jc w:val="both"/>
        <w:rPr>
          <w:rFonts w:ascii="Calibri" w:hAnsi="Calibri" w:cs="Calibri"/>
          <w:sz w:val="22"/>
          <w:szCs w:val="22"/>
        </w:rPr>
      </w:pPr>
    </w:p>
    <w:p w:rsidR="0030681C" w:rsidRPr="0010661E" w:rsidRDefault="0030681C" w:rsidP="0030681C">
      <w:pPr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:rsidR="0030681C" w:rsidRPr="0010661E" w:rsidRDefault="0030681C" w:rsidP="0030681C">
      <w:pPr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:rsidR="0030681C" w:rsidRPr="0010661E" w:rsidRDefault="0030681C" w:rsidP="0030681C">
      <w:pPr>
        <w:jc w:val="both"/>
        <w:rPr>
          <w:rFonts w:ascii="Calibri" w:hAnsi="Calibri" w:cs="Calibri"/>
          <w:b/>
          <w:bCs/>
          <w:iCs/>
          <w:sz w:val="44"/>
          <w:szCs w:val="44"/>
        </w:rPr>
      </w:pPr>
    </w:p>
    <w:p w:rsidR="0030681C" w:rsidRPr="0010661E" w:rsidRDefault="0030681C" w:rsidP="0030681C">
      <w:pPr>
        <w:jc w:val="center"/>
        <w:rPr>
          <w:rFonts w:ascii="Calibri" w:hAnsi="Calibri" w:cs="Calibri"/>
          <w:b/>
          <w:bCs/>
          <w:iCs/>
          <w:sz w:val="44"/>
          <w:szCs w:val="44"/>
        </w:rPr>
      </w:pPr>
    </w:p>
    <w:p w:rsidR="0030681C" w:rsidRPr="0010661E" w:rsidRDefault="0030681C" w:rsidP="0030681C">
      <w:pPr>
        <w:jc w:val="center"/>
        <w:rPr>
          <w:rFonts w:ascii="Calibri" w:hAnsi="Calibri" w:cs="Calibri"/>
          <w:b/>
          <w:bCs/>
          <w:iCs/>
          <w:sz w:val="44"/>
          <w:szCs w:val="44"/>
        </w:rPr>
      </w:pPr>
    </w:p>
    <w:p w:rsidR="0030681C" w:rsidRPr="0010661E" w:rsidRDefault="0030681C" w:rsidP="0030681C">
      <w:pPr>
        <w:jc w:val="center"/>
        <w:rPr>
          <w:rFonts w:ascii="Calibri" w:hAnsi="Calibri" w:cs="Calibri"/>
          <w:b/>
          <w:bCs/>
          <w:iCs/>
          <w:sz w:val="44"/>
          <w:szCs w:val="44"/>
        </w:rPr>
      </w:pPr>
    </w:p>
    <w:p w:rsidR="00A804C8" w:rsidRPr="0010661E" w:rsidRDefault="00A804C8" w:rsidP="0030681C">
      <w:pPr>
        <w:jc w:val="center"/>
        <w:rPr>
          <w:rFonts w:ascii="Calibri" w:hAnsi="Calibri" w:cs="Calibri"/>
          <w:b/>
          <w:bCs/>
          <w:iCs/>
          <w:sz w:val="44"/>
          <w:szCs w:val="44"/>
        </w:rPr>
      </w:pPr>
    </w:p>
    <w:p w:rsidR="0030681C" w:rsidRPr="0010661E" w:rsidRDefault="0030681C" w:rsidP="00A804C8">
      <w:pPr>
        <w:spacing w:line="480" w:lineRule="auto"/>
        <w:jc w:val="center"/>
        <w:rPr>
          <w:rFonts w:ascii="Calibri" w:hAnsi="Calibri" w:cs="Calibri"/>
          <w:b/>
          <w:sz w:val="44"/>
          <w:szCs w:val="44"/>
        </w:rPr>
      </w:pPr>
      <w:r w:rsidRPr="0010661E">
        <w:rPr>
          <w:rFonts w:ascii="Calibri" w:hAnsi="Calibri" w:cs="Calibri"/>
          <w:b/>
          <w:sz w:val="44"/>
          <w:szCs w:val="44"/>
        </w:rPr>
        <w:t xml:space="preserve">FINANCIJSKI REZULTATI ZA </w:t>
      </w:r>
      <w:r w:rsidR="00590C45" w:rsidRPr="0010661E">
        <w:rPr>
          <w:rFonts w:ascii="Calibri" w:hAnsi="Calibri" w:cs="Calibri"/>
          <w:b/>
          <w:sz w:val="44"/>
          <w:szCs w:val="44"/>
        </w:rPr>
        <w:t xml:space="preserve">2014. </w:t>
      </w:r>
    </w:p>
    <w:p w:rsidR="0030681C" w:rsidRPr="0010661E" w:rsidRDefault="0030681C" w:rsidP="0030681C">
      <w:pPr>
        <w:spacing w:line="480" w:lineRule="auto"/>
        <w:jc w:val="center"/>
        <w:rPr>
          <w:rFonts w:ascii="Calibri" w:hAnsi="Calibri" w:cs="Calibri"/>
          <w:b/>
          <w:bCs/>
          <w:iCs/>
          <w:sz w:val="44"/>
          <w:szCs w:val="44"/>
        </w:rPr>
      </w:pPr>
    </w:p>
    <w:p w:rsidR="0030681C" w:rsidRPr="0010661E" w:rsidRDefault="0030681C" w:rsidP="0030681C">
      <w:pPr>
        <w:spacing w:line="480" w:lineRule="auto"/>
        <w:jc w:val="both"/>
        <w:rPr>
          <w:rFonts w:ascii="Calibri" w:hAnsi="Calibri" w:cs="Calibri"/>
          <w:b/>
          <w:bCs/>
          <w:iCs/>
          <w:sz w:val="44"/>
          <w:szCs w:val="44"/>
        </w:rPr>
      </w:pPr>
    </w:p>
    <w:p w:rsidR="0030681C" w:rsidRPr="0010661E" w:rsidRDefault="0030681C" w:rsidP="0030681C">
      <w:pPr>
        <w:spacing w:line="480" w:lineRule="auto"/>
        <w:jc w:val="both"/>
        <w:rPr>
          <w:rFonts w:ascii="Calibri" w:hAnsi="Calibri" w:cs="Calibri"/>
          <w:b/>
          <w:bCs/>
          <w:iCs/>
          <w:sz w:val="20"/>
          <w:szCs w:val="20"/>
        </w:rPr>
      </w:pPr>
    </w:p>
    <w:p w:rsidR="0030681C" w:rsidRPr="0010661E" w:rsidRDefault="0030681C" w:rsidP="0030681C">
      <w:pPr>
        <w:spacing w:line="480" w:lineRule="auto"/>
        <w:jc w:val="both"/>
        <w:rPr>
          <w:rFonts w:ascii="Calibri" w:hAnsi="Calibri" w:cs="Calibri"/>
          <w:b/>
          <w:bCs/>
          <w:iCs/>
          <w:sz w:val="20"/>
          <w:szCs w:val="20"/>
        </w:rPr>
      </w:pPr>
    </w:p>
    <w:p w:rsidR="001977F0" w:rsidRPr="0010661E" w:rsidRDefault="001977F0" w:rsidP="0030681C">
      <w:pPr>
        <w:jc w:val="both"/>
        <w:rPr>
          <w:rFonts w:ascii="Calibri" w:hAnsi="Calibri" w:cs="Calibri"/>
          <w:b/>
          <w:bCs/>
          <w:iCs/>
          <w:sz w:val="20"/>
          <w:szCs w:val="20"/>
        </w:rPr>
      </w:pPr>
    </w:p>
    <w:p w:rsidR="0030681C" w:rsidRPr="0010661E" w:rsidRDefault="0030681C" w:rsidP="0030681C">
      <w:pPr>
        <w:jc w:val="both"/>
        <w:rPr>
          <w:rFonts w:ascii="Calibri" w:hAnsi="Calibri" w:cs="Calibri"/>
          <w:b/>
          <w:bCs/>
          <w:iCs/>
          <w:sz w:val="20"/>
          <w:szCs w:val="20"/>
        </w:rPr>
      </w:pPr>
    </w:p>
    <w:p w:rsidR="0030681C" w:rsidRPr="0010661E" w:rsidRDefault="0030681C" w:rsidP="0030681C">
      <w:pPr>
        <w:jc w:val="both"/>
        <w:outlineLvl w:val="0"/>
        <w:rPr>
          <w:rFonts w:ascii="Calibri" w:hAnsi="Calibri" w:cs="Calibri"/>
          <w:color w:val="808080"/>
          <w:sz w:val="20"/>
          <w:szCs w:val="20"/>
        </w:rPr>
      </w:pPr>
      <w:r w:rsidRPr="0010661E">
        <w:rPr>
          <w:rFonts w:ascii="Calibri" w:hAnsi="Calibri" w:cs="Calibri"/>
          <w:color w:val="808080"/>
          <w:sz w:val="20"/>
          <w:szCs w:val="20"/>
        </w:rPr>
        <w:t>Kontakt:</w:t>
      </w:r>
    </w:p>
    <w:p w:rsidR="0030681C" w:rsidRPr="0010661E" w:rsidRDefault="0030681C" w:rsidP="0030681C">
      <w:pPr>
        <w:jc w:val="both"/>
        <w:rPr>
          <w:rFonts w:ascii="Calibri" w:hAnsi="Calibri" w:cs="Calibri"/>
          <w:sz w:val="20"/>
          <w:szCs w:val="20"/>
        </w:rPr>
      </w:pPr>
    </w:p>
    <w:p w:rsidR="0030681C" w:rsidRPr="0010661E" w:rsidRDefault="0030681C" w:rsidP="0030681C">
      <w:pPr>
        <w:jc w:val="both"/>
        <w:rPr>
          <w:rFonts w:ascii="Calibri" w:hAnsi="Calibri" w:cs="Calibri"/>
          <w:color w:val="999999"/>
          <w:sz w:val="20"/>
          <w:szCs w:val="20"/>
        </w:rPr>
      </w:pPr>
      <w:r w:rsidRPr="0010661E">
        <w:rPr>
          <w:rFonts w:ascii="Calibri" w:hAnsi="Calibri" w:cs="Calibri"/>
          <w:color w:val="999999"/>
          <w:sz w:val="20"/>
          <w:szCs w:val="20"/>
        </w:rPr>
        <w:t xml:space="preserve">INA-Industrija nafte, </w:t>
      </w:r>
      <w:proofErr w:type="spellStart"/>
      <w:r w:rsidRPr="0010661E">
        <w:rPr>
          <w:rFonts w:ascii="Calibri" w:hAnsi="Calibri" w:cs="Calibri"/>
          <w:color w:val="999999"/>
          <w:sz w:val="20"/>
          <w:szCs w:val="20"/>
        </w:rPr>
        <w:t>d.d</w:t>
      </w:r>
      <w:proofErr w:type="spellEnd"/>
      <w:r w:rsidRPr="0010661E">
        <w:rPr>
          <w:rFonts w:ascii="Calibri" w:hAnsi="Calibri" w:cs="Calibri"/>
          <w:color w:val="999999"/>
          <w:sz w:val="20"/>
          <w:szCs w:val="20"/>
        </w:rPr>
        <w:t>.</w:t>
      </w:r>
    </w:p>
    <w:p w:rsidR="0030681C" w:rsidRPr="0010661E" w:rsidRDefault="0030681C" w:rsidP="0030681C">
      <w:pPr>
        <w:jc w:val="both"/>
        <w:rPr>
          <w:rFonts w:ascii="Calibri" w:hAnsi="Calibri" w:cs="Calibri"/>
          <w:color w:val="999999"/>
          <w:sz w:val="20"/>
          <w:szCs w:val="20"/>
        </w:rPr>
      </w:pPr>
      <w:r w:rsidRPr="0010661E">
        <w:rPr>
          <w:rFonts w:ascii="Calibri" w:hAnsi="Calibri" w:cs="Calibri"/>
          <w:color w:val="999999"/>
          <w:sz w:val="20"/>
          <w:szCs w:val="20"/>
        </w:rPr>
        <w:t xml:space="preserve">Sektor korporativnih komunikacija </w:t>
      </w:r>
    </w:p>
    <w:p w:rsidR="0030681C" w:rsidRPr="0010661E" w:rsidRDefault="0030681C" w:rsidP="0030681C">
      <w:pPr>
        <w:jc w:val="both"/>
        <w:rPr>
          <w:rFonts w:ascii="Calibri" w:hAnsi="Calibri" w:cs="Calibri"/>
          <w:color w:val="999999"/>
          <w:sz w:val="20"/>
          <w:szCs w:val="20"/>
        </w:rPr>
      </w:pPr>
      <w:r w:rsidRPr="0010661E">
        <w:rPr>
          <w:rFonts w:ascii="Calibri" w:hAnsi="Calibri" w:cs="Calibri"/>
          <w:color w:val="999999"/>
          <w:sz w:val="20"/>
          <w:szCs w:val="20"/>
        </w:rPr>
        <w:t>Avenija Većeslava Holjevca 10, Zagreb</w:t>
      </w:r>
    </w:p>
    <w:p w:rsidR="0030681C" w:rsidRPr="0010661E" w:rsidRDefault="0030681C" w:rsidP="0030681C">
      <w:pPr>
        <w:jc w:val="both"/>
        <w:rPr>
          <w:rFonts w:ascii="Calibri" w:hAnsi="Calibri" w:cs="Calibri"/>
          <w:color w:val="999999"/>
          <w:sz w:val="20"/>
          <w:szCs w:val="20"/>
        </w:rPr>
      </w:pPr>
    </w:p>
    <w:p w:rsidR="0030681C" w:rsidRPr="0010661E" w:rsidRDefault="0030681C" w:rsidP="0030681C">
      <w:pPr>
        <w:jc w:val="both"/>
        <w:outlineLvl w:val="0"/>
        <w:rPr>
          <w:rFonts w:ascii="Calibri" w:hAnsi="Calibri" w:cs="Calibri"/>
          <w:color w:val="999999"/>
          <w:sz w:val="20"/>
          <w:szCs w:val="20"/>
        </w:rPr>
      </w:pPr>
      <w:r w:rsidRPr="0010661E">
        <w:rPr>
          <w:rFonts w:ascii="Calibri" w:hAnsi="Calibri" w:cs="Calibri"/>
          <w:color w:val="999999"/>
          <w:sz w:val="20"/>
          <w:szCs w:val="20"/>
        </w:rPr>
        <w:t>Služba za odnose s javnošću</w:t>
      </w:r>
    </w:p>
    <w:p w:rsidR="0030681C" w:rsidRPr="0010661E" w:rsidRDefault="0030681C" w:rsidP="0030681C">
      <w:pPr>
        <w:jc w:val="both"/>
        <w:rPr>
          <w:rFonts w:ascii="Calibri" w:hAnsi="Calibri" w:cs="Calibri"/>
          <w:color w:val="999999"/>
          <w:sz w:val="20"/>
          <w:szCs w:val="20"/>
        </w:rPr>
      </w:pPr>
      <w:r w:rsidRPr="0010661E">
        <w:rPr>
          <w:rFonts w:ascii="Calibri" w:hAnsi="Calibri" w:cs="Calibri"/>
          <w:color w:val="999999"/>
          <w:sz w:val="20"/>
          <w:szCs w:val="20"/>
        </w:rPr>
        <w:t xml:space="preserve">E-mail:  </w:t>
      </w:r>
      <w:hyperlink r:id="rId9" w:history="1">
        <w:r w:rsidRPr="0010661E">
          <w:rPr>
            <w:rStyle w:val="Hyperlink"/>
            <w:rFonts w:ascii="Calibri" w:hAnsi="Calibri" w:cs="Calibri"/>
            <w:color w:val="999999"/>
            <w:sz w:val="20"/>
            <w:szCs w:val="20"/>
          </w:rPr>
          <w:t>PR@ina.hr</w:t>
        </w:r>
      </w:hyperlink>
    </w:p>
    <w:p w:rsidR="0030681C" w:rsidRPr="0010661E" w:rsidRDefault="0030681C" w:rsidP="0030681C">
      <w:pPr>
        <w:jc w:val="both"/>
        <w:rPr>
          <w:rFonts w:ascii="Calibri" w:hAnsi="Calibri" w:cs="Calibri"/>
          <w:color w:val="999999"/>
          <w:sz w:val="20"/>
          <w:szCs w:val="20"/>
        </w:rPr>
      </w:pPr>
      <w:r w:rsidRPr="0010661E">
        <w:rPr>
          <w:rFonts w:ascii="Calibri" w:hAnsi="Calibri" w:cs="Calibri"/>
          <w:color w:val="999999"/>
          <w:sz w:val="20"/>
          <w:szCs w:val="20"/>
        </w:rPr>
        <w:t xml:space="preserve">ili posjetite </w:t>
      </w:r>
      <w:proofErr w:type="spellStart"/>
      <w:r w:rsidRPr="0010661E">
        <w:rPr>
          <w:rFonts w:ascii="Calibri" w:hAnsi="Calibri" w:cs="Calibri"/>
          <w:color w:val="999999"/>
          <w:sz w:val="20"/>
          <w:szCs w:val="20"/>
        </w:rPr>
        <w:t>Press</w:t>
      </w:r>
      <w:proofErr w:type="spellEnd"/>
      <w:r w:rsidRPr="0010661E">
        <w:rPr>
          <w:rFonts w:ascii="Calibri" w:hAnsi="Calibri" w:cs="Calibri"/>
          <w:color w:val="999999"/>
          <w:sz w:val="20"/>
          <w:szCs w:val="20"/>
        </w:rPr>
        <w:t xml:space="preserve"> centar na </w:t>
      </w:r>
      <w:hyperlink r:id="rId10" w:history="1">
        <w:r w:rsidRPr="0010661E">
          <w:rPr>
            <w:rStyle w:val="Hyperlink"/>
            <w:rFonts w:ascii="Calibri" w:hAnsi="Calibri" w:cs="Calibri"/>
            <w:color w:val="999999"/>
            <w:sz w:val="20"/>
            <w:szCs w:val="20"/>
          </w:rPr>
          <w:t>www.ina.hr</w:t>
        </w:r>
      </w:hyperlink>
      <w:r w:rsidRPr="0010661E">
        <w:rPr>
          <w:rFonts w:ascii="Calibri" w:hAnsi="Calibri" w:cs="Calibri"/>
          <w:color w:val="999999"/>
          <w:sz w:val="20"/>
          <w:szCs w:val="20"/>
        </w:rPr>
        <w:t xml:space="preserve"> </w:t>
      </w:r>
    </w:p>
    <w:p w:rsidR="0030681C" w:rsidRPr="0010661E" w:rsidRDefault="0030681C" w:rsidP="0030681C">
      <w:pPr>
        <w:jc w:val="center"/>
        <w:rPr>
          <w:rFonts w:ascii="Calibri" w:hAnsi="Calibri" w:cs="Calibri"/>
          <w:b/>
          <w:sz w:val="20"/>
          <w:szCs w:val="20"/>
        </w:rPr>
        <w:sectPr w:rsidR="0030681C" w:rsidRPr="0010661E" w:rsidSect="0039152A">
          <w:headerReference w:type="default" r:id="rId11"/>
          <w:footerReference w:type="default" r:id="rId12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966770" w:rsidRPr="0010661E" w:rsidRDefault="0030681C" w:rsidP="0095206B">
      <w:pPr>
        <w:tabs>
          <w:tab w:val="left" w:pos="1335"/>
        </w:tabs>
        <w:jc w:val="both"/>
        <w:rPr>
          <w:rFonts w:ascii="Calibri" w:hAnsi="Calibri" w:cs="Calibri"/>
          <w:sz w:val="22"/>
          <w:szCs w:val="22"/>
        </w:rPr>
      </w:pPr>
      <w:r w:rsidRPr="0010661E">
        <w:rPr>
          <w:rFonts w:ascii="Calibri" w:hAnsi="Calibri" w:cs="Calibri"/>
          <w:sz w:val="22"/>
          <w:szCs w:val="22"/>
        </w:rPr>
        <w:lastRenderedPageBreak/>
        <w:tab/>
      </w:r>
      <w:bookmarkStart w:id="0" w:name="OLE_LINK1"/>
    </w:p>
    <w:p w:rsidR="0030681C" w:rsidRPr="0010661E" w:rsidRDefault="0030681C" w:rsidP="00966770">
      <w:pPr>
        <w:tabs>
          <w:tab w:val="left" w:pos="1335"/>
        </w:tabs>
        <w:jc w:val="center"/>
        <w:rPr>
          <w:rFonts w:ascii="Calibri" w:hAnsi="Calibri" w:cs="Calibri"/>
          <w:b/>
          <w:bCs/>
        </w:rPr>
      </w:pPr>
      <w:r w:rsidRPr="0010661E">
        <w:rPr>
          <w:rFonts w:ascii="Calibri" w:hAnsi="Calibri" w:cs="Calibri"/>
          <w:b/>
          <w:bCs/>
        </w:rPr>
        <w:t xml:space="preserve">INA objavila financijske rezultate za </w:t>
      </w:r>
      <w:r w:rsidR="00590C45" w:rsidRPr="0010661E">
        <w:rPr>
          <w:rFonts w:ascii="Calibri" w:hAnsi="Calibri" w:cs="Calibri"/>
          <w:b/>
          <w:bCs/>
        </w:rPr>
        <w:t>2014</w:t>
      </w:r>
      <w:r w:rsidRPr="0010661E">
        <w:rPr>
          <w:rFonts w:ascii="Calibri" w:hAnsi="Calibri" w:cs="Calibri"/>
          <w:b/>
          <w:bCs/>
        </w:rPr>
        <w:t xml:space="preserve">. </w:t>
      </w:r>
    </w:p>
    <w:p w:rsidR="005479CB" w:rsidRPr="0010661E" w:rsidRDefault="005479CB" w:rsidP="005479CB">
      <w:pPr>
        <w:jc w:val="both"/>
        <w:rPr>
          <w:rFonts w:ascii="Calibri" w:hAnsi="Calibri" w:cs="Calibri"/>
          <w:u w:val="single"/>
        </w:rPr>
      </w:pPr>
    </w:p>
    <w:p w:rsidR="005479CB" w:rsidRPr="0010661E" w:rsidRDefault="005479CB" w:rsidP="002557E3">
      <w:pPr>
        <w:tabs>
          <w:tab w:val="left" w:pos="1335"/>
        </w:tabs>
        <w:rPr>
          <w:rFonts w:ascii="Calibri" w:hAnsi="Calibri" w:cs="Calibri"/>
          <w:u w:val="single"/>
        </w:rPr>
      </w:pPr>
      <w:r w:rsidRPr="0010661E">
        <w:rPr>
          <w:rFonts w:ascii="Calibri" w:hAnsi="Calibri" w:cs="Calibri"/>
          <w:u w:val="single"/>
        </w:rPr>
        <w:t>Ključna postignuća</w:t>
      </w:r>
    </w:p>
    <w:p w:rsidR="002557E3" w:rsidRPr="0010661E" w:rsidRDefault="002557E3" w:rsidP="002557E3">
      <w:pPr>
        <w:tabs>
          <w:tab w:val="left" w:pos="1335"/>
        </w:tabs>
        <w:rPr>
          <w:rFonts w:ascii="Calibri" w:hAnsi="Calibri" w:cs="Calibri"/>
          <w:u w:val="single"/>
        </w:rPr>
      </w:pPr>
    </w:p>
    <w:p w:rsidR="002557E3" w:rsidRPr="0010661E" w:rsidRDefault="00FF335F" w:rsidP="002557E3">
      <w:pPr>
        <w:numPr>
          <w:ilvl w:val="0"/>
          <w:numId w:val="16"/>
        </w:numPr>
        <w:spacing w:after="200" w:line="276" w:lineRule="auto"/>
        <w:jc w:val="both"/>
        <w:rPr>
          <w:rFonts w:ascii="Calibri" w:hAnsi="Calibri" w:cs="Calibri"/>
        </w:rPr>
      </w:pPr>
      <w:r w:rsidRPr="0010661E">
        <w:rPr>
          <w:rFonts w:ascii="Calibri" w:hAnsi="Calibri" w:cs="Calibri"/>
        </w:rPr>
        <w:t>Neto dobit INA Grupe (bez jednokratnih stavki</w:t>
      </w:r>
      <w:r w:rsidRPr="0010661E">
        <w:rPr>
          <w:rStyle w:val="FootnoteReference"/>
          <w:rFonts w:ascii="Calibri" w:hAnsi="Calibri" w:cs="Calibri"/>
        </w:rPr>
        <w:footnoteReference w:id="1"/>
      </w:r>
      <w:r w:rsidRPr="0010661E">
        <w:rPr>
          <w:rFonts w:ascii="Calibri" w:hAnsi="Calibri" w:cs="Calibri"/>
        </w:rPr>
        <w:t>) iznosila je 3</w:t>
      </w:r>
      <w:r w:rsidR="00973EB8">
        <w:rPr>
          <w:rFonts w:ascii="Calibri" w:hAnsi="Calibri" w:cs="Calibri"/>
        </w:rPr>
        <w:t>4</w:t>
      </w:r>
      <w:r w:rsidRPr="0010661E">
        <w:rPr>
          <w:rFonts w:ascii="Calibri" w:hAnsi="Calibri" w:cs="Calibri"/>
        </w:rPr>
        <w:t xml:space="preserve">4 milijuna kuna </w:t>
      </w:r>
    </w:p>
    <w:p w:rsidR="00FF335F" w:rsidRPr="0010661E" w:rsidRDefault="00FF335F" w:rsidP="00FF335F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10661E">
        <w:rPr>
          <w:rFonts w:asciiTheme="minorHAnsi" w:hAnsiTheme="minorHAnsi" w:cstheme="minorHAnsi"/>
        </w:rPr>
        <w:t>Neto zaduženost je smanjena za daljnjih 37% na razinu od 2.991 milijuna kuna</w:t>
      </w:r>
      <w:r w:rsidR="00973EB8">
        <w:rPr>
          <w:rFonts w:asciiTheme="minorHAnsi" w:hAnsiTheme="minorHAnsi" w:cstheme="minorHAnsi"/>
        </w:rPr>
        <w:t xml:space="preserve"> dok je</w:t>
      </w:r>
      <w:r w:rsidRPr="0010661E">
        <w:rPr>
          <w:rFonts w:asciiTheme="minorHAnsi" w:hAnsiTheme="minorHAnsi" w:cstheme="minorHAnsi"/>
        </w:rPr>
        <w:t xml:space="preserve"> neto omjer duga i kapitala</w:t>
      </w:r>
      <w:r w:rsidR="00973EB8">
        <w:rPr>
          <w:rFonts w:asciiTheme="minorHAnsi" w:hAnsiTheme="minorHAnsi" w:cstheme="minorHAnsi"/>
        </w:rPr>
        <w:t xml:space="preserve"> smanjen</w:t>
      </w:r>
      <w:r w:rsidRPr="0010661E">
        <w:rPr>
          <w:rFonts w:asciiTheme="minorHAnsi" w:hAnsiTheme="minorHAnsi" w:cstheme="minorHAnsi"/>
        </w:rPr>
        <w:t xml:space="preserve"> na 20,4%</w:t>
      </w:r>
      <w:r w:rsidR="0010661E">
        <w:rPr>
          <w:rFonts w:asciiTheme="minorHAnsi" w:hAnsiTheme="minorHAnsi" w:cstheme="minorHAnsi"/>
        </w:rPr>
        <w:t xml:space="preserve"> u odnosu na 27,0</w:t>
      </w:r>
      <w:r w:rsidRPr="0010661E">
        <w:rPr>
          <w:rFonts w:asciiTheme="minorHAnsi" w:hAnsiTheme="minorHAnsi" w:cstheme="minorHAnsi"/>
        </w:rPr>
        <w:t xml:space="preserve">% krajem 2013. </w:t>
      </w:r>
    </w:p>
    <w:p w:rsidR="00FF335F" w:rsidRPr="0010661E" w:rsidRDefault="00FF335F" w:rsidP="00FF335F">
      <w:pPr>
        <w:pStyle w:val="ListParagraph"/>
        <w:jc w:val="both"/>
        <w:rPr>
          <w:rFonts w:asciiTheme="minorHAnsi" w:hAnsiTheme="minorHAnsi" w:cstheme="minorHAnsi"/>
        </w:rPr>
      </w:pPr>
    </w:p>
    <w:p w:rsidR="00FF335F" w:rsidRPr="0010661E" w:rsidRDefault="00FF335F" w:rsidP="00FF335F">
      <w:pPr>
        <w:numPr>
          <w:ilvl w:val="0"/>
          <w:numId w:val="16"/>
        </w:numPr>
        <w:spacing w:after="200" w:line="276" w:lineRule="auto"/>
        <w:jc w:val="both"/>
        <w:rPr>
          <w:rFonts w:ascii="Calibri" w:hAnsi="Calibri" w:cs="Calibri"/>
        </w:rPr>
      </w:pPr>
      <w:r w:rsidRPr="0010661E">
        <w:rPr>
          <w:rFonts w:ascii="Calibri" w:hAnsi="Calibri" w:cs="Calibri"/>
        </w:rPr>
        <w:t>Značajna razina ulaganja od 1.</w:t>
      </w:r>
      <w:r w:rsidR="00973EB8">
        <w:rPr>
          <w:rFonts w:ascii="Calibri" w:hAnsi="Calibri" w:cs="Calibri"/>
        </w:rPr>
        <w:t>691</w:t>
      </w:r>
      <w:r w:rsidR="00973EB8" w:rsidRPr="0010661E">
        <w:rPr>
          <w:rFonts w:ascii="Calibri" w:hAnsi="Calibri" w:cs="Calibri"/>
        </w:rPr>
        <w:t xml:space="preserve"> </w:t>
      </w:r>
      <w:r w:rsidRPr="0010661E">
        <w:rPr>
          <w:rFonts w:ascii="Calibri" w:hAnsi="Calibri" w:cs="Calibri"/>
        </w:rPr>
        <w:t xml:space="preserve">milijuna kuna </w:t>
      </w:r>
    </w:p>
    <w:p w:rsidR="002557E3" w:rsidRPr="0010661E" w:rsidRDefault="00FF335F" w:rsidP="00FF335F">
      <w:pPr>
        <w:numPr>
          <w:ilvl w:val="0"/>
          <w:numId w:val="16"/>
        </w:numPr>
        <w:spacing w:after="200" w:line="276" w:lineRule="auto"/>
        <w:jc w:val="both"/>
        <w:rPr>
          <w:rFonts w:ascii="Calibri" w:hAnsi="Calibri" w:cs="Calibri"/>
        </w:rPr>
      </w:pPr>
      <w:r w:rsidRPr="0010661E">
        <w:rPr>
          <w:rFonts w:asciiTheme="minorHAnsi" w:hAnsiTheme="minorHAnsi" w:cstheme="minorHAnsi"/>
        </w:rPr>
        <w:t>Povećanje proizvodnje sirove nafte</w:t>
      </w:r>
      <w:r w:rsidRPr="0010661E">
        <w:rPr>
          <w:rFonts w:ascii="Calibri" w:hAnsi="Calibri" w:cs="Calibri"/>
        </w:rPr>
        <w:t xml:space="preserve"> od </w:t>
      </w:r>
      <w:r w:rsidR="002557E3" w:rsidRPr="0010661E">
        <w:rPr>
          <w:rFonts w:ascii="Calibri" w:hAnsi="Calibri" w:cs="Calibri"/>
        </w:rPr>
        <w:t>5%</w:t>
      </w:r>
      <w:r w:rsidRPr="0010661E">
        <w:rPr>
          <w:rFonts w:ascii="Calibri" w:hAnsi="Calibri" w:cs="Calibri"/>
        </w:rPr>
        <w:t xml:space="preserve">, </w:t>
      </w:r>
      <w:r w:rsidRPr="0010661E">
        <w:rPr>
          <w:rFonts w:asciiTheme="minorHAnsi" w:hAnsiTheme="minorHAnsi" w:cstheme="minorHAnsi"/>
        </w:rPr>
        <w:t>prvi puta u više od deset godina</w:t>
      </w:r>
      <w:r w:rsidRPr="0010661E">
        <w:rPr>
          <w:rFonts w:ascii="Calibri" w:hAnsi="Calibri" w:cs="Calibri"/>
        </w:rPr>
        <w:t xml:space="preserve"> </w:t>
      </w:r>
    </w:p>
    <w:p w:rsidR="00FF335F" w:rsidRPr="0010661E" w:rsidRDefault="00FF335F" w:rsidP="00680EB9">
      <w:pPr>
        <w:pStyle w:val="ListParagraph"/>
        <w:jc w:val="both"/>
        <w:rPr>
          <w:rFonts w:asciiTheme="minorHAnsi" w:hAnsiTheme="minorHAnsi" w:cstheme="minorHAnsi"/>
        </w:rPr>
      </w:pPr>
    </w:p>
    <w:p w:rsidR="004C3A11" w:rsidRPr="0010661E" w:rsidRDefault="0030681C" w:rsidP="00A804C8">
      <w:pPr>
        <w:tabs>
          <w:tab w:val="left" w:pos="9356"/>
        </w:tabs>
        <w:jc w:val="both"/>
        <w:rPr>
          <w:rFonts w:ascii="Calibri" w:hAnsi="Calibri" w:cs="Calibri"/>
        </w:rPr>
      </w:pPr>
      <w:r w:rsidRPr="0010661E">
        <w:rPr>
          <w:rFonts w:ascii="Calibri" w:hAnsi="Calibri" w:cs="Calibri"/>
          <w:b/>
        </w:rPr>
        <w:t xml:space="preserve">Zagreb, </w:t>
      </w:r>
      <w:r w:rsidR="00A804C8" w:rsidRPr="0010661E">
        <w:rPr>
          <w:rFonts w:ascii="Calibri" w:hAnsi="Calibri" w:cs="Calibri"/>
          <w:b/>
        </w:rPr>
        <w:t>14</w:t>
      </w:r>
      <w:r w:rsidR="0094360A" w:rsidRPr="0010661E">
        <w:rPr>
          <w:rFonts w:ascii="Calibri" w:hAnsi="Calibri" w:cs="Calibri"/>
          <w:b/>
        </w:rPr>
        <w:t xml:space="preserve">. </w:t>
      </w:r>
      <w:r w:rsidR="00A804C8" w:rsidRPr="0010661E">
        <w:rPr>
          <w:rFonts w:ascii="Calibri" w:hAnsi="Calibri" w:cs="Calibri"/>
          <w:b/>
        </w:rPr>
        <w:t>veljače</w:t>
      </w:r>
      <w:r w:rsidR="002C461D" w:rsidRPr="0010661E">
        <w:rPr>
          <w:rFonts w:ascii="Calibri" w:hAnsi="Calibri" w:cs="Calibri"/>
          <w:b/>
        </w:rPr>
        <w:t xml:space="preserve"> 201</w:t>
      </w:r>
      <w:r w:rsidR="00A804C8" w:rsidRPr="0010661E">
        <w:rPr>
          <w:rFonts w:ascii="Calibri" w:hAnsi="Calibri" w:cs="Calibri"/>
          <w:b/>
        </w:rPr>
        <w:t>5</w:t>
      </w:r>
      <w:r w:rsidR="002C461D" w:rsidRPr="0010661E">
        <w:rPr>
          <w:rFonts w:ascii="Calibri" w:hAnsi="Calibri" w:cs="Calibri"/>
          <w:b/>
        </w:rPr>
        <w:t>.</w:t>
      </w:r>
      <w:r w:rsidRPr="0010661E">
        <w:rPr>
          <w:rFonts w:ascii="Calibri" w:hAnsi="Calibri" w:cs="Calibri"/>
        </w:rPr>
        <w:t xml:space="preserve"> </w:t>
      </w:r>
      <w:r w:rsidR="00617384" w:rsidRPr="0010661E">
        <w:rPr>
          <w:rFonts w:ascii="Calibri" w:hAnsi="Calibri" w:cs="Calibri"/>
        </w:rPr>
        <w:t>–</w:t>
      </w:r>
      <w:r w:rsidR="00F46433" w:rsidRPr="0010661E">
        <w:rPr>
          <w:rFonts w:ascii="Calibri" w:hAnsi="Calibri" w:cs="Calibri"/>
        </w:rPr>
        <w:t xml:space="preserve"> </w:t>
      </w:r>
      <w:r w:rsidR="004C3A11" w:rsidRPr="0010661E">
        <w:rPr>
          <w:rFonts w:ascii="Calibri" w:hAnsi="Calibri" w:cs="Calibri"/>
        </w:rPr>
        <w:t>Dobit iz osnovne djelatnosti bez jednokratnih stavki INA Grupe u 2014. iznosila je 52</w:t>
      </w:r>
      <w:r w:rsidR="00973EB8">
        <w:rPr>
          <w:rFonts w:ascii="Calibri" w:hAnsi="Calibri" w:cs="Calibri"/>
        </w:rPr>
        <w:t>3</w:t>
      </w:r>
      <w:r w:rsidR="004C3A11" w:rsidRPr="0010661E">
        <w:rPr>
          <w:rFonts w:ascii="Calibri" w:hAnsi="Calibri" w:cs="Calibri"/>
        </w:rPr>
        <w:t xml:space="preserve"> milijuna kuna, dok je EBITDA</w:t>
      </w:r>
      <w:r w:rsidR="009233D4" w:rsidRPr="0010661E">
        <w:rPr>
          <w:rStyle w:val="FootnoteReference"/>
          <w:rFonts w:ascii="Calibri" w:hAnsi="Calibri" w:cs="Calibri"/>
        </w:rPr>
        <w:footnoteReference w:id="2"/>
      </w:r>
      <w:r w:rsidR="004C3A11" w:rsidRPr="0010661E">
        <w:rPr>
          <w:rFonts w:ascii="Calibri" w:hAnsi="Calibri" w:cs="Calibri"/>
        </w:rPr>
        <w:t xml:space="preserve"> bez jednokratnih stavki iznosi</w:t>
      </w:r>
      <w:r w:rsidR="00973EB8">
        <w:rPr>
          <w:rFonts w:ascii="Calibri" w:hAnsi="Calibri" w:cs="Calibri"/>
        </w:rPr>
        <w:t>la</w:t>
      </w:r>
      <w:r w:rsidR="004C3A11" w:rsidRPr="0010661E">
        <w:rPr>
          <w:rFonts w:ascii="Calibri" w:hAnsi="Calibri" w:cs="Calibri"/>
        </w:rPr>
        <w:t xml:space="preserve"> 2.</w:t>
      </w:r>
      <w:r w:rsidR="00973EB8">
        <w:rPr>
          <w:rFonts w:ascii="Calibri" w:hAnsi="Calibri" w:cs="Calibri"/>
        </w:rPr>
        <w:t>699</w:t>
      </w:r>
      <w:r w:rsidR="00973EB8" w:rsidRPr="0010661E">
        <w:rPr>
          <w:rFonts w:ascii="Calibri" w:hAnsi="Calibri" w:cs="Calibri"/>
        </w:rPr>
        <w:t xml:space="preserve"> </w:t>
      </w:r>
      <w:r w:rsidR="004C3A11" w:rsidRPr="0010661E">
        <w:rPr>
          <w:rFonts w:ascii="Calibri" w:hAnsi="Calibri" w:cs="Calibri"/>
        </w:rPr>
        <w:t>milijuna kuna. Neto dobit (bez jednokratnih stavki) iznosila je 3</w:t>
      </w:r>
      <w:r w:rsidR="000E2A33">
        <w:rPr>
          <w:rFonts w:ascii="Calibri" w:hAnsi="Calibri" w:cs="Calibri"/>
        </w:rPr>
        <w:t>4</w:t>
      </w:r>
      <w:r w:rsidR="004C3A11" w:rsidRPr="0010661E">
        <w:rPr>
          <w:rFonts w:ascii="Calibri" w:hAnsi="Calibri" w:cs="Calibri"/>
        </w:rPr>
        <w:t xml:space="preserve">4 milijuna kuna. </w:t>
      </w:r>
    </w:p>
    <w:p w:rsidR="004C3A11" w:rsidRPr="0010661E" w:rsidRDefault="004C3A11" w:rsidP="00A804C8">
      <w:pPr>
        <w:tabs>
          <w:tab w:val="left" w:pos="9356"/>
        </w:tabs>
        <w:jc w:val="both"/>
        <w:rPr>
          <w:rFonts w:ascii="Calibri" w:hAnsi="Calibri" w:cs="Calibri"/>
        </w:rPr>
      </w:pPr>
    </w:p>
    <w:p w:rsidR="007D2FBA" w:rsidRPr="0010661E" w:rsidRDefault="007D2FBA" w:rsidP="007D2FBA">
      <w:pPr>
        <w:jc w:val="both"/>
        <w:rPr>
          <w:rFonts w:ascii="Calibri" w:hAnsi="Calibri" w:cs="Calibri"/>
        </w:rPr>
      </w:pPr>
      <w:r w:rsidRPr="0010661E">
        <w:rPr>
          <w:rFonts w:ascii="Calibri" w:hAnsi="Calibri" w:cs="Calibri"/>
        </w:rPr>
        <w:t>Razina ulaganja dosegla je iznos od 1.6</w:t>
      </w:r>
      <w:r w:rsidR="00973EB8">
        <w:rPr>
          <w:rFonts w:ascii="Calibri" w:hAnsi="Calibri" w:cs="Calibri"/>
        </w:rPr>
        <w:t>91</w:t>
      </w:r>
      <w:r w:rsidRPr="0010661E">
        <w:rPr>
          <w:rFonts w:ascii="Calibri" w:hAnsi="Calibri" w:cs="Calibri"/>
        </w:rPr>
        <w:t xml:space="preserve"> milijuna kuna</w:t>
      </w:r>
      <w:r w:rsidR="00AD26AE">
        <w:rPr>
          <w:rFonts w:ascii="Calibri" w:hAnsi="Calibri" w:cs="Calibri"/>
        </w:rPr>
        <w:t xml:space="preserve">. Ulaganja </w:t>
      </w:r>
      <w:r w:rsidRPr="0010661E">
        <w:rPr>
          <w:rFonts w:ascii="Calibri" w:hAnsi="Calibri" w:cs="Calibri"/>
        </w:rPr>
        <w:t xml:space="preserve">su uglavnom </w:t>
      </w:r>
      <w:r w:rsidR="00AD26AE" w:rsidRPr="0010661E">
        <w:rPr>
          <w:rFonts w:ascii="Calibri" w:hAnsi="Calibri" w:cs="Calibri"/>
        </w:rPr>
        <w:t xml:space="preserve">bila </w:t>
      </w:r>
      <w:r w:rsidRPr="0010661E">
        <w:rPr>
          <w:rFonts w:ascii="Calibri" w:hAnsi="Calibri" w:cs="Calibri"/>
        </w:rPr>
        <w:t xml:space="preserve">usmjerena na </w:t>
      </w:r>
      <w:r w:rsidR="00AD26AE">
        <w:rPr>
          <w:rFonts w:ascii="Calibri" w:hAnsi="Calibri" w:cs="Calibri"/>
        </w:rPr>
        <w:t xml:space="preserve">istraživanje i proizvodnju u </w:t>
      </w:r>
      <w:r w:rsidRPr="0010661E">
        <w:rPr>
          <w:rFonts w:ascii="Calibri" w:hAnsi="Calibri" w:cs="Calibri"/>
        </w:rPr>
        <w:t>Hrvatsk</w:t>
      </w:r>
      <w:r w:rsidR="00AD26AE">
        <w:rPr>
          <w:rFonts w:ascii="Calibri" w:hAnsi="Calibri" w:cs="Calibri"/>
        </w:rPr>
        <w:t>oj</w:t>
      </w:r>
      <w:r w:rsidRPr="0010661E">
        <w:rPr>
          <w:rFonts w:ascii="Calibri" w:hAnsi="Calibri" w:cs="Calibri"/>
        </w:rPr>
        <w:t>.</w:t>
      </w:r>
    </w:p>
    <w:p w:rsidR="007D2FBA" w:rsidRPr="0010661E" w:rsidRDefault="007D2FBA" w:rsidP="00AB502B">
      <w:pPr>
        <w:jc w:val="both"/>
        <w:rPr>
          <w:rFonts w:ascii="Calibri" w:hAnsi="Calibri" w:cs="Calibri"/>
        </w:rPr>
      </w:pPr>
    </w:p>
    <w:p w:rsidR="007D2FBA" w:rsidRPr="0010661E" w:rsidRDefault="007D2FBA" w:rsidP="007D2FBA">
      <w:pPr>
        <w:jc w:val="both"/>
        <w:rPr>
          <w:rFonts w:asciiTheme="minorHAnsi" w:hAnsiTheme="minorHAnsi" w:cstheme="minorHAnsi"/>
        </w:rPr>
      </w:pPr>
      <w:r w:rsidRPr="0010661E">
        <w:rPr>
          <w:rFonts w:asciiTheme="minorHAnsi" w:hAnsiTheme="minorHAnsi" w:cstheme="minorHAnsi"/>
        </w:rPr>
        <w:t>Kako bi se nadoknadili učinci nepovoljnih regulatornih promjena, poduzete su mjere koje su rezultirale daljnjim poboljšanjem već stabilne financijske pozicije, smanjujući neto zaduženost za daljnjih 37% na razinu od 2.991 milijuna kuna, a neto</w:t>
      </w:r>
      <w:r w:rsidR="0010661E">
        <w:rPr>
          <w:rFonts w:asciiTheme="minorHAnsi" w:hAnsiTheme="minorHAnsi" w:cstheme="minorHAnsi"/>
        </w:rPr>
        <w:t xml:space="preserve"> omjer duga i kapitala na 20,4%</w:t>
      </w:r>
      <w:r w:rsidRPr="0010661E">
        <w:rPr>
          <w:rFonts w:asciiTheme="minorHAnsi" w:hAnsiTheme="minorHAnsi" w:cstheme="minorHAnsi"/>
        </w:rPr>
        <w:t xml:space="preserve"> u odnosu na 27,0 % krajem 2013. </w:t>
      </w:r>
    </w:p>
    <w:p w:rsidR="007D2FBA" w:rsidRPr="0010661E" w:rsidRDefault="007D2FBA" w:rsidP="007D2FBA">
      <w:pPr>
        <w:jc w:val="both"/>
        <w:rPr>
          <w:rFonts w:asciiTheme="minorHAnsi" w:hAnsiTheme="minorHAnsi" w:cstheme="minorHAnsi"/>
        </w:rPr>
      </w:pPr>
    </w:p>
    <w:p w:rsidR="00AD26AE" w:rsidRDefault="007D2FBA" w:rsidP="007D2FBA">
      <w:pPr>
        <w:tabs>
          <w:tab w:val="left" w:pos="9356"/>
        </w:tabs>
        <w:jc w:val="both"/>
        <w:rPr>
          <w:rFonts w:asciiTheme="minorHAnsi" w:hAnsiTheme="minorHAnsi" w:cstheme="minorHAnsi"/>
        </w:rPr>
      </w:pPr>
      <w:r w:rsidRPr="0010661E">
        <w:rPr>
          <w:rFonts w:asciiTheme="minorHAnsi" w:hAnsiTheme="minorHAnsi" w:cstheme="minorHAnsi"/>
        </w:rPr>
        <w:t xml:space="preserve">Na rezultat </w:t>
      </w:r>
      <w:r w:rsidR="00AD26AE">
        <w:rPr>
          <w:rFonts w:asciiTheme="minorHAnsi" w:hAnsiTheme="minorHAnsi" w:cstheme="minorHAnsi"/>
        </w:rPr>
        <w:t xml:space="preserve">je </w:t>
      </w:r>
      <w:r w:rsidRPr="0010661E">
        <w:rPr>
          <w:rFonts w:asciiTheme="minorHAnsi" w:hAnsiTheme="minorHAnsi" w:cstheme="minorHAnsi"/>
        </w:rPr>
        <w:t>utjecalo daljnje umanjenje vrijednosti imovine u Siriji u iznosu od 1,</w:t>
      </w:r>
      <w:r w:rsidR="00973EB8">
        <w:rPr>
          <w:rFonts w:asciiTheme="minorHAnsi" w:hAnsiTheme="minorHAnsi" w:cstheme="minorHAnsi"/>
        </w:rPr>
        <w:t>6</w:t>
      </w:r>
      <w:r w:rsidRPr="0010661E">
        <w:rPr>
          <w:rFonts w:asciiTheme="minorHAnsi" w:hAnsiTheme="minorHAnsi" w:cstheme="minorHAnsi"/>
        </w:rPr>
        <w:t xml:space="preserve"> milijardi kuna, što nije imalo izravni novčani učinak, ali se </w:t>
      </w:r>
      <w:r w:rsidR="0010661E">
        <w:rPr>
          <w:rFonts w:asciiTheme="minorHAnsi" w:hAnsiTheme="minorHAnsi" w:cstheme="minorHAnsi"/>
        </w:rPr>
        <w:t>provodi</w:t>
      </w:r>
      <w:r w:rsidRPr="0010661E">
        <w:rPr>
          <w:rFonts w:asciiTheme="minorHAnsi" w:hAnsiTheme="minorHAnsi" w:cstheme="minorHAnsi"/>
        </w:rPr>
        <w:t xml:space="preserve"> u skladu s ranijom dobrom poslovnom praksom, kao i značajan pad cijene </w:t>
      </w:r>
      <w:proofErr w:type="spellStart"/>
      <w:r w:rsidRPr="0010661E">
        <w:rPr>
          <w:rFonts w:asciiTheme="minorHAnsi" w:hAnsiTheme="minorHAnsi" w:cstheme="minorHAnsi"/>
        </w:rPr>
        <w:t>Brent</w:t>
      </w:r>
      <w:proofErr w:type="spellEnd"/>
      <w:r w:rsidRPr="0010661E">
        <w:rPr>
          <w:rFonts w:asciiTheme="minorHAnsi" w:hAnsiTheme="minorHAnsi" w:cstheme="minorHAnsi"/>
        </w:rPr>
        <w:t xml:space="preserve"> nafte </w:t>
      </w:r>
      <w:r w:rsidR="00973EB8">
        <w:rPr>
          <w:rFonts w:asciiTheme="minorHAnsi" w:hAnsiTheme="minorHAnsi" w:cstheme="minorHAnsi"/>
        </w:rPr>
        <w:t>te</w:t>
      </w:r>
      <w:r w:rsidR="00973EB8" w:rsidRPr="0010661E">
        <w:rPr>
          <w:rFonts w:asciiTheme="minorHAnsi" w:hAnsiTheme="minorHAnsi" w:cstheme="minorHAnsi"/>
        </w:rPr>
        <w:t xml:space="preserve"> </w:t>
      </w:r>
      <w:r w:rsidRPr="0010661E">
        <w:rPr>
          <w:rFonts w:asciiTheme="minorHAnsi" w:hAnsiTheme="minorHAnsi" w:cstheme="minorHAnsi"/>
        </w:rPr>
        <w:t xml:space="preserve">395 milijuna kuna umanjenja vrijednosti segmenta Rafinerije i Marketing. </w:t>
      </w:r>
      <w:r w:rsidR="00DB447A">
        <w:rPr>
          <w:rFonts w:asciiTheme="minorHAnsi" w:hAnsiTheme="minorHAnsi" w:cstheme="minorHAnsi"/>
        </w:rPr>
        <w:t>Također, retroaktivan porez za rafinerije (za 2010. i 2011.) optereti</w:t>
      </w:r>
      <w:r w:rsidR="00AD26AE">
        <w:rPr>
          <w:rFonts w:asciiTheme="minorHAnsi" w:hAnsiTheme="minorHAnsi" w:cstheme="minorHAnsi"/>
        </w:rPr>
        <w:t>o je</w:t>
      </w:r>
      <w:r w:rsidR="00DB447A">
        <w:rPr>
          <w:rFonts w:asciiTheme="minorHAnsi" w:hAnsiTheme="minorHAnsi" w:cstheme="minorHAnsi"/>
        </w:rPr>
        <w:t xml:space="preserve"> rezultat s dodatnih 325 milijuna kuna u 2014. godini. </w:t>
      </w:r>
    </w:p>
    <w:p w:rsidR="00AD26AE" w:rsidRDefault="00AD26AE" w:rsidP="007D2FBA">
      <w:pPr>
        <w:tabs>
          <w:tab w:val="left" w:pos="9356"/>
        </w:tabs>
        <w:jc w:val="both"/>
        <w:rPr>
          <w:rFonts w:asciiTheme="minorHAnsi" w:hAnsiTheme="minorHAnsi" w:cstheme="minorHAnsi"/>
        </w:rPr>
      </w:pPr>
    </w:p>
    <w:p w:rsidR="007D2FBA" w:rsidRPr="0010661E" w:rsidRDefault="007D2FBA" w:rsidP="007D2FBA">
      <w:pPr>
        <w:tabs>
          <w:tab w:val="left" w:pos="9356"/>
        </w:tabs>
        <w:jc w:val="both"/>
        <w:rPr>
          <w:rFonts w:ascii="Calibri" w:hAnsi="Calibri" w:cs="Calibri"/>
        </w:rPr>
      </w:pPr>
      <w:r w:rsidRPr="0010661E">
        <w:rPr>
          <w:rFonts w:asciiTheme="minorHAnsi" w:hAnsiTheme="minorHAnsi" w:cstheme="minorHAnsi"/>
        </w:rPr>
        <w:t>Trošak umanjenja vrijednosti, međutim, u skladu sa Zakonom o porezu na dobit nije porezn</w:t>
      </w:r>
      <w:r w:rsidR="00027693" w:rsidRPr="0010661E">
        <w:rPr>
          <w:rFonts w:asciiTheme="minorHAnsi" w:hAnsiTheme="minorHAnsi" w:cstheme="minorHAnsi"/>
        </w:rPr>
        <w:t>i odbitak</w:t>
      </w:r>
      <w:r w:rsidRPr="0010661E">
        <w:rPr>
          <w:rFonts w:asciiTheme="minorHAnsi" w:hAnsiTheme="minorHAnsi" w:cstheme="minorHAnsi"/>
        </w:rPr>
        <w:t xml:space="preserve">.  </w:t>
      </w:r>
    </w:p>
    <w:p w:rsidR="007D2FBA" w:rsidRPr="0010661E" w:rsidRDefault="007D2FBA" w:rsidP="007D2FBA">
      <w:pPr>
        <w:jc w:val="both"/>
        <w:rPr>
          <w:rFonts w:ascii="Calibri" w:hAnsi="Calibri" w:cs="Calibri"/>
        </w:rPr>
      </w:pPr>
    </w:p>
    <w:p w:rsidR="00973EB8" w:rsidRDefault="0010661E" w:rsidP="00027693">
      <w:pPr>
        <w:tabs>
          <w:tab w:val="left" w:pos="935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Treb</w:t>
      </w:r>
      <w:r w:rsidR="00027693" w:rsidRPr="0010661E">
        <w:rPr>
          <w:rFonts w:asciiTheme="minorHAnsi" w:hAnsiTheme="minorHAnsi" w:cstheme="minorHAnsi"/>
        </w:rPr>
        <w:t>a naglasiti kako su negativne regulatorne odluke imale znatan i kontinuirano negativan učinak na poslovanje segmenta Istraživanje i proizvodnja. Kombinirani učinak prisilne prodaje plina, smanjenje regulirane cijena plina i udvostručenje naknada za eksploataciju dosegao je</w:t>
      </w:r>
      <w:r w:rsidR="00973EB8">
        <w:rPr>
          <w:rFonts w:asciiTheme="minorHAnsi" w:hAnsiTheme="minorHAnsi" w:cstheme="minorHAnsi"/>
        </w:rPr>
        <w:t xml:space="preserve"> više od</w:t>
      </w:r>
      <w:r w:rsidR="00027693" w:rsidRPr="0010661E">
        <w:rPr>
          <w:rFonts w:asciiTheme="minorHAnsi" w:hAnsiTheme="minorHAnsi" w:cstheme="minorHAnsi"/>
        </w:rPr>
        <w:t xml:space="preserve"> </w:t>
      </w:r>
      <w:r w:rsidR="00973EB8">
        <w:rPr>
          <w:rFonts w:asciiTheme="minorHAnsi" w:hAnsiTheme="minorHAnsi" w:cstheme="minorHAnsi"/>
        </w:rPr>
        <w:t>75</w:t>
      </w:r>
      <w:r w:rsidR="00027693" w:rsidRPr="0010661E">
        <w:rPr>
          <w:rFonts w:asciiTheme="minorHAnsi" w:hAnsiTheme="minorHAnsi" w:cstheme="minorHAnsi"/>
        </w:rPr>
        <w:t>0 milijuna kuna. Posljedično je ostvarena niža cijena ugljikovodika</w:t>
      </w:r>
      <w:r w:rsidR="00997271">
        <w:rPr>
          <w:rFonts w:asciiTheme="minorHAnsi" w:hAnsiTheme="minorHAnsi" w:cstheme="minorHAnsi"/>
        </w:rPr>
        <w:t>,</w:t>
      </w:r>
      <w:r w:rsidR="00027693" w:rsidRPr="0010661E">
        <w:rPr>
          <w:rFonts w:asciiTheme="minorHAnsi" w:hAnsiTheme="minorHAnsi" w:cstheme="minorHAnsi"/>
        </w:rPr>
        <w:t xml:space="preserve"> koja je </w:t>
      </w:r>
      <w:r w:rsidR="00997271">
        <w:rPr>
          <w:rFonts w:asciiTheme="minorHAnsi" w:hAnsiTheme="minorHAnsi" w:cstheme="minorHAnsi"/>
        </w:rPr>
        <w:t xml:space="preserve">također </w:t>
      </w:r>
      <w:r w:rsidR="00027693" w:rsidRPr="0010661E">
        <w:rPr>
          <w:rFonts w:asciiTheme="minorHAnsi" w:hAnsiTheme="minorHAnsi" w:cstheme="minorHAnsi"/>
        </w:rPr>
        <w:t xml:space="preserve">bila pod utjecajem znatnog pada cijena </w:t>
      </w:r>
      <w:proofErr w:type="spellStart"/>
      <w:r w:rsidR="00027693" w:rsidRPr="0010661E">
        <w:rPr>
          <w:rFonts w:asciiTheme="minorHAnsi" w:hAnsiTheme="minorHAnsi" w:cstheme="minorHAnsi"/>
        </w:rPr>
        <w:t>Brent</w:t>
      </w:r>
      <w:proofErr w:type="spellEnd"/>
      <w:r w:rsidR="00027693" w:rsidRPr="0010661E">
        <w:rPr>
          <w:rFonts w:asciiTheme="minorHAnsi" w:hAnsiTheme="minorHAnsi" w:cstheme="minorHAnsi"/>
        </w:rPr>
        <w:t xml:space="preserve">-a u drugoj polovici godine. </w:t>
      </w:r>
    </w:p>
    <w:p w:rsidR="00027693" w:rsidRPr="0010661E" w:rsidRDefault="00027693" w:rsidP="00027693">
      <w:pPr>
        <w:tabs>
          <w:tab w:val="left" w:pos="9356"/>
        </w:tabs>
        <w:jc w:val="both"/>
        <w:rPr>
          <w:rFonts w:asciiTheme="minorHAnsi" w:hAnsiTheme="minorHAnsi" w:cstheme="minorHAnsi"/>
        </w:rPr>
      </w:pPr>
      <w:r w:rsidRPr="0010661E">
        <w:rPr>
          <w:rFonts w:asciiTheme="minorHAnsi" w:hAnsiTheme="minorHAnsi" w:cstheme="minorHAnsi"/>
        </w:rPr>
        <w:lastRenderedPageBreak/>
        <w:t xml:space="preserve">Stalni napori segmenta Istraživanje i proizvodnja u cilju kompenziranja prirodnog pada proizvodnje rezultirali su povećanjem proizvodnje sirove nafte, prvi puta u više od deset godina, uz poboljšanje od 5% u odnosu na 2013. Nadalje, proizvodnja ugljikovodika porasla je za značajnih 5 </w:t>
      </w:r>
      <w:proofErr w:type="spellStart"/>
      <w:r w:rsidRPr="0010661E">
        <w:rPr>
          <w:rFonts w:asciiTheme="minorHAnsi" w:hAnsiTheme="minorHAnsi" w:cstheme="minorHAnsi"/>
        </w:rPr>
        <w:t>mboe</w:t>
      </w:r>
      <w:proofErr w:type="spellEnd"/>
      <w:r w:rsidRPr="0010661E">
        <w:rPr>
          <w:rFonts w:asciiTheme="minorHAnsi" w:hAnsiTheme="minorHAnsi" w:cstheme="minorHAnsi"/>
        </w:rPr>
        <w:t xml:space="preserve">/dnevno </w:t>
      </w:r>
      <w:r w:rsidR="00973EB8">
        <w:rPr>
          <w:rFonts w:asciiTheme="minorHAnsi" w:hAnsiTheme="minorHAnsi" w:cstheme="minorHAnsi"/>
        </w:rPr>
        <w:t xml:space="preserve">(milijuna barela ekvivalenata nafte dnevno) </w:t>
      </w:r>
      <w:r w:rsidRPr="0010661E">
        <w:rPr>
          <w:rFonts w:asciiTheme="minorHAnsi" w:hAnsiTheme="minorHAnsi" w:cstheme="minorHAnsi"/>
        </w:rPr>
        <w:t>u posljednjem kvartalu zbog uspješnih razradnih aktivnosti na kopnu i podmorju.</w:t>
      </w:r>
    </w:p>
    <w:p w:rsidR="00027693" w:rsidRPr="0010661E" w:rsidRDefault="00027693" w:rsidP="00027693">
      <w:pPr>
        <w:jc w:val="both"/>
        <w:rPr>
          <w:rFonts w:ascii="Calibri" w:hAnsi="Calibri" w:cs="Calibri"/>
        </w:rPr>
      </w:pPr>
    </w:p>
    <w:p w:rsidR="007D2FBA" w:rsidRDefault="002557E3" w:rsidP="00A804C8">
      <w:pPr>
        <w:tabs>
          <w:tab w:val="left" w:pos="9356"/>
        </w:tabs>
        <w:jc w:val="both"/>
        <w:rPr>
          <w:rFonts w:asciiTheme="minorHAnsi" w:hAnsiTheme="minorHAnsi" w:cstheme="minorHAnsi"/>
        </w:rPr>
      </w:pPr>
      <w:r w:rsidRPr="0010661E">
        <w:rPr>
          <w:rFonts w:asciiTheme="minorHAnsi" w:hAnsiTheme="minorHAnsi" w:cstheme="minorHAnsi"/>
        </w:rPr>
        <w:t>Segment Rafinerije i Marketing uložio je napore kako bi poveća</w:t>
      </w:r>
      <w:r w:rsidR="0010661E">
        <w:rPr>
          <w:rFonts w:asciiTheme="minorHAnsi" w:hAnsiTheme="minorHAnsi" w:cstheme="minorHAnsi"/>
        </w:rPr>
        <w:t>o</w:t>
      </w:r>
      <w:r w:rsidRPr="0010661E">
        <w:rPr>
          <w:rFonts w:asciiTheme="minorHAnsi" w:hAnsiTheme="minorHAnsi" w:cstheme="minorHAnsi"/>
        </w:rPr>
        <w:t xml:space="preserve"> produktivnost i poboljša</w:t>
      </w:r>
      <w:r w:rsidR="0010661E">
        <w:rPr>
          <w:rFonts w:asciiTheme="minorHAnsi" w:hAnsiTheme="minorHAnsi" w:cstheme="minorHAnsi"/>
        </w:rPr>
        <w:t>o</w:t>
      </w:r>
      <w:r w:rsidRPr="0010661E">
        <w:rPr>
          <w:rFonts w:asciiTheme="minorHAnsi" w:hAnsiTheme="minorHAnsi" w:cstheme="minorHAnsi"/>
        </w:rPr>
        <w:t xml:space="preserve"> tržišnu poziciju Ine, ali je rezultat i dalje pod utjecajem kontinuiranog </w:t>
      </w:r>
      <w:r w:rsidR="00DC68E2">
        <w:rPr>
          <w:rFonts w:asciiTheme="minorHAnsi" w:hAnsiTheme="minorHAnsi" w:cstheme="minorHAnsi"/>
        </w:rPr>
        <w:t>izazovnog</w:t>
      </w:r>
      <w:r w:rsidR="00DC68E2" w:rsidRPr="0010661E">
        <w:rPr>
          <w:rFonts w:asciiTheme="minorHAnsi" w:hAnsiTheme="minorHAnsi" w:cstheme="minorHAnsi"/>
        </w:rPr>
        <w:t xml:space="preserve"> </w:t>
      </w:r>
      <w:r w:rsidRPr="0010661E">
        <w:rPr>
          <w:rFonts w:asciiTheme="minorHAnsi" w:hAnsiTheme="minorHAnsi" w:cstheme="minorHAnsi"/>
        </w:rPr>
        <w:t>europskog rafinerijskog okruženja i daljnjeg gospodarskog usporavanja u Hrvatskoj i ostalim ključnim tržištima Ine</w:t>
      </w:r>
      <w:r w:rsidR="0010661E">
        <w:rPr>
          <w:rFonts w:asciiTheme="minorHAnsi" w:hAnsiTheme="minorHAnsi" w:cstheme="minorHAnsi"/>
        </w:rPr>
        <w:t>,</w:t>
      </w:r>
      <w:r w:rsidRPr="0010661E">
        <w:rPr>
          <w:rFonts w:asciiTheme="minorHAnsi" w:hAnsiTheme="minorHAnsi" w:cstheme="minorHAnsi"/>
        </w:rPr>
        <w:t xml:space="preserve"> što je za posljedicu imalo pad prodaje. Unatoč nave</w:t>
      </w:r>
      <w:r w:rsidR="0010661E">
        <w:rPr>
          <w:rFonts w:asciiTheme="minorHAnsi" w:hAnsiTheme="minorHAnsi" w:cstheme="minorHAnsi"/>
        </w:rPr>
        <w:t>denim negativnim utjecajima</w:t>
      </w:r>
      <w:r w:rsidR="00997271">
        <w:rPr>
          <w:rFonts w:asciiTheme="minorHAnsi" w:hAnsiTheme="minorHAnsi" w:cstheme="minorHAnsi"/>
        </w:rPr>
        <w:t>,</w:t>
      </w:r>
      <w:r w:rsidR="0010661E">
        <w:rPr>
          <w:rFonts w:asciiTheme="minorHAnsi" w:hAnsiTheme="minorHAnsi" w:cstheme="minorHAnsi"/>
        </w:rPr>
        <w:t xml:space="preserve"> </w:t>
      </w:r>
      <w:r w:rsidRPr="0010661E">
        <w:rPr>
          <w:rFonts w:asciiTheme="minorHAnsi" w:hAnsiTheme="minorHAnsi" w:cstheme="minorHAnsi"/>
        </w:rPr>
        <w:t xml:space="preserve">prodaja u zemlji ostala </w:t>
      </w:r>
      <w:r w:rsidR="0010661E" w:rsidRPr="0010661E">
        <w:rPr>
          <w:rFonts w:asciiTheme="minorHAnsi" w:hAnsiTheme="minorHAnsi" w:cstheme="minorHAnsi"/>
        </w:rPr>
        <w:t xml:space="preserve">je </w:t>
      </w:r>
      <w:r w:rsidRPr="0010661E">
        <w:rPr>
          <w:rFonts w:asciiTheme="minorHAnsi" w:hAnsiTheme="minorHAnsi" w:cstheme="minorHAnsi"/>
        </w:rPr>
        <w:t>stabilna.</w:t>
      </w:r>
    </w:p>
    <w:p w:rsidR="00ED18E4" w:rsidRDefault="00ED18E4" w:rsidP="00A804C8">
      <w:pPr>
        <w:tabs>
          <w:tab w:val="left" w:pos="9356"/>
        </w:tabs>
        <w:jc w:val="both"/>
        <w:rPr>
          <w:rFonts w:asciiTheme="minorHAnsi" w:hAnsiTheme="minorHAnsi" w:cstheme="minorHAnsi"/>
        </w:rPr>
      </w:pPr>
    </w:p>
    <w:p w:rsidR="00ED18E4" w:rsidRDefault="00ED18E4" w:rsidP="00A804C8">
      <w:pPr>
        <w:tabs>
          <w:tab w:val="left" w:pos="935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Kompanija je nastavila s poboljšanjima u pogledu zaštite zdravlja, sigurnosti i okoliša u skladu s povećanom svjesnosti o važnosti promoviranja kulture sigurnosti na radu.</w:t>
      </w:r>
    </w:p>
    <w:p w:rsidR="002557E3" w:rsidRPr="0010661E" w:rsidRDefault="002557E3" w:rsidP="002557E3">
      <w:pPr>
        <w:jc w:val="both"/>
        <w:rPr>
          <w:rFonts w:ascii="Arial Narrow" w:hAnsi="Arial Narrow" w:cs="Arial Narrow"/>
        </w:rPr>
      </w:pPr>
    </w:p>
    <w:p w:rsidR="00DB3573" w:rsidRPr="00982992" w:rsidRDefault="00982992" w:rsidP="00DB3573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>G</w:t>
      </w:r>
      <w:r w:rsidR="002557E3" w:rsidRPr="0010661E">
        <w:rPr>
          <w:rFonts w:ascii="Calibri" w:hAnsi="Calibri" w:cs="Calibri"/>
        </w:rPr>
        <w:t xml:space="preserve">. Zoltán Áldott, predsjednik </w:t>
      </w:r>
      <w:r w:rsidR="002557E3" w:rsidRPr="0010661E">
        <w:rPr>
          <w:rFonts w:asciiTheme="minorHAnsi" w:hAnsiTheme="minorHAnsi" w:cstheme="minorHAnsi"/>
        </w:rPr>
        <w:t>Uprave</w:t>
      </w:r>
      <w:r w:rsidR="00DC68E2">
        <w:rPr>
          <w:rFonts w:asciiTheme="minorHAnsi" w:hAnsiTheme="minorHAnsi" w:cstheme="minorHAnsi"/>
        </w:rPr>
        <w:t xml:space="preserve"> Ine</w:t>
      </w:r>
      <w:r w:rsidR="002557E3" w:rsidRPr="0010661E">
        <w:rPr>
          <w:rFonts w:asciiTheme="minorHAnsi" w:hAnsiTheme="minorHAnsi" w:cstheme="minorHAnsi"/>
        </w:rPr>
        <w:t>, rekao je</w:t>
      </w:r>
      <w:r w:rsidR="00DB3573">
        <w:rPr>
          <w:rFonts w:ascii="Calibri" w:hAnsi="Calibri" w:cs="Calibri"/>
        </w:rPr>
        <w:t xml:space="preserve"> kako je u</w:t>
      </w:r>
      <w:r w:rsidR="00DB3573" w:rsidRPr="00DB3573">
        <w:rPr>
          <w:rFonts w:ascii="Calibri" w:hAnsi="Calibri" w:cs="Calibri"/>
        </w:rPr>
        <w:t>sprkos značajnim izazovima uzrokovanih regulatornim promjenama, kao i značajnom p</w:t>
      </w:r>
      <w:r w:rsidR="00DB3573">
        <w:rPr>
          <w:rFonts w:ascii="Calibri" w:hAnsi="Calibri" w:cs="Calibri"/>
        </w:rPr>
        <w:t>adu cijena nafte i plina, INA</w:t>
      </w:r>
      <w:r w:rsidR="00DB3573" w:rsidRPr="00DB3573">
        <w:rPr>
          <w:rFonts w:ascii="Calibri" w:hAnsi="Calibri" w:cs="Calibri"/>
        </w:rPr>
        <w:t xml:space="preserve"> povećala dobit iz</w:t>
      </w:r>
      <w:r w:rsidR="00DB3573">
        <w:rPr>
          <w:rFonts w:ascii="Calibri" w:hAnsi="Calibri" w:cs="Calibri"/>
        </w:rPr>
        <w:t xml:space="preserve"> </w:t>
      </w:r>
      <w:r w:rsidR="00DB3573" w:rsidRPr="00DB3573">
        <w:rPr>
          <w:rFonts w:ascii="Calibri" w:hAnsi="Calibri" w:cs="Calibri"/>
        </w:rPr>
        <w:t>osnovne djelatnosti prilago</w:t>
      </w:r>
      <w:r w:rsidR="00DB3573">
        <w:rPr>
          <w:rFonts w:ascii="Calibri" w:hAnsi="Calibri" w:cs="Calibri"/>
        </w:rPr>
        <w:t>đ</w:t>
      </w:r>
      <w:r w:rsidR="00DB3573" w:rsidRPr="00DB3573">
        <w:rPr>
          <w:rFonts w:ascii="Calibri" w:hAnsi="Calibri" w:cs="Calibri"/>
        </w:rPr>
        <w:t>enu za učinke zaliha i</w:t>
      </w:r>
      <w:r w:rsidR="00DB3573">
        <w:rPr>
          <w:rFonts w:ascii="Calibri" w:hAnsi="Calibri" w:cs="Calibri"/>
        </w:rPr>
        <w:t xml:space="preserve"> </w:t>
      </w:r>
      <w:r w:rsidR="00DB3573" w:rsidRPr="00DB3573">
        <w:rPr>
          <w:rFonts w:ascii="Calibri" w:hAnsi="Calibri" w:cs="Calibri"/>
        </w:rPr>
        <w:t xml:space="preserve">jednokratnih stavki za 15%, uz istovremeno daljnje jačanje financijskog položaja. </w:t>
      </w:r>
      <w:r w:rsidR="00DB3573">
        <w:rPr>
          <w:rFonts w:ascii="Calibri" w:hAnsi="Calibri" w:cs="Calibri"/>
        </w:rPr>
        <w:t>„</w:t>
      </w:r>
      <w:r w:rsidR="00DB3573" w:rsidRPr="00982992">
        <w:rPr>
          <w:rFonts w:ascii="Calibri" w:hAnsi="Calibri" w:cs="Calibri"/>
          <w:i/>
        </w:rPr>
        <w:t>Potrebno</w:t>
      </w:r>
      <w:r w:rsidR="00DB3573" w:rsidRPr="00982992">
        <w:rPr>
          <w:rFonts w:ascii="Calibri" w:hAnsi="Calibri" w:cs="Calibri"/>
          <w:i/>
        </w:rPr>
        <w:t xml:space="preserve"> </w:t>
      </w:r>
      <w:r w:rsidR="00DB3573" w:rsidRPr="00982992">
        <w:rPr>
          <w:rFonts w:ascii="Calibri" w:hAnsi="Calibri" w:cs="Calibri"/>
          <w:i/>
        </w:rPr>
        <w:t>je istaknuti da utjecaj regulatornih promjena u segmentu Istraživanja i proizvodnje u kombinaciji</w:t>
      </w:r>
      <w:r w:rsidR="00DB3573" w:rsidRPr="00982992">
        <w:rPr>
          <w:rFonts w:ascii="Calibri" w:hAnsi="Calibri" w:cs="Calibri"/>
          <w:i/>
        </w:rPr>
        <w:t xml:space="preserve"> </w:t>
      </w:r>
      <w:r w:rsidR="00DB3573" w:rsidRPr="00982992">
        <w:rPr>
          <w:rFonts w:ascii="Calibri" w:hAnsi="Calibri" w:cs="Calibri"/>
          <w:i/>
        </w:rPr>
        <w:t>s još jednim porezom vezanim za rafinerijsko</w:t>
      </w:r>
      <w:r w:rsidR="00DB3573" w:rsidRPr="00982992">
        <w:rPr>
          <w:rFonts w:ascii="Calibri" w:hAnsi="Calibri" w:cs="Calibri"/>
          <w:i/>
        </w:rPr>
        <w:t xml:space="preserve"> </w:t>
      </w:r>
      <w:r w:rsidR="00DB3573" w:rsidRPr="00982992">
        <w:rPr>
          <w:rFonts w:ascii="Calibri" w:hAnsi="Calibri" w:cs="Calibri"/>
          <w:i/>
        </w:rPr>
        <w:t>poslovanje premašuje 1,</w:t>
      </w:r>
      <w:proofErr w:type="spellStart"/>
      <w:r w:rsidR="00DB3573" w:rsidRPr="00982992">
        <w:rPr>
          <w:rFonts w:ascii="Calibri" w:hAnsi="Calibri" w:cs="Calibri"/>
          <w:i/>
        </w:rPr>
        <w:t>1</w:t>
      </w:r>
      <w:proofErr w:type="spellEnd"/>
      <w:r w:rsidR="00DB3573" w:rsidRPr="00982992">
        <w:rPr>
          <w:rFonts w:ascii="Calibri" w:hAnsi="Calibri" w:cs="Calibri"/>
          <w:i/>
        </w:rPr>
        <w:t xml:space="preserve"> milijardu kuna, što mora biti ublaženo internim mjerama učinkovitosti. Iako je u takvom nepovoljnom okruženju</w:t>
      </w:r>
      <w:r w:rsidR="00DB3573" w:rsidRPr="00982992">
        <w:rPr>
          <w:rFonts w:ascii="Calibri" w:hAnsi="Calibri" w:cs="Calibri"/>
          <w:i/>
        </w:rPr>
        <w:t xml:space="preserve"> </w:t>
      </w:r>
      <w:r w:rsidR="00DB3573" w:rsidRPr="00982992">
        <w:rPr>
          <w:rFonts w:ascii="Calibri" w:hAnsi="Calibri" w:cs="Calibri"/>
          <w:i/>
        </w:rPr>
        <w:t>naš</w:t>
      </w:r>
      <w:r w:rsidR="00DB3573" w:rsidRPr="00982992">
        <w:rPr>
          <w:rFonts w:ascii="Calibri" w:hAnsi="Calibri" w:cs="Calibri"/>
          <w:i/>
        </w:rPr>
        <w:t xml:space="preserve"> </w:t>
      </w:r>
      <w:r w:rsidR="00DB3573" w:rsidRPr="00982992">
        <w:rPr>
          <w:rFonts w:ascii="Calibri" w:hAnsi="Calibri" w:cs="Calibri"/>
          <w:i/>
        </w:rPr>
        <w:t>EBITDA smanjen za 30%, ipak smo održali naše investicije na razini od 1,7 milijardi kuna, razini višoj od prosjeka u posljednje dvije</w:t>
      </w:r>
      <w:r w:rsidR="00DB3573" w:rsidRPr="00982992">
        <w:rPr>
          <w:rFonts w:ascii="Calibri" w:hAnsi="Calibri" w:cs="Calibri"/>
          <w:i/>
        </w:rPr>
        <w:t xml:space="preserve"> </w:t>
      </w:r>
      <w:r w:rsidR="00DB3573" w:rsidRPr="00982992">
        <w:rPr>
          <w:rFonts w:ascii="Calibri" w:hAnsi="Calibri" w:cs="Calibri"/>
          <w:i/>
        </w:rPr>
        <w:t>godine.</w:t>
      </w:r>
    </w:p>
    <w:p w:rsidR="00DB3573" w:rsidRPr="00982992" w:rsidRDefault="00DB3573" w:rsidP="00DB3573">
      <w:pPr>
        <w:jc w:val="both"/>
        <w:rPr>
          <w:rFonts w:ascii="Calibri" w:hAnsi="Calibri" w:cs="Calibri"/>
          <w:i/>
        </w:rPr>
      </w:pPr>
      <w:r w:rsidRPr="00982992">
        <w:rPr>
          <w:rFonts w:ascii="Calibri" w:hAnsi="Calibri" w:cs="Calibri"/>
          <w:i/>
        </w:rPr>
        <w:t>Ponosni smo što smo povećali našu proizvodnju nafte za 5%, što se nije dogodilo više od deset godina, unatoč gotovo potpunom nedostatku</w:t>
      </w:r>
      <w:r w:rsidRPr="00982992">
        <w:rPr>
          <w:rFonts w:ascii="Calibri" w:hAnsi="Calibri" w:cs="Calibri"/>
          <w:i/>
        </w:rPr>
        <w:t xml:space="preserve"> </w:t>
      </w:r>
      <w:r w:rsidRPr="00982992">
        <w:rPr>
          <w:rFonts w:ascii="Calibri" w:hAnsi="Calibri" w:cs="Calibri"/>
          <w:i/>
        </w:rPr>
        <w:t>istražnih koncesija u Hrvatskoj. S druge strane, segment Rafinerija i marketinga i dalje je opterećen nepovoljnim rafinerijskim maržama, kao i</w:t>
      </w:r>
      <w:r w:rsidRPr="00982992">
        <w:rPr>
          <w:rFonts w:ascii="Calibri" w:hAnsi="Calibri" w:cs="Calibri"/>
          <w:i/>
        </w:rPr>
        <w:t xml:space="preserve"> </w:t>
      </w:r>
      <w:r w:rsidRPr="00982992">
        <w:rPr>
          <w:rFonts w:ascii="Calibri" w:hAnsi="Calibri" w:cs="Calibri"/>
          <w:i/>
        </w:rPr>
        <w:t>manjim prodanim količinama uslijed produžene ekonomske depresije.</w:t>
      </w:r>
    </w:p>
    <w:p w:rsidR="00DB3573" w:rsidRPr="00982992" w:rsidRDefault="00DB3573" w:rsidP="00DB3573">
      <w:pPr>
        <w:jc w:val="both"/>
        <w:rPr>
          <w:rFonts w:ascii="Calibri" w:hAnsi="Calibri" w:cs="Calibri"/>
          <w:i/>
        </w:rPr>
      </w:pPr>
      <w:r w:rsidRPr="00982992">
        <w:rPr>
          <w:rFonts w:ascii="Calibri" w:hAnsi="Calibri" w:cs="Calibri"/>
          <w:i/>
        </w:rPr>
        <w:t>Pa ipak, na rezultate je negativno utjecalo daljnje umanjenje vrijednosti imovine u Siriji čime se investicijska vrijednost ovog projekta svodi na</w:t>
      </w:r>
      <w:r w:rsidRPr="00982992">
        <w:rPr>
          <w:rFonts w:ascii="Calibri" w:hAnsi="Calibri" w:cs="Calibri"/>
          <w:i/>
        </w:rPr>
        <w:t xml:space="preserve"> </w:t>
      </w:r>
      <w:r w:rsidRPr="00982992">
        <w:rPr>
          <w:rFonts w:ascii="Calibri" w:hAnsi="Calibri" w:cs="Calibri"/>
          <w:i/>
        </w:rPr>
        <w:t>mali dio izvorne vrijednosti. Nakon razgovora s menadžmentom i revizorima, zaključeno je da je umanjenje neizbježno, obzirom na činjenicu</w:t>
      </w:r>
      <w:r w:rsidRPr="00982992">
        <w:rPr>
          <w:rFonts w:ascii="Calibri" w:hAnsi="Calibri" w:cs="Calibri"/>
          <w:i/>
        </w:rPr>
        <w:t xml:space="preserve"> </w:t>
      </w:r>
      <w:r w:rsidRPr="00982992">
        <w:rPr>
          <w:rFonts w:ascii="Calibri" w:hAnsi="Calibri" w:cs="Calibri"/>
          <w:i/>
        </w:rPr>
        <w:t>da je politička i sigurnosna situacija u Siriji postala još složenija te da bi Inin potencijalni povratak u ovo poslovanje mogao potrajati dulje</w:t>
      </w:r>
      <w:r w:rsidRPr="00982992">
        <w:rPr>
          <w:rFonts w:ascii="Calibri" w:hAnsi="Calibri" w:cs="Calibri"/>
          <w:i/>
        </w:rPr>
        <w:t xml:space="preserve"> </w:t>
      </w:r>
      <w:r w:rsidRPr="00982992">
        <w:rPr>
          <w:rFonts w:ascii="Calibri" w:hAnsi="Calibri" w:cs="Calibri"/>
          <w:i/>
        </w:rPr>
        <w:t>vrijeme.</w:t>
      </w:r>
    </w:p>
    <w:p w:rsidR="002557E3" w:rsidRDefault="00DB3573" w:rsidP="002557E3">
      <w:pPr>
        <w:tabs>
          <w:tab w:val="left" w:pos="9356"/>
        </w:tabs>
        <w:jc w:val="both"/>
        <w:rPr>
          <w:rFonts w:ascii="Calibri" w:hAnsi="Calibri" w:cs="Calibri"/>
        </w:rPr>
      </w:pPr>
      <w:r w:rsidRPr="00982992">
        <w:rPr>
          <w:rFonts w:ascii="Calibri" w:hAnsi="Calibri" w:cs="Calibri"/>
          <w:i/>
        </w:rPr>
        <w:t>Imajući u vidu nepovoljne regulatorne promjene i niske razine cijena nafte, dodatno smo ojačali svoju financijsku disciplinu te smo spremni za</w:t>
      </w:r>
      <w:r w:rsidRPr="00982992">
        <w:rPr>
          <w:rFonts w:ascii="Calibri" w:hAnsi="Calibri" w:cs="Calibri"/>
          <w:i/>
        </w:rPr>
        <w:t xml:space="preserve"> </w:t>
      </w:r>
      <w:r w:rsidRPr="00982992">
        <w:rPr>
          <w:rFonts w:ascii="Calibri" w:hAnsi="Calibri" w:cs="Calibri"/>
          <w:i/>
        </w:rPr>
        <w:t xml:space="preserve">daljnju optimizaciju aktivnosti Ine u narednom razdoblju kako bi se osigurala održivost poslovanja </w:t>
      </w:r>
      <w:r w:rsidRPr="00982992">
        <w:rPr>
          <w:rFonts w:ascii="Calibri" w:hAnsi="Calibri" w:cs="Calibri"/>
          <w:i/>
        </w:rPr>
        <w:t xml:space="preserve">i daljnje stvaranje vrijednosti.“ </w:t>
      </w:r>
      <w:r>
        <w:rPr>
          <w:rFonts w:ascii="Calibri" w:hAnsi="Calibri" w:cs="Calibri"/>
        </w:rPr>
        <w:t xml:space="preserve">– zaključio je g. </w:t>
      </w:r>
      <w:r w:rsidRPr="0010661E">
        <w:rPr>
          <w:rFonts w:ascii="Calibri" w:hAnsi="Calibri" w:cs="Calibri"/>
        </w:rPr>
        <w:t>Áldott</w:t>
      </w:r>
      <w:r>
        <w:rPr>
          <w:rFonts w:ascii="Calibri" w:hAnsi="Calibri" w:cs="Calibri"/>
        </w:rPr>
        <w:t>.</w:t>
      </w:r>
    </w:p>
    <w:p w:rsidR="00DB3573" w:rsidRDefault="00DB3573" w:rsidP="002557E3">
      <w:pPr>
        <w:tabs>
          <w:tab w:val="left" w:pos="9356"/>
        </w:tabs>
        <w:jc w:val="both"/>
        <w:rPr>
          <w:rFonts w:ascii="Calibri" w:hAnsi="Calibri" w:cs="Calibri"/>
        </w:rPr>
      </w:pPr>
      <w:bookmarkStart w:id="1" w:name="_GoBack"/>
      <w:bookmarkEnd w:id="1"/>
    </w:p>
    <w:p w:rsidR="00DB3573" w:rsidRDefault="00DB3573" w:rsidP="002557E3">
      <w:pPr>
        <w:tabs>
          <w:tab w:val="left" w:pos="9356"/>
        </w:tabs>
        <w:jc w:val="both"/>
        <w:rPr>
          <w:rFonts w:ascii="Calibri" w:hAnsi="Calibri" w:cs="Calibri"/>
        </w:rPr>
      </w:pPr>
    </w:p>
    <w:p w:rsidR="00DB3573" w:rsidRDefault="00DB3573" w:rsidP="002557E3">
      <w:pPr>
        <w:tabs>
          <w:tab w:val="left" w:pos="9356"/>
        </w:tabs>
        <w:jc w:val="both"/>
        <w:rPr>
          <w:rFonts w:ascii="Calibri" w:hAnsi="Calibri" w:cs="Calibri"/>
        </w:rPr>
      </w:pPr>
    </w:p>
    <w:p w:rsidR="00DB3573" w:rsidRDefault="00DB3573" w:rsidP="002557E3">
      <w:pPr>
        <w:tabs>
          <w:tab w:val="left" w:pos="9356"/>
        </w:tabs>
        <w:jc w:val="both"/>
        <w:rPr>
          <w:rFonts w:ascii="Calibri" w:hAnsi="Calibri" w:cs="Calibri"/>
        </w:rPr>
      </w:pPr>
    </w:p>
    <w:p w:rsidR="00DB3573" w:rsidRDefault="00DB3573" w:rsidP="002557E3">
      <w:pPr>
        <w:tabs>
          <w:tab w:val="left" w:pos="9356"/>
        </w:tabs>
        <w:jc w:val="both"/>
        <w:rPr>
          <w:rFonts w:ascii="Calibri" w:hAnsi="Calibri" w:cs="Calibri"/>
        </w:rPr>
      </w:pPr>
    </w:p>
    <w:p w:rsidR="00DB3573" w:rsidRDefault="00DB3573" w:rsidP="002557E3">
      <w:pPr>
        <w:tabs>
          <w:tab w:val="left" w:pos="9356"/>
        </w:tabs>
        <w:jc w:val="both"/>
        <w:rPr>
          <w:rFonts w:ascii="Calibri" w:hAnsi="Calibri" w:cs="Calibri"/>
        </w:rPr>
      </w:pPr>
    </w:p>
    <w:p w:rsidR="00DB3573" w:rsidRPr="0010661E" w:rsidRDefault="00DB3573" w:rsidP="002557E3">
      <w:pPr>
        <w:tabs>
          <w:tab w:val="left" w:pos="9356"/>
        </w:tabs>
        <w:jc w:val="both"/>
        <w:rPr>
          <w:rFonts w:ascii="Calibri" w:hAnsi="Calibri" w:cs="Calibri"/>
          <w:b/>
        </w:rPr>
      </w:pPr>
    </w:p>
    <w:p w:rsidR="0030681C" w:rsidRPr="0010661E" w:rsidRDefault="00E769A8" w:rsidP="00813CA6">
      <w:pPr>
        <w:spacing w:line="276" w:lineRule="auto"/>
        <w:jc w:val="both"/>
        <w:rPr>
          <w:rFonts w:ascii="Calibri" w:hAnsi="Calibri" w:cs="Calibri"/>
          <w:b/>
          <w:szCs w:val="22"/>
        </w:rPr>
      </w:pPr>
      <w:r w:rsidRPr="0010661E">
        <w:rPr>
          <w:rFonts w:ascii="Calibri" w:hAnsi="Calibri" w:cs="Calibri"/>
          <w:b/>
          <w:szCs w:val="22"/>
        </w:rPr>
        <w:lastRenderedPageBreak/>
        <w:t>P</w:t>
      </w:r>
      <w:r w:rsidR="0030681C" w:rsidRPr="0010661E">
        <w:rPr>
          <w:rFonts w:ascii="Calibri" w:hAnsi="Calibri" w:cs="Calibri"/>
          <w:b/>
          <w:szCs w:val="22"/>
        </w:rPr>
        <w:t>regled operativnih rezultata</w:t>
      </w:r>
    </w:p>
    <w:p w:rsidR="0030681C" w:rsidRPr="0010661E" w:rsidRDefault="00D63454" w:rsidP="00813CA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10661E">
        <w:rPr>
          <w:rFonts w:ascii="Calibri" w:hAnsi="Calibri" w:cs="Calibri"/>
          <w:szCs w:val="22"/>
        </w:rPr>
        <w:t>N</w:t>
      </w:r>
      <w:r w:rsidR="00F40017" w:rsidRPr="0010661E">
        <w:rPr>
          <w:rFonts w:ascii="Calibri" w:hAnsi="Calibri" w:cs="Calibri"/>
          <w:szCs w:val="22"/>
        </w:rPr>
        <w:t xml:space="preserve">eto </w:t>
      </w:r>
      <w:r w:rsidR="0030681C" w:rsidRPr="0010661E">
        <w:rPr>
          <w:rFonts w:ascii="Calibri" w:hAnsi="Calibri" w:cs="Calibri"/>
          <w:szCs w:val="22"/>
        </w:rPr>
        <w:t xml:space="preserve">prihodi </w:t>
      </w:r>
      <w:r w:rsidR="00F40017" w:rsidRPr="0010661E">
        <w:rPr>
          <w:rFonts w:ascii="Calibri" w:hAnsi="Calibri" w:cs="Calibri"/>
          <w:szCs w:val="22"/>
        </w:rPr>
        <w:t xml:space="preserve">od prodaje </w:t>
      </w:r>
      <w:r w:rsidR="0030681C" w:rsidRPr="0010661E">
        <w:rPr>
          <w:rFonts w:ascii="Calibri" w:hAnsi="Calibri" w:cs="Calibri"/>
          <w:szCs w:val="22"/>
        </w:rPr>
        <w:t xml:space="preserve">INA Grupe dosegnuli su </w:t>
      </w:r>
      <w:r w:rsidR="009233D4" w:rsidRPr="0010661E">
        <w:rPr>
          <w:rFonts w:ascii="Calibri" w:hAnsi="Calibri" w:cs="Calibri"/>
          <w:szCs w:val="22"/>
        </w:rPr>
        <w:t xml:space="preserve">23.8 </w:t>
      </w:r>
      <w:r w:rsidR="004A31FD" w:rsidRPr="0010661E">
        <w:rPr>
          <w:rFonts w:ascii="Calibri" w:hAnsi="Calibri" w:cs="Calibri"/>
          <w:szCs w:val="22"/>
        </w:rPr>
        <w:t>m</w:t>
      </w:r>
      <w:r w:rsidR="0030681C" w:rsidRPr="0010661E">
        <w:rPr>
          <w:rFonts w:ascii="Calibri" w:hAnsi="Calibri" w:cs="Calibri"/>
          <w:szCs w:val="22"/>
        </w:rPr>
        <w:t xml:space="preserve">ilijardi </w:t>
      </w:r>
      <w:r w:rsidR="00B57A7C" w:rsidRPr="0010661E">
        <w:rPr>
          <w:rFonts w:ascii="Calibri" w:hAnsi="Calibri" w:cs="Calibri"/>
          <w:szCs w:val="22"/>
        </w:rPr>
        <w:t>kuna</w:t>
      </w:r>
    </w:p>
    <w:p w:rsidR="0030681C" w:rsidRPr="0010661E" w:rsidRDefault="004B4AD1" w:rsidP="00813CA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10661E">
        <w:rPr>
          <w:rFonts w:ascii="Calibri" w:hAnsi="Calibri" w:cs="Calibri"/>
          <w:szCs w:val="22"/>
        </w:rPr>
        <w:t>EBITDA INA Grupe</w:t>
      </w:r>
      <w:r w:rsidR="00731A1E" w:rsidRPr="0010661E">
        <w:rPr>
          <w:rFonts w:ascii="Calibri" w:hAnsi="Calibri" w:cs="Calibri"/>
          <w:szCs w:val="22"/>
        </w:rPr>
        <w:t xml:space="preserve"> (bez </w:t>
      </w:r>
      <w:r w:rsidR="00731A1E" w:rsidRPr="0010661E">
        <w:rPr>
          <w:rFonts w:ascii="Calibri" w:hAnsi="Calibri" w:cs="Calibri"/>
        </w:rPr>
        <w:t>jednokratnih stavki</w:t>
      </w:r>
      <w:r w:rsidR="00731A1E" w:rsidRPr="0010661E">
        <w:rPr>
          <w:rFonts w:ascii="Calibri" w:hAnsi="Calibri" w:cs="Calibri"/>
          <w:szCs w:val="22"/>
        </w:rPr>
        <w:t>)</w:t>
      </w:r>
      <w:r w:rsidRPr="0010661E">
        <w:rPr>
          <w:rFonts w:ascii="Calibri" w:hAnsi="Calibri" w:cs="Calibri"/>
          <w:szCs w:val="22"/>
        </w:rPr>
        <w:t xml:space="preserve"> </w:t>
      </w:r>
      <w:r w:rsidR="0030681C" w:rsidRPr="0010661E">
        <w:rPr>
          <w:rFonts w:ascii="Calibri" w:hAnsi="Calibri" w:cs="Calibri"/>
          <w:szCs w:val="22"/>
        </w:rPr>
        <w:t xml:space="preserve">iznosila </w:t>
      </w:r>
      <w:r w:rsidR="00D63454" w:rsidRPr="0010661E">
        <w:rPr>
          <w:rFonts w:ascii="Calibri" w:hAnsi="Calibri" w:cs="Calibri"/>
          <w:szCs w:val="22"/>
        </w:rPr>
        <w:t xml:space="preserve">je </w:t>
      </w:r>
      <w:r w:rsidR="004028D9" w:rsidRPr="0010661E">
        <w:rPr>
          <w:rFonts w:ascii="Calibri" w:hAnsi="Calibri" w:cs="Calibri"/>
          <w:szCs w:val="22"/>
        </w:rPr>
        <w:t>2,</w:t>
      </w:r>
      <w:r w:rsidR="00731A1E" w:rsidRPr="0010661E">
        <w:rPr>
          <w:rFonts w:ascii="Calibri" w:hAnsi="Calibri" w:cs="Calibri"/>
          <w:szCs w:val="22"/>
        </w:rPr>
        <w:t>7</w:t>
      </w:r>
      <w:r w:rsidR="004A31FD" w:rsidRPr="0010661E">
        <w:rPr>
          <w:rFonts w:ascii="Calibri" w:hAnsi="Calibri" w:cs="Calibri"/>
          <w:szCs w:val="22"/>
        </w:rPr>
        <w:t xml:space="preserve"> </w:t>
      </w:r>
      <w:r w:rsidR="00B57A7C" w:rsidRPr="0010661E">
        <w:rPr>
          <w:rFonts w:ascii="Calibri" w:hAnsi="Calibri" w:cs="Calibri"/>
          <w:szCs w:val="22"/>
        </w:rPr>
        <w:t>milijardi kuna</w:t>
      </w:r>
    </w:p>
    <w:p w:rsidR="0030681C" w:rsidRPr="0010661E" w:rsidRDefault="004B4AD1" w:rsidP="00813CA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10661E">
        <w:rPr>
          <w:rFonts w:ascii="Calibri" w:hAnsi="Calibri" w:cs="Calibri"/>
          <w:szCs w:val="22"/>
        </w:rPr>
        <w:t>Dobit iz osnovne djelatnosti</w:t>
      </w:r>
      <w:r w:rsidR="00B57A7C" w:rsidRPr="0010661E">
        <w:rPr>
          <w:rFonts w:ascii="Calibri" w:hAnsi="Calibri" w:cs="Calibri"/>
          <w:szCs w:val="22"/>
        </w:rPr>
        <w:t xml:space="preserve"> </w:t>
      </w:r>
      <w:r w:rsidR="00731A1E" w:rsidRPr="0010661E">
        <w:rPr>
          <w:rFonts w:ascii="Calibri" w:hAnsi="Calibri" w:cs="Calibri"/>
          <w:szCs w:val="22"/>
        </w:rPr>
        <w:t xml:space="preserve">(bez </w:t>
      </w:r>
      <w:r w:rsidR="00731A1E" w:rsidRPr="0010661E">
        <w:rPr>
          <w:rFonts w:ascii="Calibri" w:hAnsi="Calibri" w:cs="Calibri"/>
        </w:rPr>
        <w:t>jednokratnih stavki</w:t>
      </w:r>
      <w:r w:rsidR="00731A1E" w:rsidRPr="0010661E">
        <w:rPr>
          <w:rFonts w:ascii="Calibri" w:hAnsi="Calibri" w:cs="Calibri"/>
          <w:szCs w:val="22"/>
        </w:rPr>
        <w:t xml:space="preserve">) </w:t>
      </w:r>
      <w:r w:rsidR="0030681C" w:rsidRPr="0010661E">
        <w:rPr>
          <w:rFonts w:ascii="Calibri" w:hAnsi="Calibri" w:cs="Calibri"/>
          <w:szCs w:val="22"/>
        </w:rPr>
        <w:t xml:space="preserve">iznosila je </w:t>
      </w:r>
      <w:r w:rsidR="00731A1E" w:rsidRPr="0010661E">
        <w:rPr>
          <w:rFonts w:ascii="Calibri" w:hAnsi="Calibri" w:cs="Calibri"/>
          <w:szCs w:val="22"/>
        </w:rPr>
        <w:t>52</w:t>
      </w:r>
      <w:r w:rsidR="00460D04">
        <w:rPr>
          <w:rFonts w:ascii="Calibri" w:hAnsi="Calibri" w:cs="Calibri"/>
          <w:szCs w:val="22"/>
        </w:rPr>
        <w:t>3</w:t>
      </w:r>
      <w:r w:rsidR="00731A1E" w:rsidRPr="0010661E">
        <w:rPr>
          <w:rFonts w:ascii="Calibri" w:hAnsi="Calibri" w:cs="Calibri"/>
          <w:szCs w:val="22"/>
        </w:rPr>
        <w:t xml:space="preserve"> milijuna </w:t>
      </w:r>
      <w:r w:rsidR="0030681C" w:rsidRPr="0010661E">
        <w:rPr>
          <w:rFonts w:ascii="Calibri" w:hAnsi="Calibri" w:cs="Calibri"/>
          <w:szCs w:val="22"/>
        </w:rPr>
        <w:t>kuna</w:t>
      </w:r>
    </w:p>
    <w:p w:rsidR="0030681C" w:rsidRPr="0010661E" w:rsidRDefault="0030681C" w:rsidP="00813CA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10661E">
        <w:rPr>
          <w:rFonts w:ascii="Calibri" w:hAnsi="Calibri" w:cs="Calibri"/>
          <w:szCs w:val="22"/>
        </w:rPr>
        <w:t xml:space="preserve">Neto dobit </w:t>
      </w:r>
      <w:r w:rsidR="00731A1E" w:rsidRPr="0010661E">
        <w:rPr>
          <w:rFonts w:ascii="Calibri" w:hAnsi="Calibri" w:cs="Calibri"/>
          <w:szCs w:val="22"/>
        </w:rPr>
        <w:t xml:space="preserve">(bez </w:t>
      </w:r>
      <w:r w:rsidR="00731A1E" w:rsidRPr="0010661E">
        <w:rPr>
          <w:rFonts w:ascii="Calibri" w:hAnsi="Calibri" w:cs="Calibri"/>
        </w:rPr>
        <w:t>jednokratnih stavki</w:t>
      </w:r>
      <w:r w:rsidR="00731A1E" w:rsidRPr="0010661E">
        <w:rPr>
          <w:rFonts w:ascii="Calibri" w:hAnsi="Calibri" w:cs="Calibri"/>
          <w:szCs w:val="22"/>
        </w:rPr>
        <w:t xml:space="preserve">) </w:t>
      </w:r>
      <w:r w:rsidRPr="0010661E">
        <w:rPr>
          <w:rFonts w:ascii="Calibri" w:hAnsi="Calibri" w:cs="Calibri"/>
          <w:szCs w:val="22"/>
        </w:rPr>
        <w:t xml:space="preserve">iznosila je </w:t>
      </w:r>
      <w:r w:rsidR="00731A1E" w:rsidRPr="0010661E">
        <w:rPr>
          <w:rFonts w:ascii="Calibri" w:hAnsi="Calibri" w:cs="Calibri"/>
          <w:szCs w:val="22"/>
        </w:rPr>
        <w:t>3</w:t>
      </w:r>
      <w:r w:rsidR="00460D04">
        <w:rPr>
          <w:rFonts w:ascii="Calibri" w:hAnsi="Calibri" w:cs="Calibri"/>
          <w:szCs w:val="22"/>
        </w:rPr>
        <w:t>4</w:t>
      </w:r>
      <w:r w:rsidR="00731A1E" w:rsidRPr="0010661E">
        <w:rPr>
          <w:rFonts w:ascii="Calibri" w:hAnsi="Calibri" w:cs="Calibri"/>
          <w:szCs w:val="22"/>
        </w:rPr>
        <w:t xml:space="preserve">4 </w:t>
      </w:r>
      <w:r w:rsidR="00B57A7C" w:rsidRPr="0010661E">
        <w:rPr>
          <w:rFonts w:ascii="Calibri" w:hAnsi="Calibri" w:cs="Calibri"/>
          <w:szCs w:val="22"/>
        </w:rPr>
        <w:t>milijuna kuna</w:t>
      </w:r>
    </w:p>
    <w:p w:rsidR="0030681C" w:rsidRPr="0010661E" w:rsidRDefault="0030681C" w:rsidP="00813CA6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10661E">
        <w:rPr>
          <w:rFonts w:ascii="Calibri" w:hAnsi="Calibri" w:cs="Calibri"/>
          <w:szCs w:val="22"/>
        </w:rPr>
        <w:t xml:space="preserve">Kapitalna ulaganja </w:t>
      </w:r>
      <w:r w:rsidR="00731A1E" w:rsidRPr="0010661E">
        <w:rPr>
          <w:rFonts w:ascii="Calibri" w:hAnsi="Calibri" w:cs="Calibri"/>
          <w:szCs w:val="22"/>
        </w:rPr>
        <w:t>dosegla su 1.7 milijardi kuna</w:t>
      </w:r>
      <w:r w:rsidR="004028D9" w:rsidRPr="0010661E">
        <w:rPr>
          <w:rFonts w:ascii="Calibri" w:hAnsi="Calibri" w:cs="Calibri"/>
          <w:szCs w:val="22"/>
        </w:rPr>
        <w:t xml:space="preserve"> </w:t>
      </w:r>
    </w:p>
    <w:p w:rsidR="00731A1E" w:rsidRPr="0010661E" w:rsidRDefault="00731A1E" w:rsidP="00D63454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10661E">
        <w:rPr>
          <w:rFonts w:asciiTheme="minorHAnsi" w:hAnsiTheme="minorHAnsi" w:cstheme="minorHAnsi"/>
        </w:rPr>
        <w:t>Neto zaduženost</w:t>
      </w:r>
      <w:r w:rsidRPr="0010661E">
        <w:rPr>
          <w:rFonts w:ascii="Calibri" w:hAnsi="Calibri" w:cs="Calibri"/>
          <w:szCs w:val="22"/>
        </w:rPr>
        <w:t xml:space="preserve"> smanjena je na 2,991 milijuna kuna, za 37% </w:t>
      </w:r>
      <w:r w:rsidR="0010661E">
        <w:rPr>
          <w:rFonts w:ascii="Calibri" w:hAnsi="Calibri" w:cs="Calibri"/>
          <w:szCs w:val="22"/>
        </w:rPr>
        <w:t>u odnosu na</w:t>
      </w:r>
      <w:r w:rsidRPr="0010661E">
        <w:rPr>
          <w:rFonts w:ascii="Calibri" w:hAnsi="Calibri" w:cs="Calibri"/>
          <w:szCs w:val="22"/>
        </w:rPr>
        <w:t xml:space="preserve"> 2013., dok je </w:t>
      </w:r>
      <w:r w:rsidRPr="0010661E">
        <w:rPr>
          <w:rFonts w:asciiTheme="minorHAnsi" w:hAnsiTheme="minorHAnsi" w:cstheme="minorHAnsi"/>
        </w:rPr>
        <w:t>neto omjer duga i kapitala pao na 20,4%</w:t>
      </w:r>
    </w:p>
    <w:p w:rsidR="00731A1E" w:rsidRPr="0010661E" w:rsidRDefault="00731A1E" w:rsidP="00D63454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Cs w:val="22"/>
        </w:rPr>
      </w:pPr>
      <w:r w:rsidRPr="0010661E">
        <w:rPr>
          <w:rFonts w:ascii="Calibri" w:hAnsi="Calibri" w:cs="Calibri"/>
          <w:szCs w:val="22"/>
        </w:rPr>
        <w:t>INA je zabilježila porast od 5% u proizvodnji sirove nafte</w:t>
      </w:r>
    </w:p>
    <w:p w:rsidR="00731A1E" w:rsidRDefault="00731A1E" w:rsidP="00BE359B">
      <w:pPr>
        <w:pStyle w:val="NormalWeb"/>
        <w:spacing w:before="0" w:beforeAutospacing="0" w:after="0" w:afterAutospacing="0"/>
        <w:textAlignment w:val="baseline"/>
        <w:rPr>
          <w:rFonts w:ascii="Calibri" w:eastAsia="MS PGothic" w:hAnsi="Calibri" w:cs="MS PGothic"/>
          <w:b/>
          <w:bCs/>
          <w:color w:val="003F87"/>
          <w:kern w:val="24"/>
          <w:sz w:val="28"/>
          <w:szCs w:val="28"/>
        </w:rPr>
      </w:pPr>
    </w:p>
    <w:p w:rsidR="001C061D" w:rsidRPr="0010661E" w:rsidRDefault="00B57A7C" w:rsidP="00BE359B">
      <w:pPr>
        <w:pStyle w:val="NormalWeb"/>
        <w:spacing w:before="0" w:beforeAutospacing="0" w:after="0" w:afterAutospacing="0"/>
        <w:textAlignment w:val="baseline"/>
        <w:rPr>
          <w:rFonts w:ascii="Calibri" w:eastAsia="MS PGothic" w:hAnsi="Calibri" w:cs="MS PGothic"/>
          <w:b/>
          <w:bCs/>
          <w:color w:val="003F87"/>
          <w:kern w:val="24"/>
          <w:sz w:val="28"/>
          <w:szCs w:val="28"/>
        </w:rPr>
      </w:pPr>
      <w:r w:rsidRPr="0010661E">
        <w:rPr>
          <w:rFonts w:ascii="Calibri" w:eastAsia="MS PGothic" w:hAnsi="Calibri" w:cs="MS PGothic"/>
          <w:b/>
          <w:bCs/>
          <w:color w:val="003F87"/>
          <w:kern w:val="24"/>
          <w:sz w:val="28"/>
          <w:szCs w:val="28"/>
        </w:rPr>
        <w:t>Kapitalna ulaganja</w:t>
      </w:r>
    </w:p>
    <w:p w:rsidR="00F40017" w:rsidRPr="0010661E" w:rsidRDefault="00BE359B" w:rsidP="00B57A7C">
      <w:pPr>
        <w:pStyle w:val="NormalWeb"/>
        <w:spacing w:before="0" w:beforeAutospacing="0" w:after="0" w:afterAutospacing="0"/>
        <w:textAlignment w:val="baseline"/>
        <w:rPr>
          <w:rFonts w:ascii="Calibri" w:eastAsia="MS PGothic" w:hAnsi="Calibri" w:cs="MS PGothic"/>
          <w:color w:val="808080"/>
          <w:kern w:val="24"/>
          <w:sz w:val="21"/>
          <w:szCs w:val="21"/>
        </w:rPr>
      </w:pPr>
      <w:r w:rsidRPr="0010661E">
        <w:rPr>
          <w:rFonts w:ascii="Calibri" w:eastAsia="MS PGothic" w:hAnsi="Calibri" w:cs="MS PGothic"/>
          <w:color w:val="808080"/>
          <w:kern w:val="24"/>
          <w:sz w:val="21"/>
          <w:szCs w:val="21"/>
        </w:rPr>
        <w:t xml:space="preserve">     </w:t>
      </w:r>
      <w:r w:rsidR="00B57A7C" w:rsidRPr="0010661E">
        <w:rPr>
          <w:rFonts w:ascii="Calibri" w:eastAsia="MS PGothic" w:hAnsi="Calibri" w:cs="MS PGothic"/>
          <w:color w:val="808080"/>
          <w:kern w:val="24"/>
          <w:sz w:val="21"/>
          <w:szCs w:val="21"/>
        </w:rPr>
        <w:t>(milijuna kuna)</w:t>
      </w:r>
    </w:p>
    <w:p w:rsidR="00E61A46" w:rsidRDefault="00460D04" w:rsidP="00B57A7C">
      <w:pPr>
        <w:tabs>
          <w:tab w:val="left" w:pos="1440"/>
        </w:tabs>
        <w:spacing w:line="360" w:lineRule="auto"/>
        <w:jc w:val="both"/>
        <w:rPr>
          <w:lang w:eastAsia="hr-HR"/>
        </w:rPr>
      </w:pPr>
      <w:r>
        <w:rPr>
          <w:noProof/>
          <w:lang w:eastAsia="hr-HR"/>
        </w:rPr>
        <w:drawing>
          <wp:inline distT="0" distB="0" distL="0" distR="0" wp14:anchorId="37BA272C" wp14:editId="7B7D928E">
            <wp:extent cx="3158836" cy="2470068"/>
            <wp:effectExtent l="0" t="0" r="3810" b="698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B3573" w:rsidRDefault="00DB3573" w:rsidP="0030681C">
      <w:pPr>
        <w:tabs>
          <w:tab w:val="left" w:pos="1440"/>
        </w:tabs>
        <w:spacing w:line="360" w:lineRule="auto"/>
        <w:jc w:val="both"/>
        <w:rPr>
          <w:rFonts w:ascii="Calibri" w:hAnsi="Calibri" w:cs="Calibri"/>
          <w:b/>
        </w:rPr>
      </w:pPr>
    </w:p>
    <w:p w:rsidR="00DB3573" w:rsidRDefault="00DB3573" w:rsidP="0030681C">
      <w:pPr>
        <w:tabs>
          <w:tab w:val="left" w:pos="1440"/>
        </w:tabs>
        <w:spacing w:line="360" w:lineRule="auto"/>
        <w:jc w:val="both"/>
        <w:rPr>
          <w:rFonts w:ascii="Calibri" w:hAnsi="Calibri" w:cs="Calibri"/>
          <w:b/>
        </w:rPr>
      </w:pPr>
    </w:p>
    <w:p w:rsidR="00DB3573" w:rsidRDefault="00DB3573" w:rsidP="0030681C">
      <w:pPr>
        <w:tabs>
          <w:tab w:val="left" w:pos="1440"/>
        </w:tabs>
        <w:spacing w:line="360" w:lineRule="auto"/>
        <w:jc w:val="both"/>
        <w:rPr>
          <w:rFonts w:ascii="Calibri" w:hAnsi="Calibri" w:cs="Calibri"/>
          <w:b/>
        </w:rPr>
      </w:pPr>
    </w:p>
    <w:p w:rsidR="00DB3573" w:rsidRDefault="00DB3573" w:rsidP="0030681C">
      <w:pPr>
        <w:tabs>
          <w:tab w:val="left" w:pos="1440"/>
        </w:tabs>
        <w:spacing w:line="360" w:lineRule="auto"/>
        <w:jc w:val="both"/>
        <w:rPr>
          <w:rFonts w:ascii="Calibri" w:hAnsi="Calibri" w:cs="Calibri"/>
          <w:b/>
        </w:rPr>
      </w:pPr>
    </w:p>
    <w:p w:rsidR="00DB3573" w:rsidRDefault="00DB3573" w:rsidP="0030681C">
      <w:pPr>
        <w:tabs>
          <w:tab w:val="left" w:pos="1440"/>
        </w:tabs>
        <w:spacing w:line="360" w:lineRule="auto"/>
        <w:jc w:val="both"/>
        <w:rPr>
          <w:rFonts w:ascii="Calibri" w:hAnsi="Calibri" w:cs="Calibri"/>
          <w:b/>
        </w:rPr>
      </w:pPr>
    </w:p>
    <w:p w:rsidR="00DB3573" w:rsidRDefault="00DB3573" w:rsidP="0030681C">
      <w:pPr>
        <w:tabs>
          <w:tab w:val="left" w:pos="1440"/>
        </w:tabs>
        <w:spacing w:line="360" w:lineRule="auto"/>
        <w:jc w:val="both"/>
        <w:rPr>
          <w:rFonts w:ascii="Calibri" w:hAnsi="Calibri" w:cs="Calibri"/>
          <w:b/>
        </w:rPr>
      </w:pPr>
    </w:p>
    <w:p w:rsidR="00DB3573" w:rsidRDefault="00DB3573" w:rsidP="0030681C">
      <w:pPr>
        <w:tabs>
          <w:tab w:val="left" w:pos="1440"/>
        </w:tabs>
        <w:spacing w:line="360" w:lineRule="auto"/>
        <w:jc w:val="both"/>
        <w:rPr>
          <w:rFonts w:ascii="Calibri" w:hAnsi="Calibri" w:cs="Calibri"/>
          <w:b/>
        </w:rPr>
      </w:pPr>
    </w:p>
    <w:p w:rsidR="00DB3573" w:rsidRDefault="00DB3573" w:rsidP="0030681C">
      <w:pPr>
        <w:tabs>
          <w:tab w:val="left" w:pos="1440"/>
        </w:tabs>
        <w:spacing w:line="360" w:lineRule="auto"/>
        <w:jc w:val="both"/>
        <w:rPr>
          <w:rFonts w:ascii="Calibri" w:hAnsi="Calibri" w:cs="Calibri"/>
          <w:b/>
        </w:rPr>
      </w:pPr>
    </w:p>
    <w:p w:rsidR="00DB3573" w:rsidRDefault="00DB3573" w:rsidP="0030681C">
      <w:pPr>
        <w:tabs>
          <w:tab w:val="left" w:pos="1440"/>
        </w:tabs>
        <w:spacing w:line="360" w:lineRule="auto"/>
        <w:jc w:val="both"/>
        <w:rPr>
          <w:rFonts w:ascii="Calibri" w:hAnsi="Calibri" w:cs="Calibri"/>
          <w:b/>
        </w:rPr>
      </w:pPr>
    </w:p>
    <w:p w:rsidR="00DB3573" w:rsidRDefault="00DB3573" w:rsidP="0030681C">
      <w:pPr>
        <w:tabs>
          <w:tab w:val="left" w:pos="1440"/>
        </w:tabs>
        <w:spacing w:line="360" w:lineRule="auto"/>
        <w:jc w:val="both"/>
        <w:rPr>
          <w:rFonts w:ascii="Calibri" w:hAnsi="Calibri" w:cs="Calibri"/>
          <w:b/>
        </w:rPr>
      </w:pPr>
    </w:p>
    <w:p w:rsidR="00DB3573" w:rsidRDefault="00DB3573" w:rsidP="0030681C">
      <w:pPr>
        <w:tabs>
          <w:tab w:val="left" w:pos="1440"/>
        </w:tabs>
        <w:spacing w:line="360" w:lineRule="auto"/>
        <w:jc w:val="both"/>
        <w:rPr>
          <w:rFonts w:ascii="Calibri" w:hAnsi="Calibri" w:cs="Calibri"/>
          <w:b/>
        </w:rPr>
      </w:pPr>
    </w:p>
    <w:p w:rsidR="0030681C" w:rsidRPr="0010661E" w:rsidRDefault="0030681C" w:rsidP="0030681C">
      <w:pPr>
        <w:tabs>
          <w:tab w:val="left" w:pos="1440"/>
        </w:tabs>
        <w:spacing w:line="360" w:lineRule="auto"/>
        <w:jc w:val="both"/>
        <w:rPr>
          <w:rFonts w:ascii="Calibri" w:hAnsi="Calibri" w:cs="Calibri"/>
        </w:rPr>
      </w:pPr>
      <w:r w:rsidRPr="0010661E">
        <w:rPr>
          <w:rFonts w:ascii="Calibri" w:hAnsi="Calibri" w:cs="Calibri"/>
          <w:b/>
        </w:rPr>
        <w:lastRenderedPageBreak/>
        <w:t xml:space="preserve">Istraživanje i proizvodnja </w:t>
      </w:r>
      <w:r w:rsidRPr="0010661E">
        <w:rPr>
          <w:rFonts w:ascii="Calibri" w:hAnsi="Calibri" w:cs="Calibri"/>
        </w:rPr>
        <w:t xml:space="preserve">– U </w:t>
      </w:r>
      <w:r w:rsidR="00FB158E" w:rsidRPr="0010661E">
        <w:rPr>
          <w:rFonts w:ascii="Calibri" w:hAnsi="Calibri" w:cs="Calibri"/>
        </w:rPr>
        <w:t>2014</w:t>
      </w:r>
      <w:r w:rsidR="0010661E">
        <w:rPr>
          <w:rFonts w:ascii="Calibri" w:hAnsi="Calibri" w:cs="Calibri"/>
        </w:rPr>
        <w:t>.</w:t>
      </w:r>
      <w:r w:rsidRPr="0010661E">
        <w:rPr>
          <w:rFonts w:ascii="Calibri" w:hAnsi="Calibri" w:cs="Calibri"/>
        </w:rPr>
        <w:t xml:space="preserve"> </w:t>
      </w:r>
      <w:r w:rsidR="00AE205D" w:rsidRPr="0010661E">
        <w:rPr>
          <w:rFonts w:ascii="Calibri" w:hAnsi="Calibri" w:cs="Calibri"/>
        </w:rPr>
        <w:t>EBITDA</w:t>
      </w:r>
      <w:r w:rsidR="00D1343E" w:rsidRPr="0010661E">
        <w:rPr>
          <w:rFonts w:ascii="Calibri" w:hAnsi="Calibri" w:cs="Calibri"/>
        </w:rPr>
        <w:t xml:space="preserve"> </w:t>
      </w:r>
      <w:r w:rsidR="00E61A46" w:rsidRPr="0010661E">
        <w:rPr>
          <w:rFonts w:ascii="Calibri" w:hAnsi="Calibri" w:cs="Calibri"/>
        </w:rPr>
        <w:t>segmenta</w:t>
      </w:r>
      <w:r w:rsidRPr="0010661E">
        <w:rPr>
          <w:rFonts w:ascii="Calibri" w:hAnsi="Calibri" w:cs="Calibri"/>
        </w:rPr>
        <w:t xml:space="preserve"> iznosila je </w:t>
      </w:r>
      <w:r w:rsidR="00CA7A92" w:rsidRPr="0010661E">
        <w:rPr>
          <w:rFonts w:ascii="Calibri" w:hAnsi="Calibri" w:cs="Calibri"/>
          <w:szCs w:val="22"/>
        </w:rPr>
        <w:t>3</w:t>
      </w:r>
      <w:r w:rsidR="00460D04">
        <w:rPr>
          <w:rFonts w:ascii="Calibri" w:hAnsi="Calibri" w:cs="Calibri"/>
          <w:szCs w:val="22"/>
        </w:rPr>
        <w:t>.</w:t>
      </w:r>
      <w:r w:rsidR="00CA7A92" w:rsidRPr="0010661E">
        <w:rPr>
          <w:rFonts w:ascii="Calibri" w:hAnsi="Calibri" w:cs="Calibri"/>
          <w:szCs w:val="22"/>
        </w:rPr>
        <w:t>7</w:t>
      </w:r>
      <w:r w:rsidR="00460D04">
        <w:rPr>
          <w:rFonts w:ascii="Calibri" w:hAnsi="Calibri" w:cs="Calibri"/>
          <w:szCs w:val="22"/>
        </w:rPr>
        <w:t>39</w:t>
      </w:r>
      <w:r w:rsidR="00CA7A92" w:rsidRPr="0010661E">
        <w:rPr>
          <w:rFonts w:ascii="Calibri" w:hAnsi="Calibri" w:cs="Calibri"/>
          <w:szCs w:val="22"/>
        </w:rPr>
        <w:t xml:space="preserve"> </w:t>
      </w:r>
      <w:r w:rsidRPr="0010661E">
        <w:rPr>
          <w:rFonts w:ascii="Calibri" w:hAnsi="Calibri" w:cs="Calibri"/>
        </w:rPr>
        <w:t>milij</w:t>
      </w:r>
      <w:r w:rsidR="00E61A46" w:rsidRPr="0010661E">
        <w:rPr>
          <w:rFonts w:ascii="Calibri" w:hAnsi="Calibri" w:cs="Calibri"/>
        </w:rPr>
        <w:t>una</w:t>
      </w:r>
      <w:r w:rsidR="004A31FD" w:rsidRPr="0010661E">
        <w:rPr>
          <w:rFonts w:ascii="Calibri" w:hAnsi="Calibri" w:cs="Calibri"/>
        </w:rPr>
        <w:t xml:space="preserve"> </w:t>
      </w:r>
      <w:r w:rsidRPr="0010661E">
        <w:rPr>
          <w:rFonts w:ascii="Calibri" w:hAnsi="Calibri" w:cs="Calibri"/>
        </w:rPr>
        <w:t>kuna</w:t>
      </w:r>
      <w:r w:rsidR="00CA7A92" w:rsidRPr="0010661E">
        <w:rPr>
          <w:rFonts w:ascii="Calibri" w:hAnsi="Calibri" w:cs="Calibri"/>
        </w:rPr>
        <w:t>.</w:t>
      </w:r>
    </w:p>
    <w:p w:rsidR="00ED18E4" w:rsidRDefault="000C0F1F" w:rsidP="001917BC">
      <w:pPr>
        <w:spacing w:before="120" w:after="120"/>
        <w:jc w:val="both"/>
        <w:textAlignment w:val="top"/>
        <w:rPr>
          <w:rFonts w:ascii="Calibri" w:hAnsi="Calibri" w:cs="Calibri"/>
          <w:szCs w:val="22"/>
        </w:rPr>
      </w:pPr>
      <w:r w:rsidRPr="0010661E">
        <w:rPr>
          <w:rFonts w:ascii="Calibri" w:hAnsi="Calibri" w:cs="Calibri"/>
          <w:szCs w:val="22"/>
        </w:rPr>
        <w:t>Segment je postigao odličan rezultat u proizvodnji sirove nafte koja je povećana za 5% u 2014. godini u odnosu na 2013.</w:t>
      </w:r>
      <w:r w:rsidR="007E7BAA">
        <w:rPr>
          <w:rFonts w:ascii="Calibri" w:hAnsi="Calibri" w:cs="Calibri"/>
          <w:szCs w:val="22"/>
        </w:rPr>
        <w:t xml:space="preserve"> dok su i</w:t>
      </w:r>
      <w:r w:rsidRPr="0010661E">
        <w:rPr>
          <w:rFonts w:ascii="Calibri" w:hAnsi="Calibri" w:cs="Calibri"/>
          <w:szCs w:val="22"/>
        </w:rPr>
        <w:t xml:space="preserve"> </w:t>
      </w:r>
      <w:r w:rsidR="007E7BAA">
        <w:rPr>
          <w:rFonts w:ascii="Calibri" w:hAnsi="Calibri" w:cs="Calibri"/>
          <w:szCs w:val="22"/>
        </w:rPr>
        <w:t>napori</w:t>
      </w:r>
      <w:r w:rsidRPr="0010661E">
        <w:rPr>
          <w:rFonts w:ascii="Calibri" w:hAnsi="Calibri" w:cs="Calibri"/>
          <w:szCs w:val="22"/>
        </w:rPr>
        <w:t xml:space="preserve"> u inozemstvu također rezultiral</w:t>
      </w:r>
      <w:r w:rsidR="007E7BAA">
        <w:rPr>
          <w:rFonts w:ascii="Calibri" w:hAnsi="Calibri" w:cs="Calibri"/>
          <w:szCs w:val="22"/>
        </w:rPr>
        <w:t>i</w:t>
      </w:r>
      <w:r w:rsidRPr="0010661E">
        <w:rPr>
          <w:rFonts w:ascii="Calibri" w:hAnsi="Calibri" w:cs="Calibri"/>
          <w:szCs w:val="22"/>
        </w:rPr>
        <w:t xml:space="preserve"> povećanjem proizvodnje za 8,1%</w:t>
      </w:r>
      <w:r w:rsidR="00ED18E4">
        <w:rPr>
          <w:rFonts w:ascii="Calibri" w:hAnsi="Calibri" w:cs="Calibri"/>
          <w:szCs w:val="22"/>
        </w:rPr>
        <w:t>.</w:t>
      </w:r>
    </w:p>
    <w:p w:rsidR="00E61A46" w:rsidRPr="0010661E" w:rsidRDefault="00227732" w:rsidP="001917BC">
      <w:pPr>
        <w:spacing w:before="120" w:after="120"/>
        <w:jc w:val="both"/>
        <w:textAlignment w:val="top"/>
        <w:rPr>
          <w:rFonts w:ascii="Calibri" w:hAnsi="Calibri" w:cs="Calibri"/>
          <w:szCs w:val="22"/>
        </w:rPr>
      </w:pPr>
      <w:r w:rsidRPr="0010661E">
        <w:rPr>
          <w:rFonts w:ascii="Calibri" w:hAnsi="Calibri" w:cs="Calibri"/>
          <w:szCs w:val="22"/>
        </w:rPr>
        <w:t xml:space="preserve">Međutim, pad cijene </w:t>
      </w:r>
      <w:proofErr w:type="spellStart"/>
      <w:r w:rsidRPr="0010661E">
        <w:rPr>
          <w:rFonts w:ascii="Calibri" w:hAnsi="Calibri" w:cs="Calibri"/>
          <w:szCs w:val="22"/>
        </w:rPr>
        <w:t>Brent</w:t>
      </w:r>
      <w:proofErr w:type="spellEnd"/>
      <w:r w:rsidRPr="0010661E">
        <w:rPr>
          <w:rFonts w:ascii="Calibri" w:hAnsi="Calibri" w:cs="Calibri"/>
          <w:szCs w:val="22"/>
        </w:rPr>
        <w:t xml:space="preserve">-a od 9%, u kombinaciji sa značajnim nepovoljnim promjenama u regulatornom okruženju, </w:t>
      </w:r>
      <w:r w:rsidR="0010661E">
        <w:rPr>
          <w:rFonts w:ascii="Calibri" w:hAnsi="Calibri" w:cs="Calibri"/>
          <w:szCs w:val="22"/>
        </w:rPr>
        <w:t>imali su</w:t>
      </w:r>
      <w:r w:rsidRPr="0010661E">
        <w:rPr>
          <w:rFonts w:ascii="Calibri" w:hAnsi="Calibri" w:cs="Calibri"/>
          <w:szCs w:val="22"/>
        </w:rPr>
        <w:t xml:space="preserve"> negativan utjecaj na rezultat segmenta kroz niže realizirane cijene. Prisilna prodaja plina negativno je utjecala na rezultat u iznosu od (270) milijuna kuna, dok je smanjenje regulirane cijene plina stvorilo dodatnih (</w:t>
      </w:r>
      <w:r w:rsidR="00460D04" w:rsidRPr="0010661E">
        <w:rPr>
          <w:rFonts w:ascii="Calibri" w:hAnsi="Calibri" w:cs="Calibri"/>
          <w:szCs w:val="22"/>
        </w:rPr>
        <w:t>2</w:t>
      </w:r>
      <w:r w:rsidR="00460D04">
        <w:rPr>
          <w:rFonts w:ascii="Calibri" w:hAnsi="Calibri" w:cs="Calibri"/>
          <w:szCs w:val="22"/>
        </w:rPr>
        <w:t>60</w:t>
      </w:r>
      <w:r w:rsidRPr="0010661E">
        <w:rPr>
          <w:rFonts w:ascii="Calibri" w:hAnsi="Calibri" w:cs="Calibri"/>
          <w:szCs w:val="22"/>
        </w:rPr>
        <w:t>) milijuna kuna razlike u odnosu na bazno razdoblje. Nadalje, učinak udvostručene naknade za eksploataciju rezultirao je negativnim utjecajem u iznosu od (223) milijuna kuna te je sveukupan negativan učinak iznosio HRK (</w:t>
      </w:r>
      <w:r w:rsidR="00460D04" w:rsidRPr="0010661E">
        <w:rPr>
          <w:rFonts w:ascii="Calibri" w:hAnsi="Calibri" w:cs="Calibri"/>
          <w:szCs w:val="22"/>
        </w:rPr>
        <w:t>7</w:t>
      </w:r>
      <w:r w:rsidR="00460D04">
        <w:rPr>
          <w:rFonts w:ascii="Calibri" w:hAnsi="Calibri" w:cs="Calibri"/>
          <w:szCs w:val="22"/>
        </w:rPr>
        <w:t>53</w:t>
      </w:r>
      <w:r w:rsidRPr="0010661E">
        <w:rPr>
          <w:rFonts w:ascii="Calibri" w:hAnsi="Calibri" w:cs="Calibri"/>
          <w:szCs w:val="22"/>
        </w:rPr>
        <w:t xml:space="preserve">) milijuna u 2014. godini. </w:t>
      </w:r>
      <w:r w:rsidR="00617C1A" w:rsidRPr="0010661E">
        <w:rPr>
          <w:rFonts w:ascii="Calibri" w:hAnsi="Calibri" w:cs="Calibri"/>
          <w:szCs w:val="22"/>
        </w:rPr>
        <w:t>Dodatno, prijenos zaliha u 2013. godini imao je jednokratan pozitivan učinak na rezultate prethodne godine.</w:t>
      </w:r>
    </w:p>
    <w:p w:rsidR="00617C1A" w:rsidRPr="0010661E" w:rsidRDefault="00617C1A" w:rsidP="00E61A4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hr-HR" w:bidi="bn-BD"/>
        </w:rPr>
      </w:pPr>
    </w:p>
    <w:p w:rsidR="000C0F1F" w:rsidRPr="0010661E" w:rsidRDefault="003D34FD" w:rsidP="00E61A46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Cs w:val="22"/>
        </w:rPr>
      </w:pPr>
      <w:r w:rsidRPr="0010661E">
        <w:rPr>
          <w:rFonts w:ascii="Calibri" w:hAnsi="Calibri" w:cs="Calibri"/>
          <w:szCs w:val="22"/>
        </w:rPr>
        <w:t xml:space="preserve">Slično kao i 2013. godine, na dobit iz poslovanja 2014. godine utjecalo </w:t>
      </w:r>
      <w:r w:rsidR="0089370A" w:rsidRPr="0010661E">
        <w:rPr>
          <w:rFonts w:ascii="Calibri" w:hAnsi="Calibri" w:cs="Calibri"/>
          <w:szCs w:val="22"/>
        </w:rPr>
        <w:t xml:space="preserve">je </w:t>
      </w:r>
      <w:r w:rsidRPr="0010661E">
        <w:rPr>
          <w:rFonts w:ascii="Calibri" w:hAnsi="Calibri" w:cs="Calibri"/>
          <w:szCs w:val="22"/>
        </w:rPr>
        <w:t>umanjenje vrijednosti dugotrajne imovine.</w:t>
      </w:r>
    </w:p>
    <w:p w:rsidR="003D34FD" w:rsidRPr="0089370A" w:rsidRDefault="003D34FD" w:rsidP="0089370A">
      <w:pPr>
        <w:numPr>
          <w:ilvl w:val="1"/>
          <w:numId w:val="17"/>
        </w:numPr>
        <w:spacing w:after="200" w:line="276" w:lineRule="auto"/>
        <w:jc w:val="both"/>
        <w:rPr>
          <w:rFonts w:ascii="Calibri" w:hAnsi="Calibri" w:cs="Calibri"/>
          <w:szCs w:val="22"/>
        </w:rPr>
      </w:pPr>
      <w:r w:rsidRPr="0010661E">
        <w:rPr>
          <w:rFonts w:ascii="Calibri" w:hAnsi="Calibri" w:cs="Calibri"/>
          <w:szCs w:val="22"/>
        </w:rPr>
        <w:t xml:space="preserve">U nedostatku parametara potrebnih za obračun amortizacije po jediničnom trošku proizvodnje uslijed </w:t>
      </w:r>
      <w:r w:rsidR="00460D04">
        <w:rPr>
          <w:rFonts w:ascii="Calibri" w:hAnsi="Calibri" w:cs="Calibri"/>
          <w:szCs w:val="22"/>
        </w:rPr>
        <w:t xml:space="preserve">proglašenja </w:t>
      </w:r>
      <w:r w:rsidRPr="0010661E">
        <w:rPr>
          <w:rFonts w:ascii="Calibri" w:hAnsi="Calibri" w:cs="Calibri"/>
          <w:szCs w:val="22"/>
        </w:rPr>
        <w:t xml:space="preserve">više sile u Siriji, </w:t>
      </w:r>
      <w:r w:rsidR="0089370A" w:rsidRPr="0089370A">
        <w:rPr>
          <w:rFonts w:ascii="Calibri" w:hAnsi="Calibri" w:cs="Calibri"/>
          <w:szCs w:val="22"/>
        </w:rPr>
        <w:t xml:space="preserve">od 1. siječnja 2013. godine </w:t>
      </w:r>
      <w:r w:rsidRPr="0010661E">
        <w:rPr>
          <w:rFonts w:ascii="Calibri" w:hAnsi="Calibri" w:cs="Calibri"/>
          <w:szCs w:val="22"/>
        </w:rPr>
        <w:t>započeto je s linearnom metodom amortizacije</w:t>
      </w:r>
      <w:r w:rsidR="0089370A">
        <w:rPr>
          <w:rFonts w:ascii="Calibri" w:hAnsi="Calibri" w:cs="Calibri"/>
          <w:szCs w:val="22"/>
        </w:rPr>
        <w:t>,</w:t>
      </w:r>
      <w:r w:rsidRPr="0010661E">
        <w:rPr>
          <w:rFonts w:ascii="Calibri" w:hAnsi="Calibri" w:cs="Calibri"/>
          <w:szCs w:val="22"/>
        </w:rPr>
        <w:t xml:space="preserve"> </w:t>
      </w:r>
      <w:r w:rsidRPr="0089370A">
        <w:rPr>
          <w:rFonts w:ascii="Calibri" w:hAnsi="Calibri" w:cs="Calibri"/>
          <w:szCs w:val="22"/>
        </w:rPr>
        <w:t xml:space="preserve">u cilju točnije amortizacije opreme. </w:t>
      </w:r>
    </w:p>
    <w:p w:rsidR="003D34FD" w:rsidRPr="0010661E" w:rsidRDefault="003D34FD" w:rsidP="003D34FD">
      <w:pPr>
        <w:numPr>
          <w:ilvl w:val="1"/>
          <w:numId w:val="17"/>
        </w:numPr>
        <w:spacing w:after="200" w:line="276" w:lineRule="auto"/>
        <w:jc w:val="both"/>
        <w:rPr>
          <w:rFonts w:ascii="Calibri" w:hAnsi="Calibri" w:cs="Calibri"/>
          <w:szCs w:val="22"/>
        </w:rPr>
      </w:pPr>
      <w:r w:rsidRPr="0010661E">
        <w:rPr>
          <w:rFonts w:ascii="Calibri" w:hAnsi="Calibri" w:cs="Calibri"/>
          <w:szCs w:val="22"/>
        </w:rPr>
        <w:t xml:space="preserve">Iznos amortizacije u Siriji u 2014. godini </w:t>
      </w:r>
      <w:r w:rsidR="0089370A">
        <w:rPr>
          <w:rFonts w:ascii="Calibri" w:hAnsi="Calibri" w:cs="Calibri"/>
          <w:szCs w:val="22"/>
        </w:rPr>
        <w:t>bio</w:t>
      </w:r>
      <w:r w:rsidRPr="0010661E">
        <w:rPr>
          <w:rFonts w:ascii="Calibri" w:hAnsi="Calibri" w:cs="Calibri"/>
          <w:szCs w:val="22"/>
        </w:rPr>
        <w:t xml:space="preserve"> je 306 milijuna kuna. Dodatno, vrijednost imovine u Siriji je umanjena za 1.</w:t>
      </w:r>
      <w:r w:rsidR="00460D04" w:rsidRPr="0010661E">
        <w:rPr>
          <w:rFonts w:ascii="Calibri" w:hAnsi="Calibri" w:cs="Calibri"/>
          <w:szCs w:val="22"/>
        </w:rPr>
        <w:t>5</w:t>
      </w:r>
      <w:r w:rsidR="00460D04">
        <w:rPr>
          <w:rFonts w:ascii="Calibri" w:hAnsi="Calibri" w:cs="Calibri"/>
          <w:szCs w:val="22"/>
        </w:rPr>
        <w:t>62</w:t>
      </w:r>
      <w:r w:rsidR="00460D04" w:rsidRPr="0010661E">
        <w:rPr>
          <w:rFonts w:ascii="Calibri" w:hAnsi="Calibri" w:cs="Calibri"/>
          <w:szCs w:val="22"/>
        </w:rPr>
        <w:t xml:space="preserve"> </w:t>
      </w:r>
      <w:r w:rsidRPr="0010661E">
        <w:rPr>
          <w:rFonts w:ascii="Calibri" w:hAnsi="Calibri" w:cs="Calibri"/>
          <w:szCs w:val="22"/>
        </w:rPr>
        <w:t>milijuna kuna, što nije imalo izravni novčani učinak, ali se primjenjuje u skladu s dobrom poslovnom praksom kako bi se osiguralo fer vrednovanje Inine imovine u Siriji.</w:t>
      </w:r>
    </w:p>
    <w:p w:rsidR="003D34FD" w:rsidRPr="0010661E" w:rsidRDefault="003D34FD" w:rsidP="00617C1A">
      <w:pPr>
        <w:numPr>
          <w:ilvl w:val="1"/>
          <w:numId w:val="17"/>
        </w:numPr>
        <w:spacing w:after="200" w:line="276" w:lineRule="auto"/>
        <w:jc w:val="both"/>
        <w:rPr>
          <w:rFonts w:ascii="Calibri" w:hAnsi="Calibri" w:cs="Calibri"/>
          <w:szCs w:val="22"/>
        </w:rPr>
      </w:pPr>
      <w:r w:rsidRPr="0010661E">
        <w:rPr>
          <w:rFonts w:ascii="Calibri" w:hAnsi="Calibri" w:cs="Calibri"/>
          <w:szCs w:val="22"/>
        </w:rPr>
        <w:t>Inin menadžment odlučio je umanjiti vrijednost imovine u Siriji periodično, vjerujući da će se u jednom trenutku kompanija moći vratiti u Siriju. Međutim, trenutna politično-</w:t>
      </w:r>
      <w:r w:rsidR="0010661E" w:rsidRPr="0010661E">
        <w:rPr>
          <w:rFonts w:ascii="Calibri" w:hAnsi="Calibri" w:cs="Calibri"/>
          <w:szCs w:val="22"/>
        </w:rPr>
        <w:t>sigurnosna</w:t>
      </w:r>
      <w:r w:rsidRPr="0010661E">
        <w:rPr>
          <w:rFonts w:ascii="Calibri" w:hAnsi="Calibri" w:cs="Calibri"/>
          <w:szCs w:val="22"/>
        </w:rPr>
        <w:t xml:space="preserve"> situacija u Siriji nije obećavajuća i </w:t>
      </w:r>
      <w:r w:rsidR="00997271">
        <w:rPr>
          <w:rFonts w:ascii="Calibri" w:hAnsi="Calibri" w:cs="Calibri"/>
          <w:szCs w:val="22"/>
        </w:rPr>
        <w:t>stoga</w:t>
      </w:r>
      <w:r w:rsidRPr="0010661E">
        <w:rPr>
          <w:rFonts w:ascii="Calibri" w:hAnsi="Calibri" w:cs="Calibri"/>
          <w:szCs w:val="22"/>
        </w:rPr>
        <w:t xml:space="preserve"> je bilo potrebno </w:t>
      </w:r>
      <w:r w:rsidR="0089370A">
        <w:rPr>
          <w:rFonts w:ascii="Calibri" w:hAnsi="Calibri" w:cs="Calibri"/>
          <w:szCs w:val="22"/>
        </w:rPr>
        <w:t xml:space="preserve">provesti </w:t>
      </w:r>
      <w:r w:rsidRPr="0010661E">
        <w:rPr>
          <w:rFonts w:ascii="Calibri" w:hAnsi="Calibri" w:cs="Calibri"/>
          <w:szCs w:val="22"/>
        </w:rPr>
        <w:t>daljnje umanjenje vrijednosti</w:t>
      </w:r>
      <w:r w:rsidR="00460D04">
        <w:rPr>
          <w:rFonts w:ascii="Calibri" w:hAnsi="Calibri" w:cs="Calibri"/>
          <w:szCs w:val="22"/>
        </w:rPr>
        <w:t>.</w:t>
      </w:r>
    </w:p>
    <w:p w:rsidR="00617C1A" w:rsidRPr="0010661E" w:rsidRDefault="003D34FD" w:rsidP="00617C1A">
      <w:pPr>
        <w:numPr>
          <w:ilvl w:val="1"/>
          <w:numId w:val="17"/>
        </w:numPr>
        <w:spacing w:after="200" w:line="276" w:lineRule="auto"/>
        <w:jc w:val="both"/>
        <w:rPr>
          <w:rFonts w:ascii="Calibri" w:hAnsi="Calibri" w:cs="Calibri"/>
          <w:szCs w:val="22"/>
        </w:rPr>
      </w:pPr>
      <w:r w:rsidRPr="0010661E">
        <w:rPr>
          <w:rFonts w:ascii="Calibri" w:hAnsi="Calibri" w:cs="Calibri"/>
          <w:szCs w:val="22"/>
        </w:rPr>
        <w:t>Usklađivanje je provedeno na temelju procjene očekivanog budućeg novčanog toka i uzelo je u obzir mjerljive rizike u ekonomskom i politično-</w:t>
      </w:r>
      <w:r w:rsidR="0010661E" w:rsidRPr="0010661E">
        <w:rPr>
          <w:rFonts w:ascii="Calibri" w:hAnsi="Calibri" w:cs="Calibri"/>
          <w:szCs w:val="22"/>
        </w:rPr>
        <w:t>sigurnosnom</w:t>
      </w:r>
      <w:r w:rsidRPr="0010661E">
        <w:rPr>
          <w:rFonts w:ascii="Calibri" w:hAnsi="Calibri" w:cs="Calibri"/>
          <w:szCs w:val="22"/>
        </w:rPr>
        <w:t xml:space="preserve"> okruženju </w:t>
      </w:r>
      <w:r w:rsidR="00A87988" w:rsidRPr="0010661E">
        <w:rPr>
          <w:rFonts w:ascii="Calibri" w:hAnsi="Calibri" w:cs="Calibri"/>
          <w:szCs w:val="22"/>
        </w:rPr>
        <w:t xml:space="preserve">te zemlje. Ostale međunarodne kompanije koje su poslovale u Siriji i </w:t>
      </w:r>
      <w:r w:rsidR="0010661E" w:rsidRPr="0010661E">
        <w:rPr>
          <w:rFonts w:ascii="Calibri" w:hAnsi="Calibri" w:cs="Calibri"/>
          <w:szCs w:val="22"/>
        </w:rPr>
        <w:t>proglasile</w:t>
      </w:r>
      <w:r w:rsidR="00A87988" w:rsidRPr="0010661E">
        <w:rPr>
          <w:rFonts w:ascii="Calibri" w:hAnsi="Calibri" w:cs="Calibri"/>
          <w:szCs w:val="22"/>
        </w:rPr>
        <w:t xml:space="preserve"> </w:t>
      </w:r>
      <w:r w:rsidR="00997271">
        <w:rPr>
          <w:rFonts w:ascii="Calibri" w:hAnsi="Calibri" w:cs="Calibri"/>
          <w:szCs w:val="22"/>
        </w:rPr>
        <w:t>„</w:t>
      </w:r>
      <w:r w:rsidR="00A87988" w:rsidRPr="0010661E">
        <w:rPr>
          <w:rFonts w:ascii="Calibri" w:hAnsi="Calibri" w:cs="Calibri"/>
          <w:szCs w:val="22"/>
        </w:rPr>
        <w:t>višu silu</w:t>
      </w:r>
      <w:r w:rsidR="00997271">
        <w:rPr>
          <w:rFonts w:ascii="Calibri" w:hAnsi="Calibri" w:cs="Calibri"/>
          <w:szCs w:val="22"/>
        </w:rPr>
        <w:t>“</w:t>
      </w:r>
      <w:r w:rsidR="00A87988" w:rsidRPr="0010661E">
        <w:rPr>
          <w:rFonts w:ascii="Calibri" w:hAnsi="Calibri" w:cs="Calibri"/>
          <w:szCs w:val="22"/>
        </w:rPr>
        <w:t>, kao i INA, već su umanjile vrijednost svoje imovine</w:t>
      </w:r>
      <w:r w:rsidR="00460D04">
        <w:rPr>
          <w:rFonts w:ascii="Calibri" w:hAnsi="Calibri" w:cs="Calibri"/>
          <w:szCs w:val="22"/>
        </w:rPr>
        <w:t>.</w:t>
      </w:r>
      <w:r w:rsidR="00A87988" w:rsidRPr="0010661E">
        <w:rPr>
          <w:rFonts w:ascii="Calibri" w:hAnsi="Calibri" w:cs="Calibri"/>
          <w:szCs w:val="22"/>
        </w:rPr>
        <w:t xml:space="preserve"> </w:t>
      </w:r>
    </w:p>
    <w:p w:rsidR="00617C1A" w:rsidRPr="0010661E" w:rsidRDefault="00A87988" w:rsidP="00617C1A">
      <w:pPr>
        <w:numPr>
          <w:ilvl w:val="1"/>
          <w:numId w:val="17"/>
        </w:numPr>
        <w:spacing w:after="200" w:line="276" w:lineRule="auto"/>
        <w:jc w:val="both"/>
        <w:rPr>
          <w:rFonts w:ascii="Calibri" w:hAnsi="Calibri" w:cs="Calibri"/>
          <w:szCs w:val="22"/>
        </w:rPr>
      </w:pPr>
      <w:r w:rsidRPr="0010661E">
        <w:rPr>
          <w:rFonts w:ascii="Calibri" w:hAnsi="Calibri" w:cs="Calibri"/>
          <w:szCs w:val="22"/>
        </w:rPr>
        <w:t>U skladu sa Zak</w:t>
      </w:r>
      <w:r w:rsidRPr="0010661E">
        <w:rPr>
          <w:rFonts w:asciiTheme="minorHAnsi" w:hAnsiTheme="minorHAnsi" w:cstheme="minorHAnsi"/>
        </w:rPr>
        <w:t>onom o porezu na dobit trošak umanjenja vrijednosti nije porezni odbitak</w:t>
      </w:r>
      <w:r w:rsidR="00460D04">
        <w:rPr>
          <w:rFonts w:asciiTheme="minorHAnsi" w:hAnsiTheme="minorHAnsi" w:cstheme="minorHAnsi"/>
        </w:rPr>
        <w:t>.</w:t>
      </w:r>
    </w:p>
    <w:p w:rsidR="00617C1A" w:rsidRPr="0010661E" w:rsidRDefault="00A87988" w:rsidP="00617C1A">
      <w:pPr>
        <w:tabs>
          <w:tab w:val="left" w:pos="1440"/>
        </w:tabs>
        <w:jc w:val="both"/>
        <w:rPr>
          <w:rFonts w:ascii="Calibri" w:hAnsi="Calibri" w:cs="Calibri"/>
          <w:szCs w:val="22"/>
        </w:rPr>
      </w:pPr>
      <w:r w:rsidRPr="0010661E">
        <w:rPr>
          <w:rFonts w:ascii="Calibri" w:hAnsi="Calibri" w:cs="Calibri"/>
          <w:szCs w:val="22"/>
        </w:rPr>
        <w:t xml:space="preserve">Unatoč tome, Inine aktivnosti istraživanja i proizvodnje </w:t>
      </w:r>
      <w:r w:rsidR="0089370A">
        <w:rPr>
          <w:rFonts w:ascii="Calibri" w:hAnsi="Calibri" w:cs="Calibri"/>
          <w:szCs w:val="22"/>
        </w:rPr>
        <w:t>ostale</w:t>
      </w:r>
      <w:r w:rsidRPr="0010661E">
        <w:rPr>
          <w:rFonts w:ascii="Calibri" w:hAnsi="Calibri" w:cs="Calibri"/>
          <w:szCs w:val="22"/>
        </w:rPr>
        <w:t xml:space="preserve"> su intenzivne. Kompanija je izbušila 3 istražne bušotine u kopnenoj Hrvatskoj i 5 razradnih bušotina u sjevernom Jadranu, dok je u Egiptu izbušeno 15 razradnih bušotina.</w:t>
      </w:r>
    </w:p>
    <w:p w:rsidR="00617C1A" w:rsidRPr="0010661E" w:rsidRDefault="00617C1A" w:rsidP="00617C1A">
      <w:pPr>
        <w:tabs>
          <w:tab w:val="left" w:pos="1440"/>
        </w:tabs>
        <w:jc w:val="both"/>
        <w:rPr>
          <w:rFonts w:ascii="Calibri" w:hAnsi="Calibri" w:cs="Calibri"/>
          <w:szCs w:val="22"/>
        </w:rPr>
      </w:pPr>
    </w:p>
    <w:p w:rsidR="00A87988" w:rsidRPr="0010661E" w:rsidRDefault="00A87988" w:rsidP="00617C1A">
      <w:pPr>
        <w:tabs>
          <w:tab w:val="left" w:pos="1440"/>
        </w:tabs>
        <w:jc w:val="both"/>
        <w:rPr>
          <w:rFonts w:ascii="Calibri" w:hAnsi="Calibri" w:cs="Calibri"/>
          <w:szCs w:val="22"/>
        </w:rPr>
      </w:pPr>
      <w:r w:rsidRPr="0010661E">
        <w:rPr>
          <w:rFonts w:ascii="Calibri" w:hAnsi="Calibri" w:cs="Calibri"/>
          <w:szCs w:val="22"/>
        </w:rPr>
        <w:lastRenderedPageBreak/>
        <w:t>Nadalje, nastavljene su aktivnosti na EOR projektu kraj Ivanić-Grada</w:t>
      </w:r>
      <w:r w:rsidR="0089370A">
        <w:rPr>
          <w:rFonts w:ascii="Calibri" w:hAnsi="Calibri" w:cs="Calibri"/>
          <w:szCs w:val="22"/>
        </w:rPr>
        <w:t>,</w:t>
      </w:r>
      <w:r w:rsidRPr="0010661E">
        <w:rPr>
          <w:rFonts w:ascii="Calibri" w:hAnsi="Calibri" w:cs="Calibri"/>
          <w:szCs w:val="22"/>
        </w:rPr>
        <w:t xml:space="preserve"> </w:t>
      </w:r>
      <w:r w:rsidR="0089370A">
        <w:rPr>
          <w:rFonts w:ascii="Calibri" w:hAnsi="Calibri" w:cs="Calibri"/>
          <w:szCs w:val="22"/>
        </w:rPr>
        <w:t xml:space="preserve">a u </w:t>
      </w:r>
      <w:r w:rsidR="00997271">
        <w:rPr>
          <w:rFonts w:ascii="Calibri" w:hAnsi="Calibri" w:cs="Calibri"/>
          <w:szCs w:val="22"/>
        </w:rPr>
        <w:t>tijeku</w:t>
      </w:r>
      <w:r w:rsidR="0089370A" w:rsidRPr="0010661E">
        <w:rPr>
          <w:rFonts w:ascii="Calibri" w:hAnsi="Calibri" w:cs="Calibri"/>
          <w:szCs w:val="22"/>
        </w:rPr>
        <w:t xml:space="preserve"> </w:t>
      </w:r>
      <w:r w:rsidR="008F3D8C" w:rsidRPr="0010661E">
        <w:rPr>
          <w:rFonts w:ascii="Calibri" w:hAnsi="Calibri" w:cs="Calibri"/>
          <w:szCs w:val="22"/>
        </w:rPr>
        <w:t>je</w:t>
      </w:r>
      <w:r w:rsidR="0089370A">
        <w:rPr>
          <w:rFonts w:ascii="Calibri" w:hAnsi="Calibri" w:cs="Calibri"/>
          <w:szCs w:val="22"/>
        </w:rPr>
        <w:t xml:space="preserve"> i</w:t>
      </w:r>
      <w:r w:rsidR="008F3D8C" w:rsidRPr="0010661E">
        <w:rPr>
          <w:rFonts w:ascii="Calibri" w:hAnsi="Calibri" w:cs="Calibri"/>
          <w:szCs w:val="22"/>
        </w:rPr>
        <w:t xml:space="preserve"> projekt Međimurje</w:t>
      </w:r>
      <w:r w:rsidR="0089370A">
        <w:rPr>
          <w:rFonts w:ascii="Calibri" w:hAnsi="Calibri" w:cs="Calibri"/>
          <w:szCs w:val="22"/>
        </w:rPr>
        <w:t xml:space="preserve"> na kojem su </w:t>
      </w:r>
      <w:r w:rsidR="008F3D8C" w:rsidRPr="0010661E">
        <w:rPr>
          <w:rFonts w:ascii="Calibri" w:hAnsi="Calibri" w:cs="Calibri"/>
          <w:szCs w:val="22"/>
        </w:rPr>
        <w:t xml:space="preserve">građevinski radovi vrijedni 240 milijuna kuna počeli prošle godine. Na Jadranu </w:t>
      </w:r>
      <w:r w:rsidR="0089370A">
        <w:rPr>
          <w:rFonts w:ascii="Calibri" w:hAnsi="Calibri" w:cs="Calibri"/>
          <w:szCs w:val="22"/>
        </w:rPr>
        <w:t>je</w:t>
      </w:r>
      <w:r w:rsidR="008F3D8C" w:rsidRPr="0010661E">
        <w:rPr>
          <w:rFonts w:ascii="Calibri" w:hAnsi="Calibri" w:cs="Calibri"/>
          <w:szCs w:val="22"/>
        </w:rPr>
        <w:t xml:space="preserve"> završ</w:t>
      </w:r>
      <w:r w:rsidR="0089370A">
        <w:rPr>
          <w:rFonts w:ascii="Calibri" w:hAnsi="Calibri" w:cs="Calibri"/>
          <w:szCs w:val="22"/>
        </w:rPr>
        <w:t>ena</w:t>
      </w:r>
      <w:r w:rsidR="008F3D8C" w:rsidRPr="0010661E">
        <w:rPr>
          <w:rFonts w:ascii="Calibri" w:hAnsi="Calibri" w:cs="Calibri"/>
          <w:szCs w:val="22"/>
        </w:rPr>
        <w:t xml:space="preserve"> platform</w:t>
      </w:r>
      <w:r w:rsidR="009A393E">
        <w:rPr>
          <w:rFonts w:ascii="Calibri" w:hAnsi="Calibri" w:cs="Calibri"/>
          <w:szCs w:val="22"/>
        </w:rPr>
        <w:t>a</w:t>
      </w:r>
      <w:r w:rsidR="008F3D8C" w:rsidRPr="0010661E">
        <w:rPr>
          <w:rFonts w:ascii="Calibri" w:hAnsi="Calibri" w:cs="Calibri"/>
          <w:szCs w:val="22"/>
        </w:rPr>
        <w:t xml:space="preserve"> IKA JZ </w:t>
      </w:r>
      <w:r w:rsidR="009A393E">
        <w:rPr>
          <w:rFonts w:ascii="Calibri" w:hAnsi="Calibri" w:cs="Calibri"/>
          <w:szCs w:val="22"/>
        </w:rPr>
        <w:t>te je</w:t>
      </w:r>
      <w:r w:rsidR="008F3D8C" w:rsidRPr="0010661E">
        <w:rPr>
          <w:rFonts w:ascii="Calibri" w:hAnsi="Calibri" w:cs="Calibri"/>
          <w:szCs w:val="22"/>
        </w:rPr>
        <w:t xml:space="preserve"> krajem 2014</w:t>
      </w:r>
      <w:r w:rsidR="0089370A">
        <w:rPr>
          <w:rFonts w:ascii="Calibri" w:hAnsi="Calibri" w:cs="Calibri"/>
          <w:szCs w:val="22"/>
        </w:rPr>
        <w:t>.</w:t>
      </w:r>
      <w:r w:rsidR="008F3D8C" w:rsidRPr="0010661E">
        <w:rPr>
          <w:rFonts w:ascii="Calibri" w:hAnsi="Calibri" w:cs="Calibri"/>
          <w:szCs w:val="22"/>
        </w:rPr>
        <w:t xml:space="preserve"> započela probna proizvodnja plina</w:t>
      </w:r>
      <w:r w:rsidR="00D1668F" w:rsidRPr="0010661E">
        <w:rPr>
          <w:rFonts w:ascii="Calibri" w:hAnsi="Calibri" w:cs="Calibri"/>
          <w:szCs w:val="22"/>
        </w:rPr>
        <w:t>, dok je proizvodnja s polja Izabela započela sredinom prošle godine</w:t>
      </w:r>
      <w:r w:rsidR="0089370A">
        <w:rPr>
          <w:rFonts w:ascii="Calibri" w:hAnsi="Calibri" w:cs="Calibri"/>
          <w:szCs w:val="22"/>
        </w:rPr>
        <w:t>,</w:t>
      </w:r>
      <w:r w:rsidR="00D1668F" w:rsidRPr="0010661E">
        <w:rPr>
          <w:rFonts w:ascii="Calibri" w:hAnsi="Calibri" w:cs="Calibri"/>
          <w:szCs w:val="22"/>
        </w:rPr>
        <w:t xml:space="preserve"> nakon uspješno završenih pregovora između partnera na projektu, Ine i talijanskog Edisona. </w:t>
      </w:r>
    </w:p>
    <w:p w:rsidR="00A87988" w:rsidRPr="0010661E" w:rsidRDefault="00A87988" w:rsidP="00617C1A">
      <w:pPr>
        <w:tabs>
          <w:tab w:val="left" w:pos="1440"/>
        </w:tabs>
        <w:jc w:val="both"/>
        <w:rPr>
          <w:rFonts w:ascii="Calibri" w:hAnsi="Calibri" w:cs="Calibri"/>
          <w:b/>
          <w:color w:val="FF0000"/>
          <w:szCs w:val="22"/>
        </w:rPr>
      </w:pPr>
    </w:p>
    <w:p w:rsidR="00182C7E" w:rsidRPr="0010661E" w:rsidRDefault="00182C7E" w:rsidP="00182C7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2"/>
          <w:lang w:eastAsia="hr-HR" w:bidi="bn-BD"/>
        </w:rPr>
      </w:pPr>
      <w:r w:rsidRPr="0010661E">
        <w:rPr>
          <w:rFonts w:asciiTheme="minorHAnsi" w:hAnsiTheme="minorHAnsi" w:cstheme="minorHAnsi"/>
          <w:b/>
          <w:szCs w:val="22"/>
          <w:lang w:eastAsia="hr-HR" w:bidi="bn-BD"/>
        </w:rPr>
        <w:t>Kapitalna ulaganja</w:t>
      </w:r>
      <w:r w:rsidRPr="0010661E">
        <w:rPr>
          <w:rFonts w:asciiTheme="minorHAnsi" w:hAnsiTheme="minorHAnsi" w:cstheme="minorHAnsi"/>
          <w:szCs w:val="22"/>
          <w:lang w:eastAsia="hr-HR" w:bidi="bn-BD"/>
        </w:rPr>
        <w:t xml:space="preserve"> </w:t>
      </w:r>
      <w:r w:rsidRPr="0010661E">
        <w:rPr>
          <w:rFonts w:asciiTheme="minorHAnsi" w:hAnsiTheme="minorHAnsi" w:cstheme="minorHAnsi"/>
          <w:b/>
          <w:szCs w:val="22"/>
          <w:lang w:eastAsia="hr-HR" w:bidi="bn-BD"/>
        </w:rPr>
        <w:t>segmenta Istraživanje i proizvodnja</w:t>
      </w:r>
      <w:r w:rsidRPr="0010661E">
        <w:rPr>
          <w:rFonts w:asciiTheme="minorHAnsi" w:hAnsiTheme="minorHAnsi" w:cstheme="minorHAnsi"/>
          <w:szCs w:val="22"/>
          <w:lang w:eastAsia="hr-HR" w:bidi="bn-BD"/>
        </w:rPr>
        <w:t xml:space="preserve"> u 2014. iznosila su </w:t>
      </w:r>
      <w:r w:rsidR="00D1668F" w:rsidRPr="0010661E">
        <w:rPr>
          <w:rFonts w:ascii="Calibri" w:hAnsi="Calibri" w:cs="Calibri"/>
          <w:szCs w:val="22"/>
        </w:rPr>
        <w:t>1.04</w:t>
      </w:r>
      <w:r w:rsidR="009A393E">
        <w:rPr>
          <w:rFonts w:ascii="Calibri" w:hAnsi="Calibri" w:cs="Calibri"/>
          <w:szCs w:val="22"/>
        </w:rPr>
        <w:t>8</w:t>
      </w:r>
      <w:r w:rsidR="00D1668F" w:rsidRPr="0010661E">
        <w:rPr>
          <w:rFonts w:ascii="Calibri" w:hAnsi="Calibri" w:cs="Calibri"/>
          <w:szCs w:val="22"/>
        </w:rPr>
        <w:t xml:space="preserve"> </w:t>
      </w:r>
      <w:r w:rsidRPr="0010661E">
        <w:rPr>
          <w:rFonts w:asciiTheme="minorHAnsi" w:hAnsiTheme="minorHAnsi" w:cstheme="minorHAnsi"/>
          <w:szCs w:val="22"/>
          <w:lang w:eastAsia="hr-HR" w:bidi="bn-BD"/>
        </w:rPr>
        <w:t>milijuna kuna:</w:t>
      </w:r>
    </w:p>
    <w:p w:rsidR="004A5EAF" w:rsidRPr="0010661E" w:rsidRDefault="004A5EAF" w:rsidP="00813CA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Cs w:val="22"/>
          <w:lang w:eastAsia="en-US"/>
        </w:rPr>
      </w:pPr>
    </w:p>
    <w:p w:rsidR="00EC70EA" w:rsidRPr="0010661E" w:rsidRDefault="00D1668F" w:rsidP="00182C7E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2"/>
          <w:lang w:bidi="bn-BD"/>
        </w:rPr>
      </w:pPr>
      <w:r w:rsidRPr="0010661E">
        <w:rPr>
          <w:rFonts w:asciiTheme="minorHAnsi" w:hAnsiTheme="minorHAnsi" w:cstheme="minorHAnsi"/>
          <w:szCs w:val="22"/>
          <w:lang w:bidi="bn-BD"/>
        </w:rPr>
        <w:t>I</w:t>
      </w:r>
      <w:r w:rsidR="00182C7E" w:rsidRPr="0010661E">
        <w:rPr>
          <w:rFonts w:asciiTheme="minorHAnsi" w:hAnsiTheme="minorHAnsi" w:cstheme="minorHAnsi"/>
          <w:szCs w:val="22"/>
          <w:lang w:bidi="bn-BD"/>
        </w:rPr>
        <w:t xml:space="preserve">nvesticije u Hrvatsku u iznosu od </w:t>
      </w:r>
      <w:r w:rsidR="009A393E">
        <w:rPr>
          <w:rFonts w:ascii="Calibri" w:hAnsi="Calibri" w:cs="Calibri"/>
          <w:szCs w:val="22"/>
        </w:rPr>
        <w:t>899</w:t>
      </w:r>
      <w:r w:rsidR="009A393E" w:rsidRPr="0010661E">
        <w:rPr>
          <w:rFonts w:ascii="Calibri" w:hAnsi="Calibri" w:cs="Calibri"/>
          <w:szCs w:val="22"/>
        </w:rPr>
        <w:t xml:space="preserve"> </w:t>
      </w:r>
      <w:r w:rsidR="00182C7E" w:rsidRPr="0010661E">
        <w:rPr>
          <w:rFonts w:asciiTheme="minorHAnsi" w:hAnsiTheme="minorHAnsi" w:cstheme="minorHAnsi"/>
          <w:szCs w:val="22"/>
          <w:lang w:bidi="bn-BD"/>
        </w:rPr>
        <w:t>milijuna kuna</w:t>
      </w:r>
    </w:p>
    <w:p w:rsidR="00182C7E" w:rsidRPr="0010661E" w:rsidRDefault="001917BC" w:rsidP="00182C7E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Cs w:val="22"/>
          <w:lang w:bidi="bn-BD"/>
        </w:rPr>
      </w:pPr>
      <w:r w:rsidRPr="0010661E">
        <w:rPr>
          <w:rFonts w:asciiTheme="minorHAnsi" w:hAnsiTheme="minorHAnsi" w:cstheme="minorHAnsi"/>
          <w:szCs w:val="22"/>
          <w:lang w:bidi="bn-BD"/>
        </w:rPr>
        <w:t>I</w:t>
      </w:r>
      <w:r w:rsidR="00182C7E" w:rsidRPr="0010661E">
        <w:rPr>
          <w:rFonts w:asciiTheme="minorHAnsi" w:hAnsiTheme="minorHAnsi" w:cstheme="minorHAnsi"/>
          <w:szCs w:val="22"/>
          <w:lang w:bidi="bn-BD"/>
        </w:rPr>
        <w:t xml:space="preserve">nvesticije u inozemstvu u iznosu od </w:t>
      </w:r>
      <w:r w:rsidR="009A393E" w:rsidRPr="0010661E">
        <w:rPr>
          <w:rFonts w:ascii="Calibri" w:hAnsi="Calibri" w:cs="Calibri"/>
          <w:szCs w:val="22"/>
        </w:rPr>
        <w:t>1</w:t>
      </w:r>
      <w:r w:rsidR="009A393E">
        <w:rPr>
          <w:rFonts w:ascii="Calibri" w:hAnsi="Calibri" w:cs="Calibri"/>
          <w:szCs w:val="22"/>
        </w:rPr>
        <w:t>49</w:t>
      </w:r>
      <w:r w:rsidR="009A393E" w:rsidRPr="0010661E">
        <w:rPr>
          <w:rFonts w:ascii="Calibri" w:hAnsi="Calibri" w:cs="Calibri"/>
          <w:szCs w:val="22"/>
        </w:rPr>
        <w:t xml:space="preserve"> </w:t>
      </w:r>
      <w:r w:rsidR="00182C7E" w:rsidRPr="0010661E">
        <w:rPr>
          <w:rFonts w:asciiTheme="minorHAnsi" w:hAnsiTheme="minorHAnsi" w:cstheme="minorHAnsi"/>
          <w:szCs w:val="22"/>
          <w:lang w:bidi="bn-BD"/>
        </w:rPr>
        <w:t>milijuna kuna</w:t>
      </w:r>
    </w:p>
    <w:p w:rsidR="00D1668F" w:rsidRPr="0010661E" w:rsidRDefault="00D1668F" w:rsidP="00182C7E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22"/>
          <w:lang w:eastAsia="hr-HR" w:bidi="bn-BD"/>
        </w:rPr>
      </w:pPr>
    </w:p>
    <w:p w:rsidR="0030681C" w:rsidRPr="0010661E" w:rsidRDefault="0030681C" w:rsidP="0030681C">
      <w:pPr>
        <w:spacing w:line="252" w:lineRule="auto"/>
        <w:jc w:val="both"/>
        <w:rPr>
          <w:rFonts w:ascii="Calibri" w:hAnsi="Calibri" w:cs="Calibri"/>
          <w:sz w:val="22"/>
          <w:szCs w:val="22"/>
        </w:rPr>
      </w:pPr>
      <w:r w:rsidRPr="0010661E">
        <w:rPr>
          <w:rFonts w:ascii="Calibri" w:hAnsi="Calibri" w:cs="Calibri"/>
          <w:noProof/>
          <w:sz w:val="22"/>
          <w:szCs w:val="22"/>
          <w:highlight w:val="yellow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0292D" wp14:editId="57787BB0">
                <wp:simplePos x="0" y="0"/>
                <wp:positionH relativeFrom="column">
                  <wp:posOffset>14605</wp:posOffset>
                </wp:positionH>
                <wp:positionV relativeFrom="paragraph">
                  <wp:posOffset>6919</wp:posOffset>
                </wp:positionV>
                <wp:extent cx="3790315" cy="475013"/>
                <wp:effectExtent l="0" t="0" r="0" b="12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315" cy="475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81C" w:rsidRDefault="006133E1" w:rsidP="00BE359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</w:rPr>
                              <w:t>Proizvodnja sirove nafte</w:t>
                            </w:r>
                          </w:p>
                          <w:p w:rsidR="009A393E" w:rsidRPr="00C82CE8" w:rsidRDefault="009A393E" w:rsidP="00BE359B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eastAsia="MS PGothic" w:hAnsi="Calibri" w:cs="MS PGothic"/>
                                <w:bCs/>
                                <w:color w:val="003F87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82CE8">
                              <w:rPr>
                                <w:rFonts w:ascii="Calibri" w:eastAsia="MS PGothic" w:hAnsi="Calibri" w:cs="MS PGothic"/>
                                <w:bCs/>
                                <w:color w:val="003F87"/>
                                <w:kern w:val="24"/>
                                <w:sz w:val="20"/>
                                <w:szCs w:val="20"/>
                              </w:rPr>
                              <w:t>(boe/d)</w:t>
                            </w:r>
                          </w:p>
                        </w:txbxContent>
                      </wps:txbx>
                      <wps:bodyPr wrap="square" lIns="89593" tIns="44796" rIns="89593" bIns="44796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.15pt;margin-top:.55pt;width:298.45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" filled="f" stroked="f">
                <v:textbox inset="2.48869mm,1.2443mm,2.48869mm,1.2443mm">
                  <w:txbxContent>
                    <w:p w:rsidR="0030681C" w:rsidRDefault="006133E1" w:rsidP="00BE359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</w:rPr>
                        <w:t>Proizvodnja sirove nafte</w:t>
                      </w:r>
                    </w:p>
                    <w:p w:rsidR="009A393E" w:rsidRPr="00C82CE8" w:rsidRDefault="009A393E" w:rsidP="00BE359B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eastAsia="MS PGothic" w:hAnsi="Calibri" w:cs="MS PGothic"/>
                          <w:bCs/>
                          <w:color w:val="003F87"/>
                          <w:kern w:val="24"/>
                          <w:sz w:val="20"/>
                          <w:szCs w:val="20"/>
                        </w:rPr>
                      </w:pPr>
                      <w:r w:rsidRPr="00C82CE8">
                        <w:rPr>
                          <w:rFonts w:ascii="Calibri" w:eastAsia="MS PGothic" w:hAnsi="Calibri" w:cs="MS PGothic"/>
                          <w:bCs/>
                          <w:color w:val="003F87"/>
                          <w:kern w:val="24"/>
                          <w:sz w:val="20"/>
                          <w:szCs w:val="20"/>
                        </w:rPr>
                        <w:t>(boe/d)</w:t>
                      </w:r>
                    </w:p>
                  </w:txbxContent>
                </v:textbox>
              </v:shape>
            </w:pict>
          </mc:Fallback>
        </mc:AlternateContent>
      </w:r>
    </w:p>
    <w:p w:rsidR="0030681C" w:rsidRPr="0010661E" w:rsidRDefault="0030681C" w:rsidP="0030681C">
      <w:pPr>
        <w:spacing w:line="252" w:lineRule="auto"/>
        <w:jc w:val="both"/>
        <w:rPr>
          <w:rFonts w:ascii="Calibri" w:hAnsi="Calibri" w:cs="Calibri"/>
          <w:sz w:val="22"/>
          <w:szCs w:val="22"/>
          <w:lang w:eastAsia="hr-HR"/>
        </w:rPr>
      </w:pPr>
    </w:p>
    <w:p w:rsidR="00D03BD6" w:rsidRPr="0010661E" w:rsidRDefault="00D03BD6" w:rsidP="0030681C">
      <w:pPr>
        <w:rPr>
          <w:rFonts w:asciiTheme="minorHAnsi" w:hAnsiTheme="minorHAnsi" w:cstheme="minorHAnsi"/>
          <w:b/>
          <w:noProof/>
          <w:lang w:eastAsia="hr-HR"/>
        </w:rPr>
      </w:pPr>
    </w:p>
    <w:p w:rsidR="006133E1" w:rsidRPr="0010661E" w:rsidRDefault="006133E1" w:rsidP="0030681C">
      <w:pPr>
        <w:rPr>
          <w:rFonts w:asciiTheme="minorHAnsi" w:hAnsiTheme="minorHAnsi" w:cstheme="minorHAnsi"/>
          <w:b/>
          <w:noProof/>
          <w:lang w:eastAsia="hr-HR"/>
        </w:rPr>
      </w:pPr>
    </w:p>
    <w:p w:rsidR="006133E1" w:rsidRPr="0010661E" w:rsidRDefault="006133E1" w:rsidP="0030681C">
      <w:pPr>
        <w:rPr>
          <w:rFonts w:asciiTheme="minorHAnsi" w:hAnsiTheme="minorHAnsi" w:cstheme="minorHAnsi"/>
          <w:b/>
          <w:noProof/>
          <w:lang w:eastAsia="hr-HR"/>
        </w:rPr>
      </w:pPr>
    </w:p>
    <w:p w:rsidR="006133E1" w:rsidRPr="0010661E" w:rsidRDefault="009A393E" w:rsidP="0030681C">
      <w:pPr>
        <w:rPr>
          <w:rFonts w:asciiTheme="minorHAnsi" w:hAnsiTheme="minorHAnsi" w:cstheme="minorHAnsi"/>
          <w:b/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442DEEB2" wp14:editId="312B01C0">
            <wp:extent cx="3000375" cy="2319338"/>
            <wp:effectExtent l="0" t="0" r="0" b="508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133E1" w:rsidRPr="0010661E" w:rsidRDefault="006133E1" w:rsidP="0030681C">
      <w:pPr>
        <w:rPr>
          <w:rFonts w:asciiTheme="minorHAnsi" w:hAnsiTheme="minorHAnsi" w:cstheme="minorHAnsi"/>
          <w:b/>
          <w:noProof/>
          <w:lang w:eastAsia="hr-HR"/>
        </w:rPr>
      </w:pPr>
    </w:p>
    <w:p w:rsidR="004D6773" w:rsidRPr="0010661E" w:rsidRDefault="004D6773" w:rsidP="0030681C">
      <w:pPr>
        <w:rPr>
          <w:rFonts w:asciiTheme="minorHAnsi" w:hAnsiTheme="minorHAnsi" w:cstheme="minorHAnsi"/>
          <w:b/>
          <w:noProof/>
          <w:lang w:eastAsia="hr-HR"/>
        </w:rPr>
      </w:pPr>
    </w:p>
    <w:p w:rsidR="004D6773" w:rsidRPr="0010661E" w:rsidRDefault="004D6773" w:rsidP="0030681C">
      <w:pPr>
        <w:rPr>
          <w:rFonts w:asciiTheme="minorHAnsi" w:hAnsiTheme="minorHAnsi" w:cstheme="minorHAnsi"/>
          <w:b/>
          <w:noProof/>
          <w:lang w:eastAsia="hr-HR"/>
        </w:rPr>
      </w:pPr>
    </w:p>
    <w:p w:rsidR="004D6773" w:rsidRPr="0010661E" w:rsidRDefault="004D6773" w:rsidP="0030681C">
      <w:pPr>
        <w:rPr>
          <w:rFonts w:asciiTheme="minorHAnsi" w:hAnsiTheme="minorHAnsi" w:cstheme="minorHAnsi"/>
          <w:b/>
          <w:noProof/>
          <w:lang w:eastAsia="hr-HR"/>
        </w:rPr>
      </w:pPr>
    </w:p>
    <w:p w:rsidR="004D6773" w:rsidRPr="0010661E" w:rsidRDefault="004D6773" w:rsidP="0030681C">
      <w:pPr>
        <w:rPr>
          <w:rFonts w:asciiTheme="minorHAnsi" w:hAnsiTheme="minorHAnsi" w:cstheme="minorHAnsi"/>
          <w:b/>
          <w:noProof/>
          <w:lang w:eastAsia="hr-HR"/>
        </w:rPr>
      </w:pPr>
    </w:p>
    <w:p w:rsidR="006133E1" w:rsidRPr="0010661E" w:rsidRDefault="006133E1" w:rsidP="0030681C">
      <w:pPr>
        <w:rPr>
          <w:rFonts w:asciiTheme="minorHAnsi" w:hAnsiTheme="minorHAnsi" w:cstheme="minorHAnsi"/>
          <w:b/>
          <w:noProof/>
          <w:lang w:eastAsia="hr-HR"/>
        </w:rPr>
      </w:pPr>
    </w:p>
    <w:p w:rsidR="006133E1" w:rsidRDefault="006133E1" w:rsidP="0030681C">
      <w:pPr>
        <w:rPr>
          <w:rFonts w:asciiTheme="minorHAnsi" w:hAnsiTheme="minorHAnsi" w:cstheme="minorHAnsi"/>
          <w:b/>
          <w:noProof/>
          <w:lang w:eastAsia="hr-HR"/>
        </w:rPr>
      </w:pPr>
    </w:p>
    <w:p w:rsidR="00E223B1" w:rsidRDefault="00E223B1" w:rsidP="0030681C">
      <w:pPr>
        <w:rPr>
          <w:rFonts w:asciiTheme="minorHAnsi" w:hAnsiTheme="minorHAnsi" w:cstheme="minorHAnsi"/>
          <w:b/>
          <w:noProof/>
          <w:lang w:eastAsia="hr-HR"/>
        </w:rPr>
      </w:pPr>
    </w:p>
    <w:p w:rsidR="00E223B1" w:rsidRDefault="00E223B1" w:rsidP="0030681C">
      <w:pPr>
        <w:rPr>
          <w:rFonts w:asciiTheme="minorHAnsi" w:hAnsiTheme="minorHAnsi" w:cstheme="minorHAnsi"/>
          <w:b/>
          <w:noProof/>
          <w:lang w:eastAsia="hr-HR"/>
        </w:rPr>
      </w:pPr>
    </w:p>
    <w:p w:rsidR="00E223B1" w:rsidRPr="0010661E" w:rsidRDefault="00E223B1" w:rsidP="0030681C">
      <w:pPr>
        <w:rPr>
          <w:rFonts w:asciiTheme="minorHAnsi" w:hAnsiTheme="minorHAnsi" w:cstheme="minorHAnsi"/>
          <w:b/>
          <w:noProof/>
          <w:lang w:eastAsia="hr-HR"/>
        </w:rPr>
      </w:pPr>
    </w:p>
    <w:p w:rsidR="00322672" w:rsidRPr="0010661E" w:rsidRDefault="00322672" w:rsidP="00F30B7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10661E">
        <w:rPr>
          <w:rFonts w:ascii="Calibri" w:hAnsi="Calibri" w:cs="Calibri"/>
          <w:b/>
        </w:rPr>
        <w:lastRenderedPageBreak/>
        <w:t>Rafinerije i Marketing (uključujući Trgovinu na malo)</w:t>
      </w:r>
      <w:r w:rsidRPr="0010661E">
        <w:rPr>
          <w:rFonts w:ascii="Calibri" w:hAnsi="Calibri" w:cs="Calibri"/>
        </w:rPr>
        <w:t xml:space="preserve"> ostvario je u 2014. godini „čistu“ CCS</w:t>
      </w:r>
      <w:r w:rsidR="001917BC" w:rsidRPr="0010661E">
        <w:rPr>
          <w:rStyle w:val="FootnoteReference"/>
          <w:rFonts w:ascii="Calibri" w:hAnsi="Calibri" w:cs="Calibri"/>
        </w:rPr>
        <w:footnoteReference w:id="3"/>
      </w:r>
      <w:r w:rsidRPr="0010661E">
        <w:rPr>
          <w:rFonts w:ascii="Calibri" w:hAnsi="Calibri" w:cs="Calibri"/>
        </w:rPr>
        <w:t xml:space="preserve"> EBITDA u iznosu od (5</w:t>
      </w:r>
      <w:r w:rsidR="009A393E">
        <w:rPr>
          <w:rFonts w:ascii="Calibri" w:hAnsi="Calibri" w:cs="Calibri"/>
        </w:rPr>
        <w:t>54</w:t>
      </w:r>
      <w:r w:rsidRPr="0010661E">
        <w:rPr>
          <w:rFonts w:ascii="Calibri" w:hAnsi="Calibri" w:cs="Calibri"/>
        </w:rPr>
        <w:t>) milijuna kuna te EBITDA bez jednokratnih stavki u iznosu od (1.1</w:t>
      </w:r>
      <w:r w:rsidR="009A393E">
        <w:rPr>
          <w:rFonts w:ascii="Calibri" w:hAnsi="Calibri" w:cs="Calibri"/>
        </w:rPr>
        <w:t>84</w:t>
      </w:r>
      <w:r w:rsidRPr="0010661E">
        <w:rPr>
          <w:rFonts w:ascii="Calibri" w:hAnsi="Calibri" w:cs="Calibri"/>
        </w:rPr>
        <w:t>) milijuna kuna, oba ispod r</w:t>
      </w:r>
      <w:r w:rsidR="0089370A">
        <w:rPr>
          <w:rFonts w:ascii="Calibri" w:hAnsi="Calibri" w:cs="Calibri"/>
        </w:rPr>
        <w:t>azine zabilježene u 2013. godini</w:t>
      </w:r>
      <w:r w:rsidRPr="0010661E">
        <w:rPr>
          <w:rFonts w:ascii="Calibri" w:hAnsi="Calibri" w:cs="Calibri"/>
        </w:rPr>
        <w:t xml:space="preserve">. </w:t>
      </w:r>
    </w:p>
    <w:p w:rsidR="00322672" w:rsidRPr="0010661E" w:rsidRDefault="00322672" w:rsidP="00F30B74">
      <w:pPr>
        <w:autoSpaceDE w:val="0"/>
        <w:autoSpaceDN w:val="0"/>
        <w:adjustRightInd w:val="0"/>
        <w:jc w:val="both"/>
        <w:rPr>
          <w:rFonts w:ascii="Arial Narrow" w:hAnsi="Arial Narrow" w:cs="Arial"/>
          <w:sz w:val="18"/>
          <w:lang w:eastAsia="hr-HR"/>
        </w:rPr>
      </w:pPr>
    </w:p>
    <w:p w:rsidR="00822968" w:rsidRPr="0010661E" w:rsidRDefault="00822968" w:rsidP="00822968">
      <w:pPr>
        <w:jc w:val="both"/>
        <w:rPr>
          <w:rFonts w:ascii="Calibri" w:hAnsi="Calibri" w:cs="Calibri"/>
        </w:rPr>
      </w:pPr>
      <w:r w:rsidRPr="0010661E">
        <w:rPr>
          <w:rFonts w:ascii="Calibri" w:hAnsi="Calibri" w:cs="Calibri"/>
        </w:rPr>
        <w:t xml:space="preserve">Pad EBITDA uglavnom proizlazi iz reevaluacije zaliha od 523 milijuna kuna, uzrokovane snažnim padom </w:t>
      </w:r>
      <w:proofErr w:type="spellStart"/>
      <w:r w:rsidRPr="0010661E">
        <w:rPr>
          <w:rFonts w:ascii="Calibri" w:hAnsi="Calibri" w:cs="Calibri"/>
        </w:rPr>
        <w:t>Brent</w:t>
      </w:r>
      <w:proofErr w:type="spellEnd"/>
      <w:r w:rsidRPr="0010661E">
        <w:rPr>
          <w:rFonts w:ascii="Calibri" w:hAnsi="Calibri" w:cs="Calibri"/>
        </w:rPr>
        <w:t xml:space="preserve"> cijene sirove nafte.</w:t>
      </w:r>
      <w:r w:rsidR="001917BC" w:rsidRPr="0010661E">
        <w:rPr>
          <w:rFonts w:ascii="Calibri" w:hAnsi="Calibri" w:cs="Calibri"/>
        </w:rPr>
        <w:t xml:space="preserve"> </w:t>
      </w:r>
      <w:r w:rsidRPr="0010661E">
        <w:rPr>
          <w:rFonts w:ascii="Calibri" w:hAnsi="Calibri" w:cs="Calibri"/>
        </w:rPr>
        <w:t xml:space="preserve">Rezultat segmenta uglavnom </w:t>
      </w:r>
      <w:r w:rsidR="0089370A" w:rsidRPr="0010661E">
        <w:rPr>
          <w:rFonts w:ascii="Calibri" w:hAnsi="Calibri" w:cs="Calibri"/>
        </w:rPr>
        <w:t xml:space="preserve">je </w:t>
      </w:r>
      <w:r w:rsidRPr="0010661E">
        <w:rPr>
          <w:rFonts w:ascii="Calibri" w:hAnsi="Calibri" w:cs="Calibri"/>
        </w:rPr>
        <w:t>pod utjecajem nepovoljnog vanjskog okruženja koje se očituje u 5% nižoj prosječnoj rafinerijskoj marži (</w:t>
      </w:r>
      <w:r w:rsidR="009A393E">
        <w:rPr>
          <w:rFonts w:ascii="Calibri" w:hAnsi="Calibri" w:cs="Calibri"/>
        </w:rPr>
        <w:t>odnosno</w:t>
      </w:r>
      <w:r w:rsidRPr="0010661E">
        <w:rPr>
          <w:rFonts w:ascii="Calibri" w:hAnsi="Calibri" w:cs="Calibri"/>
        </w:rPr>
        <w:t xml:space="preserve"> niže marže dizela), što je </w:t>
      </w:r>
      <w:r w:rsidR="0089370A" w:rsidRPr="0010661E">
        <w:rPr>
          <w:rFonts w:ascii="Calibri" w:hAnsi="Calibri" w:cs="Calibri"/>
        </w:rPr>
        <w:t>u kombinaciji s nepovoljnijom strukturom proizvodnje i višim udjel</w:t>
      </w:r>
      <w:r w:rsidR="0089370A">
        <w:rPr>
          <w:rFonts w:ascii="Calibri" w:hAnsi="Calibri" w:cs="Calibri"/>
        </w:rPr>
        <w:t>om</w:t>
      </w:r>
      <w:r w:rsidR="0089370A" w:rsidRPr="0010661E">
        <w:rPr>
          <w:rFonts w:ascii="Calibri" w:hAnsi="Calibri" w:cs="Calibri"/>
        </w:rPr>
        <w:t xml:space="preserve"> </w:t>
      </w:r>
      <w:r w:rsidR="0089370A">
        <w:rPr>
          <w:rFonts w:ascii="Calibri" w:hAnsi="Calibri" w:cs="Calibri"/>
        </w:rPr>
        <w:t>vlastite potrošnje i gubitaka</w:t>
      </w:r>
      <w:r w:rsidR="0089370A" w:rsidRPr="0010661E">
        <w:rPr>
          <w:rFonts w:ascii="Calibri" w:hAnsi="Calibri" w:cs="Calibri"/>
        </w:rPr>
        <w:t xml:space="preserve"> </w:t>
      </w:r>
      <w:r w:rsidRPr="0010661E">
        <w:rPr>
          <w:rFonts w:ascii="Calibri" w:hAnsi="Calibri" w:cs="Calibri"/>
        </w:rPr>
        <w:t xml:space="preserve">dovelo do </w:t>
      </w:r>
      <w:r w:rsidR="0089370A">
        <w:rPr>
          <w:rFonts w:ascii="Calibri" w:hAnsi="Calibri" w:cs="Calibri"/>
        </w:rPr>
        <w:t>smanjenja</w:t>
      </w:r>
      <w:r w:rsidRPr="0010661E">
        <w:rPr>
          <w:rFonts w:ascii="Calibri" w:hAnsi="Calibri" w:cs="Calibri"/>
        </w:rPr>
        <w:t xml:space="preserve"> prodajnih količina za 5%</w:t>
      </w:r>
      <w:r w:rsidR="0089370A">
        <w:rPr>
          <w:rFonts w:ascii="Calibri" w:hAnsi="Calibri" w:cs="Calibri"/>
        </w:rPr>
        <w:t>.</w:t>
      </w:r>
    </w:p>
    <w:p w:rsidR="00F30B74" w:rsidRPr="0010661E" w:rsidRDefault="00F30B74" w:rsidP="00182C7E">
      <w:pPr>
        <w:jc w:val="both"/>
        <w:rPr>
          <w:rFonts w:asciiTheme="minorHAnsi" w:hAnsiTheme="minorHAnsi" w:cstheme="minorHAnsi"/>
          <w:lang w:eastAsia="hr-HR" w:bidi="bn-BD"/>
        </w:rPr>
      </w:pPr>
    </w:p>
    <w:p w:rsidR="00F30B74" w:rsidRPr="0010661E" w:rsidRDefault="00822968" w:rsidP="00182C7E">
      <w:pPr>
        <w:jc w:val="both"/>
        <w:rPr>
          <w:rFonts w:ascii="Calibri" w:hAnsi="Calibri" w:cs="Calibri"/>
          <w:szCs w:val="22"/>
        </w:rPr>
      </w:pPr>
      <w:r w:rsidRPr="0010661E">
        <w:rPr>
          <w:rFonts w:ascii="Calibri" w:hAnsi="Calibri" w:cs="Calibri"/>
          <w:szCs w:val="22"/>
        </w:rPr>
        <w:t xml:space="preserve">Međutim, iako se ukupni volumen prodaje smanjio, prodajna struktura se poboljšala, odnosno </w:t>
      </w:r>
      <w:r w:rsidR="0089370A" w:rsidRPr="0010661E">
        <w:rPr>
          <w:rFonts w:ascii="Calibri" w:hAnsi="Calibri" w:cs="Calibri"/>
          <w:szCs w:val="22"/>
        </w:rPr>
        <w:t>poveća</w:t>
      </w:r>
      <w:r w:rsidR="0089370A">
        <w:rPr>
          <w:rFonts w:ascii="Calibri" w:hAnsi="Calibri" w:cs="Calibri"/>
          <w:szCs w:val="22"/>
        </w:rPr>
        <w:t>n je</w:t>
      </w:r>
      <w:r w:rsidR="0089370A" w:rsidRPr="0010661E">
        <w:rPr>
          <w:rFonts w:ascii="Calibri" w:hAnsi="Calibri" w:cs="Calibri"/>
          <w:szCs w:val="22"/>
        </w:rPr>
        <w:t xml:space="preserve"> </w:t>
      </w:r>
      <w:r w:rsidRPr="0010661E">
        <w:rPr>
          <w:rFonts w:ascii="Calibri" w:hAnsi="Calibri" w:cs="Calibri"/>
          <w:szCs w:val="22"/>
        </w:rPr>
        <w:t xml:space="preserve">udio motornih goriva, a </w:t>
      </w:r>
      <w:r w:rsidR="0089370A">
        <w:rPr>
          <w:rFonts w:ascii="Calibri" w:hAnsi="Calibri" w:cs="Calibri"/>
          <w:szCs w:val="22"/>
        </w:rPr>
        <w:t>smanjen udio loživog ulja.</w:t>
      </w:r>
      <w:r w:rsidR="00ED18E4">
        <w:rPr>
          <w:rFonts w:ascii="Calibri" w:hAnsi="Calibri" w:cs="Calibri"/>
          <w:szCs w:val="22"/>
        </w:rPr>
        <w:t xml:space="preserve"> Također, vlastita potrošnja u rafinerijama je manja za 9%</w:t>
      </w:r>
      <w:r w:rsidR="00E223B1">
        <w:rPr>
          <w:rFonts w:ascii="Calibri" w:hAnsi="Calibri" w:cs="Calibri"/>
          <w:szCs w:val="22"/>
        </w:rPr>
        <w:t xml:space="preserve"> u odnosu na 2013. godinu</w:t>
      </w:r>
      <w:r w:rsidR="00ED18E4">
        <w:rPr>
          <w:rFonts w:ascii="Calibri" w:hAnsi="Calibri" w:cs="Calibri"/>
          <w:szCs w:val="22"/>
        </w:rPr>
        <w:t>.</w:t>
      </w:r>
    </w:p>
    <w:p w:rsidR="00822968" w:rsidRPr="0010661E" w:rsidRDefault="00822968" w:rsidP="00182C7E">
      <w:pPr>
        <w:jc w:val="both"/>
        <w:rPr>
          <w:rFonts w:asciiTheme="minorHAnsi" w:hAnsiTheme="minorHAnsi" w:cstheme="minorHAnsi"/>
          <w:lang w:eastAsia="hr-HR" w:bidi="bn-BD"/>
        </w:rPr>
      </w:pPr>
    </w:p>
    <w:p w:rsidR="003F7042" w:rsidRPr="0010661E" w:rsidRDefault="003F7042" w:rsidP="003F7042">
      <w:pPr>
        <w:jc w:val="both"/>
        <w:rPr>
          <w:rFonts w:ascii="Calibri" w:hAnsi="Calibri" w:cs="Calibri"/>
          <w:szCs w:val="22"/>
        </w:rPr>
      </w:pPr>
      <w:r w:rsidRPr="0010661E">
        <w:rPr>
          <w:rFonts w:ascii="Calibri" w:hAnsi="Calibri" w:cs="Calibri"/>
          <w:szCs w:val="22"/>
        </w:rPr>
        <w:t xml:space="preserve">Ukupne prodajne količine segmenta Trgovina na malo u 2014. godini ostale su stabilne i iznosile su 994 </w:t>
      </w:r>
      <w:proofErr w:type="spellStart"/>
      <w:r w:rsidRPr="0010661E">
        <w:rPr>
          <w:rFonts w:ascii="Calibri" w:hAnsi="Calibri" w:cs="Calibri"/>
          <w:szCs w:val="22"/>
        </w:rPr>
        <w:t>kt</w:t>
      </w:r>
      <w:proofErr w:type="spellEnd"/>
      <w:r w:rsidRPr="0010661E">
        <w:rPr>
          <w:rFonts w:ascii="Calibri" w:hAnsi="Calibri" w:cs="Calibri"/>
          <w:szCs w:val="22"/>
        </w:rPr>
        <w:t>, kao rezultat slabije kupovne moći, produbljenja ekonomske krize i negativnih posljedica poplava u svibnju 2014.</w:t>
      </w:r>
    </w:p>
    <w:p w:rsidR="00F30B74" w:rsidRPr="0010661E" w:rsidRDefault="00F30B74" w:rsidP="00182C7E">
      <w:pPr>
        <w:jc w:val="both"/>
        <w:rPr>
          <w:rFonts w:asciiTheme="minorHAnsi" w:hAnsiTheme="minorHAnsi" w:cstheme="minorHAnsi"/>
          <w:lang w:eastAsia="hr-HR" w:bidi="bn-BD"/>
        </w:rPr>
      </w:pPr>
    </w:p>
    <w:p w:rsidR="003F7042" w:rsidRPr="0010661E" w:rsidRDefault="003F7042" w:rsidP="003F7042">
      <w:pPr>
        <w:tabs>
          <w:tab w:val="left" w:pos="709"/>
        </w:tabs>
        <w:jc w:val="both"/>
        <w:rPr>
          <w:rFonts w:ascii="Calibri" w:hAnsi="Calibri" w:cs="Calibri"/>
          <w:szCs w:val="22"/>
        </w:rPr>
      </w:pPr>
      <w:r w:rsidRPr="0010661E">
        <w:rPr>
          <w:rFonts w:ascii="Calibri" w:hAnsi="Calibri" w:cs="Calibri"/>
          <w:szCs w:val="22"/>
        </w:rPr>
        <w:t xml:space="preserve">Tijekom 2014. snažan fokus segmenta Trgovina na malo bio je na uspostavi novog operativnog modela pokretanjem pilot-projekta s ciljem da se na određene benzinske postaje implementira model partnerskog upravljanja koji bi omogućio efikasnije poslovanje. </w:t>
      </w:r>
    </w:p>
    <w:p w:rsidR="003F7042" w:rsidRDefault="003F7042" w:rsidP="003F7042">
      <w:pPr>
        <w:tabs>
          <w:tab w:val="left" w:pos="709"/>
        </w:tabs>
        <w:jc w:val="both"/>
        <w:rPr>
          <w:rFonts w:ascii="Calibri" w:hAnsi="Calibri" w:cs="Calibri"/>
          <w:color w:val="FF0000"/>
          <w:szCs w:val="22"/>
        </w:rPr>
      </w:pPr>
    </w:p>
    <w:p w:rsidR="009A393E" w:rsidRPr="0010661E" w:rsidRDefault="009A393E" w:rsidP="003F7042">
      <w:pPr>
        <w:tabs>
          <w:tab w:val="left" w:pos="709"/>
        </w:tabs>
        <w:jc w:val="both"/>
        <w:rPr>
          <w:rFonts w:ascii="Calibri" w:hAnsi="Calibri" w:cs="Calibri"/>
          <w:color w:val="FF0000"/>
          <w:szCs w:val="22"/>
        </w:rPr>
      </w:pPr>
    </w:p>
    <w:p w:rsidR="003F7042" w:rsidRPr="0010661E" w:rsidRDefault="003F7042" w:rsidP="003F7042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szCs w:val="22"/>
          <w:lang w:eastAsia="en-US"/>
        </w:rPr>
      </w:pPr>
      <w:r w:rsidRPr="0010661E">
        <w:rPr>
          <w:rFonts w:ascii="Calibri" w:hAnsi="Calibri" w:cs="Calibri"/>
          <w:b/>
          <w:szCs w:val="22"/>
          <w:lang w:eastAsia="en-US"/>
        </w:rPr>
        <w:t xml:space="preserve">Kapitalna ulaganja Rafinerija i marketinga (uključujući Trgovinu na malo) </w:t>
      </w:r>
      <w:r w:rsidRPr="0010661E">
        <w:rPr>
          <w:rFonts w:ascii="Calibri" w:hAnsi="Calibri" w:cs="Calibri"/>
          <w:szCs w:val="22"/>
          <w:lang w:eastAsia="en-US"/>
        </w:rPr>
        <w:t>iznosila su 470 milijuna kuna u 2014</w:t>
      </w:r>
      <w:r w:rsidR="0089370A">
        <w:rPr>
          <w:rFonts w:ascii="Calibri" w:hAnsi="Calibri" w:cs="Calibri"/>
          <w:szCs w:val="22"/>
          <w:lang w:eastAsia="en-US"/>
        </w:rPr>
        <w:t>.</w:t>
      </w:r>
    </w:p>
    <w:p w:rsidR="003F7042" w:rsidRPr="0010661E" w:rsidRDefault="003F7042" w:rsidP="003F7042">
      <w:pPr>
        <w:pStyle w:val="ListParagraph"/>
        <w:numPr>
          <w:ilvl w:val="0"/>
          <w:numId w:val="20"/>
        </w:numPr>
        <w:tabs>
          <w:tab w:val="left" w:pos="709"/>
        </w:tabs>
        <w:jc w:val="both"/>
        <w:rPr>
          <w:rFonts w:ascii="Calibri" w:hAnsi="Calibri" w:cs="Calibri"/>
          <w:szCs w:val="22"/>
        </w:rPr>
      </w:pPr>
      <w:r w:rsidRPr="0010661E">
        <w:rPr>
          <w:rFonts w:ascii="Calibri" w:hAnsi="Calibri" w:cs="Calibri"/>
          <w:szCs w:val="22"/>
        </w:rPr>
        <w:t>Kapitalna ulaganja segmenta Rafinerije i marketing u 2014. iznosila su 314 milijuna kuna</w:t>
      </w:r>
    </w:p>
    <w:p w:rsidR="003F7042" w:rsidRPr="0010661E" w:rsidRDefault="00A41941" w:rsidP="003F7042">
      <w:pPr>
        <w:pStyle w:val="ListParagraph"/>
        <w:numPr>
          <w:ilvl w:val="0"/>
          <w:numId w:val="20"/>
        </w:numPr>
        <w:tabs>
          <w:tab w:val="left" w:pos="709"/>
        </w:tabs>
        <w:jc w:val="both"/>
        <w:rPr>
          <w:rFonts w:ascii="Calibri" w:hAnsi="Calibri" w:cs="Calibri"/>
          <w:szCs w:val="22"/>
        </w:rPr>
      </w:pPr>
      <w:r w:rsidRPr="0010661E">
        <w:rPr>
          <w:rFonts w:ascii="Calibri" w:hAnsi="Calibri" w:cs="Calibri"/>
          <w:szCs w:val="22"/>
        </w:rPr>
        <w:t>Z</w:t>
      </w:r>
      <w:r w:rsidR="0089370A">
        <w:rPr>
          <w:rFonts w:ascii="Calibri" w:hAnsi="Calibri" w:cs="Calibri"/>
          <w:szCs w:val="22"/>
        </w:rPr>
        <w:t>načajan projekt s</w:t>
      </w:r>
      <w:r w:rsidRPr="0010661E">
        <w:rPr>
          <w:rFonts w:ascii="Calibri" w:hAnsi="Calibri" w:cs="Calibri"/>
          <w:szCs w:val="22"/>
        </w:rPr>
        <w:t>egmenta Rafinerije i Marketing, r</w:t>
      </w:r>
      <w:r w:rsidR="003F7042" w:rsidRPr="0010661E">
        <w:rPr>
          <w:rFonts w:ascii="Calibri" w:hAnsi="Calibri" w:cs="Calibri"/>
          <w:szCs w:val="22"/>
        </w:rPr>
        <w:t xml:space="preserve">emont rafinerije Sisak (koji je uključivao instalaciju novih komora Postrojenja za </w:t>
      </w:r>
      <w:proofErr w:type="spellStart"/>
      <w:r w:rsidR="003F7042" w:rsidRPr="0010661E">
        <w:rPr>
          <w:rFonts w:ascii="Calibri" w:hAnsi="Calibri" w:cs="Calibri"/>
          <w:szCs w:val="22"/>
        </w:rPr>
        <w:t>koking</w:t>
      </w:r>
      <w:proofErr w:type="spellEnd"/>
      <w:r w:rsidR="003F7042" w:rsidRPr="0010661E">
        <w:rPr>
          <w:rFonts w:ascii="Calibri" w:hAnsi="Calibri" w:cs="Calibri"/>
          <w:szCs w:val="22"/>
        </w:rPr>
        <w:t xml:space="preserve">) završen </w:t>
      </w:r>
      <w:r w:rsidRPr="0010661E">
        <w:rPr>
          <w:rFonts w:ascii="Calibri" w:hAnsi="Calibri" w:cs="Calibri"/>
          <w:szCs w:val="22"/>
        </w:rPr>
        <w:t>je tijekom četvrtog tromjesečja</w:t>
      </w:r>
    </w:p>
    <w:p w:rsidR="00A41941" w:rsidRPr="0010661E" w:rsidRDefault="00A41941" w:rsidP="00A41941">
      <w:pPr>
        <w:pStyle w:val="ListParagraph"/>
        <w:numPr>
          <w:ilvl w:val="0"/>
          <w:numId w:val="20"/>
        </w:numPr>
        <w:jc w:val="both"/>
        <w:rPr>
          <w:rFonts w:ascii="Calibri" w:hAnsi="Calibri" w:cs="Calibri"/>
          <w:szCs w:val="22"/>
        </w:rPr>
      </w:pPr>
      <w:r w:rsidRPr="0010661E">
        <w:rPr>
          <w:rFonts w:ascii="Calibri" w:hAnsi="Calibri" w:cs="Calibri"/>
          <w:szCs w:val="22"/>
        </w:rPr>
        <w:t xml:space="preserve">Tijekom 2014. godine nastavljeni su </w:t>
      </w:r>
      <w:r w:rsidR="009A393E">
        <w:rPr>
          <w:rFonts w:ascii="Calibri" w:hAnsi="Calibri" w:cs="Calibri"/>
          <w:szCs w:val="22"/>
        </w:rPr>
        <w:t xml:space="preserve">brojni </w:t>
      </w:r>
      <w:r w:rsidRPr="0010661E">
        <w:rPr>
          <w:rFonts w:ascii="Calibri" w:hAnsi="Calibri" w:cs="Calibri"/>
          <w:szCs w:val="22"/>
        </w:rPr>
        <w:t>projekti za unapre</w:t>
      </w:r>
      <w:r w:rsidR="0089370A">
        <w:rPr>
          <w:rFonts w:ascii="Calibri" w:hAnsi="Calibri" w:cs="Calibri"/>
          <w:szCs w:val="22"/>
        </w:rPr>
        <w:t>đenje logističke infrastrukture</w:t>
      </w:r>
    </w:p>
    <w:p w:rsidR="003F7042" w:rsidRPr="0010661E" w:rsidRDefault="00A41941" w:rsidP="003F7042">
      <w:pPr>
        <w:pStyle w:val="ListParagraph"/>
        <w:numPr>
          <w:ilvl w:val="0"/>
          <w:numId w:val="20"/>
        </w:numPr>
        <w:tabs>
          <w:tab w:val="left" w:pos="709"/>
        </w:tabs>
        <w:jc w:val="both"/>
        <w:rPr>
          <w:rFonts w:ascii="Calibri" w:hAnsi="Calibri" w:cs="Calibri"/>
          <w:szCs w:val="22"/>
        </w:rPr>
      </w:pPr>
      <w:r w:rsidRPr="0010661E">
        <w:rPr>
          <w:rFonts w:ascii="Calibri" w:hAnsi="Calibri" w:cs="Calibri"/>
          <w:szCs w:val="22"/>
        </w:rPr>
        <w:t>Kapitalna ulaganja segmenta Trgovina na malo u 2014. godini su iznosila 156 milijuna kuna</w:t>
      </w:r>
    </w:p>
    <w:p w:rsidR="00A41941" w:rsidRDefault="00A41941" w:rsidP="00A41941">
      <w:pPr>
        <w:pStyle w:val="ListParagraph"/>
        <w:numPr>
          <w:ilvl w:val="0"/>
          <w:numId w:val="20"/>
        </w:numPr>
        <w:jc w:val="both"/>
        <w:rPr>
          <w:rFonts w:ascii="Calibri" w:hAnsi="Calibri" w:cs="Calibri"/>
          <w:szCs w:val="22"/>
        </w:rPr>
      </w:pPr>
      <w:r w:rsidRPr="0010661E">
        <w:rPr>
          <w:rFonts w:ascii="Calibri" w:hAnsi="Calibri" w:cs="Calibri"/>
          <w:szCs w:val="22"/>
        </w:rPr>
        <w:t xml:space="preserve">Glavni dio odnosio se na intenzivni projekt modernizacije u Hrvatskoj te pokretanje potpune obnove postaja u Bosni i Hercegovini. </w:t>
      </w:r>
    </w:p>
    <w:p w:rsidR="009A393E" w:rsidRDefault="009A393E" w:rsidP="00C82CE8">
      <w:pPr>
        <w:jc w:val="both"/>
        <w:rPr>
          <w:rFonts w:ascii="Calibri" w:hAnsi="Calibri" w:cs="Calibri"/>
          <w:szCs w:val="22"/>
        </w:rPr>
      </w:pPr>
    </w:p>
    <w:p w:rsidR="009A393E" w:rsidRDefault="009A393E" w:rsidP="00C82CE8">
      <w:pPr>
        <w:jc w:val="both"/>
        <w:rPr>
          <w:rFonts w:ascii="Calibri" w:hAnsi="Calibri" w:cs="Calibri"/>
          <w:szCs w:val="22"/>
        </w:rPr>
      </w:pPr>
    </w:p>
    <w:p w:rsidR="009A393E" w:rsidRDefault="009A393E" w:rsidP="00C82CE8">
      <w:pPr>
        <w:jc w:val="both"/>
        <w:rPr>
          <w:rFonts w:ascii="Calibri" w:hAnsi="Calibri" w:cs="Calibri"/>
          <w:szCs w:val="22"/>
        </w:rPr>
      </w:pPr>
    </w:p>
    <w:p w:rsidR="009A393E" w:rsidRDefault="009A393E" w:rsidP="00C82CE8">
      <w:pPr>
        <w:jc w:val="both"/>
        <w:rPr>
          <w:rFonts w:ascii="Calibri" w:hAnsi="Calibri" w:cs="Calibri"/>
          <w:szCs w:val="22"/>
        </w:rPr>
      </w:pPr>
    </w:p>
    <w:p w:rsidR="009A393E" w:rsidRPr="00C82CE8" w:rsidRDefault="009A393E" w:rsidP="00C82CE8">
      <w:pPr>
        <w:jc w:val="both"/>
        <w:rPr>
          <w:rFonts w:ascii="Calibri" w:hAnsi="Calibri" w:cs="Calibri"/>
          <w:szCs w:val="22"/>
        </w:rPr>
      </w:pPr>
    </w:p>
    <w:p w:rsidR="004D7732" w:rsidRPr="0010661E" w:rsidRDefault="004D7732" w:rsidP="003F704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33507" w:rsidRPr="0010661E" w:rsidRDefault="00033507" w:rsidP="00A41941">
      <w:pPr>
        <w:spacing w:line="276" w:lineRule="auto"/>
        <w:jc w:val="both"/>
        <w:rPr>
          <w:rFonts w:ascii="Calibri" w:hAnsi="Calibri" w:cs="Calibri"/>
          <w:bCs/>
        </w:rPr>
      </w:pPr>
      <w:r w:rsidRPr="0010661E">
        <w:rPr>
          <w:rFonts w:ascii="Calibri" w:hAnsi="Calibri" w:cs="Calibri"/>
          <w:bCs/>
        </w:rPr>
        <w:lastRenderedPageBreak/>
        <w:t>Financijska pozicija kompanije dodatno je poboljšana, uz smanjenje neto zaduženosti za 37%</w:t>
      </w:r>
      <w:r w:rsidR="0089370A">
        <w:rPr>
          <w:rFonts w:ascii="Calibri" w:hAnsi="Calibri" w:cs="Calibri"/>
          <w:bCs/>
        </w:rPr>
        <w:t>,</w:t>
      </w:r>
      <w:r w:rsidRPr="0010661E">
        <w:rPr>
          <w:rFonts w:ascii="Calibri" w:hAnsi="Calibri" w:cs="Calibri"/>
          <w:bCs/>
        </w:rPr>
        <w:t xml:space="preserve"> na iznos od </w:t>
      </w:r>
      <w:bookmarkEnd w:id="0"/>
      <w:r w:rsidRPr="0010661E">
        <w:rPr>
          <w:rFonts w:ascii="Calibri" w:hAnsi="Calibri" w:cs="Calibri"/>
          <w:bCs/>
        </w:rPr>
        <w:t>2.991 milijun kuna</w:t>
      </w:r>
      <w:r w:rsidR="0089370A">
        <w:rPr>
          <w:rFonts w:ascii="Calibri" w:hAnsi="Calibri" w:cs="Calibri"/>
          <w:bCs/>
        </w:rPr>
        <w:t>,</w:t>
      </w:r>
      <w:r w:rsidRPr="0010661E">
        <w:rPr>
          <w:rFonts w:ascii="Calibri" w:hAnsi="Calibri" w:cs="Calibri"/>
          <w:bCs/>
        </w:rPr>
        <w:t xml:space="preserve"> u odnosu na 31. prosinca 2013. Omjer duga i kapitala</w:t>
      </w:r>
      <w:r w:rsidR="00B8686A" w:rsidRPr="0010661E">
        <w:rPr>
          <w:rStyle w:val="FootnoteReference"/>
          <w:rFonts w:ascii="Calibri" w:hAnsi="Calibri" w:cs="Calibri"/>
          <w:bCs/>
        </w:rPr>
        <w:footnoteReference w:id="4"/>
      </w:r>
      <w:r w:rsidRPr="0010661E">
        <w:rPr>
          <w:rFonts w:ascii="Calibri" w:hAnsi="Calibri" w:cs="Calibri"/>
          <w:bCs/>
        </w:rPr>
        <w:t xml:space="preserve"> smanjio se s 27,0% na dan 31. prosinca 2013. na 20,4% na dan 31. prosinca 2014.</w:t>
      </w:r>
    </w:p>
    <w:p w:rsidR="002729AA" w:rsidRPr="0010661E" w:rsidRDefault="002729AA" w:rsidP="0030681C">
      <w:pPr>
        <w:spacing w:line="276" w:lineRule="auto"/>
        <w:jc w:val="both"/>
        <w:rPr>
          <w:rFonts w:asciiTheme="minorHAnsi" w:hAnsiTheme="minorHAnsi" w:cstheme="minorHAnsi"/>
          <w:szCs w:val="22"/>
          <w:lang w:eastAsia="hr-HR" w:bidi="bn-BD"/>
        </w:rPr>
      </w:pPr>
    </w:p>
    <w:p w:rsidR="00033507" w:rsidRPr="0010661E" w:rsidRDefault="00033507" w:rsidP="00966770">
      <w:pPr>
        <w:spacing w:line="276" w:lineRule="auto"/>
        <w:jc w:val="center"/>
        <w:rPr>
          <w:rFonts w:ascii="Calibri" w:hAnsi="Calibri" w:cs="Calibri"/>
          <w:bCs/>
        </w:rPr>
      </w:pPr>
    </w:p>
    <w:p w:rsidR="0030681C" w:rsidRPr="0010661E" w:rsidRDefault="00511D57" w:rsidP="00966770">
      <w:pPr>
        <w:spacing w:line="276" w:lineRule="auto"/>
        <w:jc w:val="center"/>
        <w:rPr>
          <w:rFonts w:ascii="Calibri" w:hAnsi="Calibri" w:cs="Calibri"/>
          <w:bCs/>
        </w:rPr>
      </w:pPr>
      <w:r w:rsidRPr="0010661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B9A8C" wp14:editId="0404F48F">
                <wp:simplePos x="0" y="0"/>
                <wp:positionH relativeFrom="column">
                  <wp:posOffset>2519680</wp:posOffset>
                </wp:positionH>
                <wp:positionV relativeFrom="paragraph">
                  <wp:posOffset>207645</wp:posOffset>
                </wp:positionV>
                <wp:extent cx="2990850" cy="428625"/>
                <wp:effectExtent l="0" t="0" r="0" b="635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316" w:rsidRPr="0010661E" w:rsidRDefault="00193316" w:rsidP="0019331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0661E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</w:rPr>
                              <w:t>Omjer duga i kapitala INA Grupe</w:t>
                            </w:r>
                          </w:p>
                          <w:p w:rsidR="00193316" w:rsidRPr="00BE359B" w:rsidRDefault="00193316" w:rsidP="0019331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eastAsia="MS PGothic" w:hAnsi="Calibri" w:cs="MS PGothic"/>
                                <w:color w:val="808080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BE359B">
                              <w:rPr>
                                <w:rFonts w:ascii="Calibri" w:eastAsia="MS PGothic" w:hAnsi="Calibri" w:cs="MS PGothic"/>
                                <w:color w:val="808080"/>
                                <w:kern w:val="24"/>
                                <w:sz w:val="21"/>
                                <w:szCs w:val="21"/>
                                <w:lang w:val="en-GB"/>
                              </w:rPr>
                              <w:t>(%)</w:t>
                            </w:r>
                          </w:p>
                        </w:txbxContent>
                      </wps:txbx>
                      <wps:bodyPr wrap="square" lIns="89611" tIns="44806" rIns="89611" bIns="44806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left:0;text-align:left;margin-left:198.4pt;margin-top:16.35pt;width:235.5pt;height:33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" filled="f" stroked="f">
                <v:textbox style="mso-fit-shape-to-text:t" inset="2.48919mm,1.2446mm,2.48919mm,1.2446mm">
                  <w:txbxContent>
                    <w:p w:rsidR="00193316" w:rsidRPr="0010661E" w:rsidRDefault="00193316" w:rsidP="0019331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</w:rPr>
                      </w:pPr>
                      <w:r w:rsidRPr="0010661E"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</w:rPr>
                        <w:t>Omjer duga i kapitala INA Grupe</w:t>
                      </w:r>
                    </w:p>
                    <w:p w:rsidR="00193316" w:rsidRPr="00BE359B" w:rsidRDefault="00193316" w:rsidP="0019331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eastAsia="MS PGothic" w:hAnsi="Calibri" w:cs="MS PGothic"/>
                          <w:color w:val="808080"/>
                          <w:kern w:val="24"/>
                          <w:sz w:val="21"/>
                          <w:szCs w:val="21"/>
                          <w:lang w:val="en-GB"/>
                        </w:rPr>
                      </w:pPr>
                      <w:r w:rsidRPr="00BE359B">
                        <w:rPr>
                          <w:rFonts w:ascii="Calibri" w:eastAsia="MS PGothic" w:hAnsi="Calibri" w:cs="MS PGothic"/>
                          <w:color w:val="808080"/>
                          <w:kern w:val="24"/>
                          <w:sz w:val="21"/>
                          <w:szCs w:val="21"/>
                          <w:lang w:val="en-GB"/>
                        </w:rPr>
                        <w:t>(%)</w:t>
                      </w:r>
                    </w:p>
                  </w:txbxContent>
                </v:textbox>
              </v:shape>
            </w:pict>
          </mc:Fallback>
        </mc:AlternateContent>
      </w:r>
      <w:r w:rsidR="00D300B6" w:rsidRPr="0010661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6C3A0" wp14:editId="632BBB5F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2187575" cy="428625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59B" w:rsidRPr="0010661E" w:rsidRDefault="00193316" w:rsidP="0019331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0661E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</w:rPr>
                              <w:t xml:space="preserve">Neto zaduženost </w:t>
                            </w:r>
                          </w:p>
                          <w:p w:rsidR="00193316" w:rsidRPr="0010661E" w:rsidRDefault="00193316" w:rsidP="0019331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0661E">
                              <w:rPr>
                                <w:rFonts w:ascii="Calibri" w:eastAsia="MS PGothic" w:hAnsi="Calibri" w:cs="MS PGothic"/>
                                <w:b/>
                                <w:bCs/>
                                <w:color w:val="003F87"/>
                                <w:kern w:val="24"/>
                                <w:sz w:val="28"/>
                                <w:szCs w:val="28"/>
                              </w:rPr>
                              <w:t>INA Grupe</w:t>
                            </w:r>
                          </w:p>
                          <w:p w:rsidR="00193316" w:rsidRPr="0010661E" w:rsidRDefault="00193316" w:rsidP="0019331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libri" w:eastAsia="MS PGothic" w:hAnsi="Calibri" w:cs="MS PGothic"/>
                                <w:color w:val="808080"/>
                                <w:kern w:val="24"/>
                                <w:sz w:val="21"/>
                                <w:szCs w:val="21"/>
                              </w:rPr>
                            </w:pPr>
                            <w:r w:rsidRPr="0010661E">
                              <w:rPr>
                                <w:rFonts w:ascii="Calibri" w:eastAsia="MS PGothic" w:hAnsi="Calibri" w:cs="MS PGothic"/>
                                <w:color w:val="808080"/>
                                <w:kern w:val="24"/>
                                <w:sz w:val="21"/>
                                <w:szCs w:val="21"/>
                              </w:rPr>
                              <w:t>(milijuna kuna)</w:t>
                            </w:r>
                          </w:p>
                        </w:txbxContent>
                      </wps:txbx>
                      <wps:bodyPr lIns="89611" tIns="44806" rIns="89611" bIns="44806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0;margin-top:14.65pt;width:172.25pt;height:3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" filled="f" stroked="f">
                <v:textbox style="mso-fit-shape-to-text:t" inset="2.48919mm,1.2446mm,2.48919mm,1.2446mm">
                  <w:txbxContent>
                    <w:p w:rsidR="00BE359B" w:rsidRPr="0010661E" w:rsidRDefault="00193316" w:rsidP="0019331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</w:rPr>
                      </w:pPr>
                      <w:r w:rsidRPr="0010661E"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</w:rPr>
                        <w:t xml:space="preserve">Neto zaduženost </w:t>
                      </w:r>
                    </w:p>
                    <w:p w:rsidR="00193316" w:rsidRPr="0010661E" w:rsidRDefault="00193316" w:rsidP="0019331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</w:rPr>
                      </w:pPr>
                      <w:r w:rsidRPr="0010661E">
                        <w:rPr>
                          <w:rFonts w:ascii="Calibri" w:eastAsia="MS PGothic" w:hAnsi="Calibri" w:cs="MS PGothic"/>
                          <w:b/>
                          <w:bCs/>
                          <w:color w:val="003F87"/>
                          <w:kern w:val="24"/>
                          <w:sz w:val="28"/>
                          <w:szCs w:val="28"/>
                        </w:rPr>
                        <w:t>INA Grupe</w:t>
                      </w:r>
                    </w:p>
                    <w:p w:rsidR="00193316" w:rsidRPr="0010661E" w:rsidRDefault="00193316" w:rsidP="0019331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libri" w:eastAsia="MS PGothic" w:hAnsi="Calibri" w:cs="MS PGothic"/>
                          <w:color w:val="808080"/>
                          <w:kern w:val="24"/>
                          <w:sz w:val="21"/>
                          <w:szCs w:val="21"/>
                        </w:rPr>
                      </w:pPr>
                      <w:r w:rsidRPr="0010661E">
                        <w:rPr>
                          <w:rFonts w:ascii="Calibri" w:eastAsia="MS PGothic" w:hAnsi="Calibri" w:cs="MS PGothic"/>
                          <w:color w:val="808080"/>
                          <w:kern w:val="24"/>
                          <w:sz w:val="21"/>
                          <w:szCs w:val="21"/>
                        </w:rPr>
                        <w:t>(milijuna kuna)</w:t>
                      </w:r>
                    </w:p>
                  </w:txbxContent>
                </v:textbox>
              </v:shape>
            </w:pict>
          </mc:Fallback>
        </mc:AlternateContent>
      </w:r>
    </w:p>
    <w:p w:rsidR="00193316" w:rsidRPr="0010661E" w:rsidRDefault="00193316" w:rsidP="0030681C">
      <w:pPr>
        <w:rPr>
          <w:rFonts w:ascii="Calibri" w:hAnsi="Calibri" w:cs="Calibri"/>
          <w:b/>
        </w:rPr>
      </w:pPr>
    </w:p>
    <w:p w:rsidR="00193316" w:rsidRPr="0010661E" w:rsidRDefault="00193316" w:rsidP="0030681C">
      <w:pPr>
        <w:rPr>
          <w:rFonts w:ascii="Calibri" w:hAnsi="Calibri" w:cs="Calibri"/>
          <w:b/>
        </w:rPr>
      </w:pPr>
    </w:p>
    <w:p w:rsidR="0030681C" w:rsidRPr="0010661E" w:rsidRDefault="0030681C" w:rsidP="0030681C">
      <w:pPr>
        <w:rPr>
          <w:rFonts w:ascii="Calibri" w:hAnsi="Calibri" w:cs="Calibri"/>
        </w:rPr>
      </w:pPr>
    </w:p>
    <w:p w:rsidR="0030681C" w:rsidRPr="0010661E" w:rsidRDefault="0030681C" w:rsidP="0030681C">
      <w:pPr>
        <w:rPr>
          <w:rFonts w:ascii="Calibri" w:hAnsi="Calibri" w:cs="Calibri"/>
        </w:rPr>
      </w:pPr>
    </w:p>
    <w:p w:rsidR="00565133" w:rsidRPr="0010661E" w:rsidRDefault="00565133" w:rsidP="0030681C">
      <w:pPr>
        <w:rPr>
          <w:rFonts w:ascii="Calibri" w:hAnsi="Calibri" w:cs="Calibri"/>
        </w:rPr>
      </w:pPr>
      <w:r w:rsidRPr="0010661E">
        <w:rPr>
          <w:rFonts w:ascii="Calibri" w:hAnsi="Calibri" w:cs="Calibri"/>
        </w:rPr>
        <w:t xml:space="preserve"> </w:t>
      </w:r>
      <w:r w:rsidR="004D6773" w:rsidRPr="0010661E">
        <w:rPr>
          <w:noProof/>
          <w:lang w:eastAsia="hr-HR"/>
        </w:rPr>
        <w:drawing>
          <wp:inline distT="0" distB="0" distL="0" distR="0" wp14:anchorId="1FC01B15" wp14:editId="27DBB9DD">
            <wp:extent cx="2419350" cy="19526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10661E">
        <w:rPr>
          <w:rFonts w:ascii="Calibri" w:hAnsi="Calibri" w:cs="Calibri"/>
        </w:rPr>
        <w:t xml:space="preserve"> </w:t>
      </w:r>
      <w:r w:rsidR="004D6773" w:rsidRPr="0010661E">
        <w:rPr>
          <w:noProof/>
          <w:lang w:eastAsia="hr-HR"/>
        </w:rPr>
        <w:drawing>
          <wp:inline distT="0" distB="0" distL="0" distR="0" wp14:anchorId="337626D5" wp14:editId="56BC8129">
            <wp:extent cx="2524125" cy="1981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65133" w:rsidRPr="0010661E" w:rsidRDefault="00565133" w:rsidP="0030681C">
      <w:pPr>
        <w:rPr>
          <w:rFonts w:ascii="Calibri" w:hAnsi="Calibri" w:cs="Calibri"/>
        </w:rPr>
      </w:pPr>
    </w:p>
    <w:p w:rsidR="00565133" w:rsidRPr="0010661E" w:rsidRDefault="00565133" w:rsidP="0030681C">
      <w:pPr>
        <w:rPr>
          <w:rFonts w:ascii="Calibri" w:hAnsi="Calibri" w:cs="Calibri"/>
        </w:rPr>
      </w:pPr>
    </w:p>
    <w:p w:rsidR="00511D57" w:rsidRPr="0010661E" w:rsidRDefault="00DE1C78" w:rsidP="00C044ED">
      <w:pPr>
        <w:spacing w:line="276" w:lineRule="auto"/>
        <w:jc w:val="both"/>
        <w:rPr>
          <w:rFonts w:ascii="Calibri" w:eastAsia="MS PGothic" w:hAnsi="Calibri" w:cs="MS PGothic"/>
          <w:b/>
          <w:bCs/>
          <w:color w:val="003F87"/>
          <w:kern w:val="24"/>
          <w:sz w:val="28"/>
          <w:szCs w:val="28"/>
          <w:lang w:eastAsia="hr-HR"/>
        </w:rPr>
      </w:pPr>
      <w:r w:rsidRPr="0010661E">
        <w:rPr>
          <w:rFonts w:ascii="Calibri" w:eastAsia="MS PGothic" w:hAnsi="Calibri" w:cs="MS PGothic"/>
          <w:b/>
          <w:bCs/>
          <w:color w:val="003F87"/>
          <w:kern w:val="24"/>
          <w:sz w:val="28"/>
          <w:szCs w:val="28"/>
          <w:lang w:eastAsia="hr-HR"/>
        </w:rPr>
        <w:t>Neto zaduženost 2000. – 2014.</w:t>
      </w:r>
    </w:p>
    <w:p w:rsidR="00DE1C78" w:rsidRPr="0010661E" w:rsidRDefault="00DE1C78" w:rsidP="00DE1C78">
      <w:pPr>
        <w:pStyle w:val="NormalWeb"/>
        <w:spacing w:before="0" w:beforeAutospacing="0" w:after="0" w:afterAutospacing="0"/>
        <w:textAlignment w:val="baseline"/>
        <w:rPr>
          <w:rFonts w:ascii="Calibri" w:eastAsia="MS PGothic" w:hAnsi="Calibri" w:cs="MS PGothic"/>
          <w:color w:val="808080"/>
          <w:kern w:val="24"/>
          <w:sz w:val="21"/>
          <w:szCs w:val="21"/>
        </w:rPr>
      </w:pPr>
      <w:r w:rsidRPr="0010661E">
        <w:rPr>
          <w:rFonts w:ascii="Calibri" w:eastAsia="MS PGothic" w:hAnsi="Calibri" w:cs="MS PGothic"/>
          <w:color w:val="808080"/>
          <w:kern w:val="24"/>
          <w:sz w:val="21"/>
          <w:szCs w:val="21"/>
        </w:rPr>
        <w:t>(milijuna kuna)</w:t>
      </w:r>
    </w:p>
    <w:p w:rsidR="00DE1C78" w:rsidRPr="0010661E" w:rsidRDefault="009A393E" w:rsidP="00C044ED">
      <w:pPr>
        <w:spacing w:line="276" w:lineRule="auto"/>
        <w:jc w:val="both"/>
        <w:rPr>
          <w:rFonts w:ascii="Calibri" w:hAnsi="Calibri" w:cs="Calibri"/>
          <w:bCs/>
        </w:rPr>
      </w:pPr>
      <w:r w:rsidRPr="00C82CE8">
        <w:rPr>
          <w:rFonts w:ascii="Calibri" w:hAnsi="Calibri" w:cs="Calibri"/>
          <w:bCs/>
          <w:noProof/>
          <w:lang w:eastAsia="hr-HR"/>
        </w:rPr>
        <w:drawing>
          <wp:inline distT="0" distB="0" distL="0" distR="0" wp14:anchorId="5519477D" wp14:editId="45D86365">
            <wp:extent cx="3396343" cy="3075709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DE1C78" w:rsidRPr="0010661E" w:rsidSect="006D3CE1">
      <w:headerReference w:type="default" r:id="rId1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9E" w:rsidRDefault="0035389E" w:rsidP="0030681C">
      <w:r>
        <w:separator/>
      </w:r>
    </w:p>
  </w:endnote>
  <w:endnote w:type="continuationSeparator" w:id="0">
    <w:p w:rsidR="0035389E" w:rsidRDefault="0035389E" w:rsidP="0030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1C" w:rsidRDefault="0030681C">
    <w:pPr>
      <w:pStyle w:val="Footer"/>
      <w:jc w:val="right"/>
      <w:rPr>
        <w:rFonts w:ascii="Arial" w:hAnsi="Arial" w:cs="Arial"/>
        <w:sz w:val="20"/>
      </w:rPr>
    </w:pPr>
  </w:p>
  <w:p w:rsidR="0030681C" w:rsidRPr="005B4643" w:rsidRDefault="0030681C">
    <w:pPr>
      <w:pStyle w:val="Footer"/>
      <w:jc w:val="right"/>
      <w:rPr>
        <w:rFonts w:ascii="Arial" w:hAnsi="Arial" w:cs="Arial"/>
        <w:sz w:val="20"/>
      </w:rPr>
    </w:pPr>
    <w:r w:rsidRPr="005B4643">
      <w:rPr>
        <w:rFonts w:ascii="Arial" w:hAnsi="Arial" w:cs="Arial"/>
        <w:sz w:val="20"/>
      </w:rPr>
      <w:fldChar w:fldCharType="begin"/>
    </w:r>
    <w:r w:rsidRPr="005B4643">
      <w:rPr>
        <w:rFonts w:ascii="Arial" w:hAnsi="Arial" w:cs="Arial"/>
        <w:sz w:val="20"/>
      </w:rPr>
      <w:instrText xml:space="preserve"> PAGE   \* MERGEFORMAT </w:instrText>
    </w:r>
    <w:r w:rsidRPr="005B4643">
      <w:rPr>
        <w:rFonts w:ascii="Arial" w:hAnsi="Arial" w:cs="Arial"/>
        <w:sz w:val="20"/>
      </w:rPr>
      <w:fldChar w:fldCharType="separate"/>
    </w:r>
    <w:r w:rsidR="00982992">
      <w:rPr>
        <w:rFonts w:ascii="Arial" w:hAnsi="Arial" w:cs="Arial"/>
        <w:noProof/>
        <w:sz w:val="20"/>
      </w:rPr>
      <w:t>8</w:t>
    </w:r>
    <w:r w:rsidRPr="005B4643">
      <w:rPr>
        <w:rFonts w:ascii="Arial" w:hAnsi="Arial" w:cs="Arial"/>
        <w:noProof/>
        <w:sz w:val="20"/>
      </w:rPr>
      <w:fldChar w:fldCharType="end"/>
    </w:r>
  </w:p>
  <w:p w:rsidR="0030681C" w:rsidRDefault="0030681C">
    <w:pPr>
      <w:pStyle w:val="Footer"/>
    </w:pPr>
  </w:p>
  <w:p w:rsidR="0030681C" w:rsidRDefault="003068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9E" w:rsidRDefault="0035389E" w:rsidP="0030681C">
      <w:r>
        <w:separator/>
      </w:r>
    </w:p>
  </w:footnote>
  <w:footnote w:type="continuationSeparator" w:id="0">
    <w:p w:rsidR="0035389E" w:rsidRDefault="0035389E" w:rsidP="0030681C">
      <w:r>
        <w:continuationSeparator/>
      </w:r>
    </w:p>
  </w:footnote>
  <w:footnote w:id="1">
    <w:p w:rsidR="009233D4" w:rsidRPr="009233D4" w:rsidRDefault="00FF335F">
      <w:pPr>
        <w:pStyle w:val="FootnoteText"/>
        <w:rPr>
          <w:rFonts w:ascii="Arial Narrow" w:hAnsi="Arial Narrow" w:cs="Arial"/>
          <w:i/>
          <w:sz w:val="14"/>
          <w:szCs w:val="14"/>
          <w:u w:color="FFFFFF"/>
          <w:lang w:val="en-GB"/>
        </w:rPr>
      </w:pPr>
      <w:r w:rsidRPr="009233D4">
        <w:rPr>
          <w:rFonts w:ascii="Arial Narrow" w:hAnsi="Arial Narrow" w:cs="Arial"/>
          <w:i/>
          <w:sz w:val="14"/>
          <w:szCs w:val="14"/>
          <w:u w:color="FFFFFF"/>
          <w:lang w:val="en-GB"/>
        </w:rPr>
        <w:footnoteRef/>
      </w:r>
      <w:r w:rsidRPr="009233D4">
        <w:rPr>
          <w:rFonts w:ascii="Arial Narrow" w:hAnsi="Arial Narrow" w:cs="Arial"/>
          <w:i/>
          <w:sz w:val="14"/>
          <w:szCs w:val="14"/>
          <w:u w:color="FFFFFF"/>
          <w:lang w:val="en-GB"/>
        </w:rPr>
        <w:t xml:space="preserve"> Jednokratne stavke odnose se pretežno na umanjenje vrijednosti imovine u Siriji, umanjenje vrijednosti u segmentu Rafinerije i marketing i retroaktivni porez za rafinerij</w:t>
      </w:r>
      <w:r w:rsidR="009233D4" w:rsidRPr="009233D4">
        <w:rPr>
          <w:rFonts w:ascii="Arial Narrow" w:hAnsi="Arial Narrow" w:cs="Arial"/>
          <w:i/>
          <w:sz w:val="14"/>
          <w:szCs w:val="14"/>
          <w:u w:color="FFFFFF"/>
          <w:lang w:val="en-GB"/>
        </w:rPr>
        <w:t>e</w:t>
      </w:r>
      <w:r w:rsidRPr="009233D4">
        <w:rPr>
          <w:rFonts w:ascii="Arial Narrow" w:hAnsi="Arial Narrow" w:cs="Arial"/>
          <w:i/>
          <w:sz w:val="14"/>
          <w:szCs w:val="14"/>
          <w:u w:color="FFFFFF"/>
          <w:lang w:val="en-GB"/>
        </w:rPr>
        <w:t xml:space="preserve"> </w:t>
      </w:r>
    </w:p>
    <w:p w:rsidR="00FF335F" w:rsidRPr="009233D4" w:rsidRDefault="00FF335F">
      <w:pPr>
        <w:pStyle w:val="FootnoteText"/>
        <w:rPr>
          <w:rFonts w:ascii="Arial Narrow" w:hAnsi="Arial Narrow" w:cs="Arial"/>
          <w:i/>
          <w:sz w:val="14"/>
          <w:szCs w:val="14"/>
          <w:u w:color="FFFFFF"/>
          <w:lang w:val="en-GB"/>
        </w:rPr>
      </w:pPr>
    </w:p>
  </w:footnote>
  <w:footnote w:id="2">
    <w:p w:rsidR="009233D4" w:rsidRPr="00B921AA" w:rsidRDefault="009233D4" w:rsidP="009233D4">
      <w:pPr>
        <w:pStyle w:val="FootnoteText"/>
        <w:rPr>
          <w:rFonts w:ascii="Arial Narrow" w:hAnsi="Arial Narrow" w:cs="Arial"/>
          <w:i/>
          <w:sz w:val="14"/>
          <w:szCs w:val="14"/>
          <w:u w:color="FFFFFF"/>
          <w:lang w:val="es-ES"/>
        </w:rPr>
      </w:pPr>
      <w:r w:rsidRPr="009233D4">
        <w:rPr>
          <w:rFonts w:ascii="Arial Narrow" w:hAnsi="Arial Narrow" w:cs="Arial"/>
          <w:i/>
          <w:sz w:val="14"/>
          <w:szCs w:val="14"/>
          <w:u w:color="FFFFFF"/>
          <w:lang w:val="en-GB"/>
        </w:rPr>
        <w:footnoteRef/>
      </w:r>
      <w:r w:rsidRPr="00B921AA">
        <w:rPr>
          <w:rFonts w:ascii="Arial Narrow" w:hAnsi="Arial Narrow" w:cs="Arial"/>
          <w:i/>
          <w:sz w:val="14"/>
          <w:szCs w:val="14"/>
          <w:u w:color="FFFFFF"/>
          <w:lang w:val="es-ES"/>
        </w:rPr>
        <w:t xml:space="preserve"> EBITDA= EBIT + amortizacija + ispravak vrijednosti + rezerviranja</w:t>
      </w:r>
    </w:p>
    <w:p w:rsidR="009233D4" w:rsidRDefault="009233D4">
      <w:pPr>
        <w:pStyle w:val="FootnoteText"/>
      </w:pPr>
    </w:p>
  </w:footnote>
  <w:footnote w:id="3">
    <w:p w:rsidR="001917BC" w:rsidRDefault="001917BC" w:rsidP="00AF21E4">
      <w:r>
        <w:rPr>
          <w:rStyle w:val="FootnoteReference"/>
        </w:rPr>
        <w:footnoteRef/>
      </w:r>
      <w:r>
        <w:t xml:space="preserve"> </w:t>
      </w:r>
      <w:r w:rsidR="00AF21E4" w:rsidRPr="0095206B">
        <w:rPr>
          <w:rFonts w:asciiTheme="minorHAnsi" w:hAnsiTheme="minorHAnsi" w:cstheme="minorHAnsi"/>
          <w:i/>
          <w:sz w:val="18"/>
          <w:szCs w:val="18"/>
          <w:u w:color="FFFFFF"/>
        </w:rPr>
        <w:t>CCS (</w:t>
      </w:r>
      <w:proofErr w:type="spellStart"/>
      <w:r w:rsidR="00AF21E4" w:rsidRPr="0095206B">
        <w:rPr>
          <w:rFonts w:asciiTheme="minorHAnsi" w:hAnsiTheme="minorHAnsi" w:cstheme="minorHAnsi"/>
          <w:i/>
          <w:sz w:val="18"/>
          <w:szCs w:val="18"/>
          <w:u w:color="FFFFFF"/>
        </w:rPr>
        <w:t>current</w:t>
      </w:r>
      <w:proofErr w:type="spellEnd"/>
      <w:r w:rsidR="00AF21E4" w:rsidRPr="0095206B">
        <w:rPr>
          <w:rFonts w:asciiTheme="minorHAnsi" w:hAnsiTheme="minorHAnsi" w:cstheme="minorHAnsi"/>
          <w:i/>
          <w:sz w:val="18"/>
          <w:szCs w:val="18"/>
          <w:u w:color="FFFFFF"/>
        </w:rPr>
        <w:t xml:space="preserve"> </w:t>
      </w:r>
      <w:proofErr w:type="spellStart"/>
      <w:r w:rsidR="00AF21E4" w:rsidRPr="0095206B">
        <w:rPr>
          <w:rFonts w:asciiTheme="minorHAnsi" w:hAnsiTheme="minorHAnsi" w:cstheme="minorHAnsi"/>
          <w:i/>
          <w:sz w:val="18"/>
          <w:szCs w:val="18"/>
          <w:u w:color="FFFFFF"/>
        </w:rPr>
        <w:t>cost</w:t>
      </w:r>
      <w:proofErr w:type="spellEnd"/>
      <w:r w:rsidR="00AF21E4" w:rsidRPr="0095206B">
        <w:rPr>
          <w:rFonts w:asciiTheme="minorHAnsi" w:hAnsiTheme="minorHAnsi" w:cstheme="minorHAnsi"/>
          <w:i/>
          <w:sz w:val="18"/>
          <w:szCs w:val="18"/>
          <w:u w:color="FFFFFF"/>
        </w:rPr>
        <w:t xml:space="preserve"> </w:t>
      </w:r>
      <w:proofErr w:type="spellStart"/>
      <w:r w:rsidR="00AF21E4" w:rsidRPr="0095206B">
        <w:rPr>
          <w:rFonts w:asciiTheme="minorHAnsi" w:hAnsiTheme="minorHAnsi" w:cstheme="minorHAnsi"/>
          <w:i/>
          <w:sz w:val="18"/>
          <w:szCs w:val="18"/>
          <w:u w:color="FFFFFF"/>
        </w:rPr>
        <w:t>of</w:t>
      </w:r>
      <w:proofErr w:type="spellEnd"/>
      <w:r w:rsidR="00AF21E4" w:rsidRPr="0095206B">
        <w:rPr>
          <w:rFonts w:asciiTheme="minorHAnsi" w:hAnsiTheme="minorHAnsi" w:cstheme="minorHAnsi"/>
          <w:i/>
          <w:sz w:val="18"/>
          <w:szCs w:val="18"/>
          <w:u w:color="FFFFFF"/>
        </w:rPr>
        <w:t xml:space="preserve"> </w:t>
      </w:r>
      <w:proofErr w:type="spellStart"/>
      <w:r w:rsidR="00AF21E4" w:rsidRPr="0095206B">
        <w:rPr>
          <w:rFonts w:asciiTheme="minorHAnsi" w:hAnsiTheme="minorHAnsi" w:cstheme="minorHAnsi"/>
          <w:i/>
          <w:sz w:val="18"/>
          <w:szCs w:val="18"/>
          <w:u w:color="FFFFFF"/>
        </w:rPr>
        <w:t>supplies</w:t>
      </w:r>
      <w:proofErr w:type="spellEnd"/>
      <w:r w:rsidR="00AF21E4" w:rsidRPr="0095206B">
        <w:rPr>
          <w:rFonts w:asciiTheme="minorHAnsi" w:hAnsiTheme="minorHAnsi" w:cstheme="minorHAnsi"/>
          <w:i/>
          <w:sz w:val="18"/>
          <w:szCs w:val="18"/>
          <w:u w:color="FFFFFF"/>
        </w:rPr>
        <w:t>) je rezultat prilagođen za promjene u cijeni ulaznih sirovina na način da se ti troškovi obračunavaju po jedinstvenoj cijeni na kraju izvještajnog razdoblja (bez obzira na promjene cijene tijekom razdoblja).</w:t>
      </w:r>
    </w:p>
  </w:footnote>
  <w:footnote w:id="4">
    <w:p w:rsidR="00B8686A" w:rsidRPr="00AF21E4" w:rsidRDefault="00B8686A" w:rsidP="00AF21E4">
      <w:pPr>
        <w:rPr>
          <w:rFonts w:cstheme="minorHAnsi"/>
          <w:i/>
          <w:sz w:val="18"/>
          <w:szCs w:val="18"/>
          <w:u w:color="FFFFFF"/>
        </w:rPr>
      </w:pPr>
      <w:r>
        <w:rPr>
          <w:rStyle w:val="FootnoteReference"/>
        </w:rPr>
        <w:footnoteRef/>
      </w:r>
      <w:r>
        <w:t xml:space="preserve"> </w:t>
      </w:r>
      <w:r w:rsidR="00AF21E4" w:rsidRPr="00AF21E4">
        <w:rPr>
          <w:rFonts w:asciiTheme="minorHAnsi" w:hAnsiTheme="minorHAnsi" w:cstheme="minorHAnsi"/>
          <w:i/>
          <w:sz w:val="18"/>
          <w:szCs w:val="18"/>
          <w:u w:color="FFFFFF"/>
        </w:rPr>
        <w:t>O</w:t>
      </w:r>
      <w:r w:rsidR="00AF21E4" w:rsidRPr="00210D76">
        <w:rPr>
          <w:rFonts w:asciiTheme="minorHAnsi" w:hAnsiTheme="minorHAnsi" w:cstheme="minorHAnsi"/>
          <w:i/>
          <w:sz w:val="18"/>
          <w:szCs w:val="18"/>
          <w:u w:color="FFFFFF"/>
        </w:rPr>
        <w:t xml:space="preserve">mjer duga i kapitala - udio duga (bankarskih kredita i </w:t>
      </w:r>
      <w:proofErr w:type="spellStart"/>
      <w:r w:rsidR="00AF21E4" w:rsidRPr="00210D76">
        <w:rPr>
          <w:rFonts w:asciiTheme="minorHAnsi" w:hAnsiTheme="minorHAnsi" w:cstheme="minorHAnsi"/>
          <w:i/>
          <w:sz w:val="18"/>
          <w:szCs w:val="18"/>
          <w:u w:color="FFFFFF"/>
        </w:rPr>
        <w:t>sl</w:t>
      </w:r>
      <w:proofErr w:type="spellEnd"/>
      <w:r w:rsidR="00AF21E4" w:rsidRPr="00210D76">
        <w:rPr>
          <w:rFonts w:asciiTheme="minorHAnsi" w:hAnsiTheme="minorHAnsi" w:cstheme="minorHAnsi"/>
          <w:i/>
          <w:sz w:val="18"/>
          <w:szCs w:val="18"/>
          <w:u w:color="FFFFFF"/>
        </w:rPr>
        <w:t>.)  u kapitalu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1C" w:rsidRDefault="0030681C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64C875CA" wp14:editId="795BAD7B">
          <wp:simplePos x="0" y="0"/>
          <wp:positionH relativeFrom="column">
            <wp:posOffset>304800</wp:posOffset>
          </wp:positionH>
          <wp:positionV relativeFrom="paragraph">
            <wp:posOffset>304800</wp:posOffset>
          </wp:positionV>
          <wp:extent cx="1213485" cy="451485"/>
          <wp:effectExtent l="0" t="0" r="5715" b="5715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681C" w:rsidRDefault="0030681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E" w:rsidRDefault="0030681C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3CCACC66" wp14:editId="4B103A23">
          <wp:simplePos x="0" y="0"/>
          <wp:positionH relativeFrom="column">
            <wp:posOffset>153035</wp:posOffset>
          </wp:positionH>
          <wp:positionV relativeFrom="paragraph">
            <wp:posOffset>243205</wp:posOffset>
          </wp:positionV>
          <wp:extent cx="1213485" cy="451485"/>
          <wp:effectExtent l="0" t="0" r="5715" b="5715"/>
          <wp:wrapNone/>
          <wp:docPr id="7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FC9"/>
    <w:multiLevelType w:val="hybridMultilevel"/>
    <w:tmpl w:val="7A70AAC8"/>
    <w:lvl w:ilvl="0" w:tplc="53206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5D3C"/>
    <w:multiLevelType w:val="hybridMultilevel"/>
    <w:tmpl w:val="221A97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83201"/>
    <w:multiLevelType w:val="hybridMultilevel"/>
    <w:tmpl w:val="1F2A028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345C0"/>
    <w:multiLevelType w:val="hybridMultilevel"/>
    <w:tmpl w:val="45E0256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71E36"/>
    <w:multiLevelType w:val="hybridMultilevel"/>
    <w:tmpl w:val="68A01E0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810B9"/>
    <w:multiLevelType w:val="hybridMultilevel"/>
    <w:tmpl w:val="4134E67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947F8"/>
    <w:multiLevelType w:val="hybridMultilevel"/>
    <w:tmpl w:val="6B8A0B3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B08BA"/>
    <w:multiLevelType w:val="hybridMultilevel"/>
    <w:tmpl w:val="F210DDB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621D0"/>
    <w:multiLevelType w:val="hybridMultilevel"/>
    <w:tmpl w:val="37DEA036"/>
    <w:lvl w:ilvl="0" w:tplc="903A7C0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00008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51409E"/>
    <w:multiLevelType w:val="hybridMultilevel"/>
    <w:tmpl w:val="5F50D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604E6"/>
    <w:multiLevelType w:val="hybridMultilevel"/>
    <w:tmpl w:val="013E16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45821"/>
    <w:multiLevelType w:val="hybridMultilevel"/>
    <w:tmpl w:val="975C38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12DC9"/>
    <w:multiLevelType w:val="hybridMultilevel"/>
    <w:tmpl w:val="38F0BB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476E7"/>
    <w:multiLevelType w:val="hybridMultilevel"/>
    <w:tmpl w:val="ABFA2D4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B3F9F"/>
    <w:multiLevelType w:val="hybridMultilevel"/>
    <w:tmpl w:val="6094A4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B6CA8"/>
    <w:multiLevelType w:val="hybridMultilevel"/>
    <w:tmpl w:val="E1AE70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B70A6"/>
    <w:multiLevelType w:val="hybridMultilevel"/>
    <w:tmpl w:val="DA0A55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D1187"/>
    <w:multiLevelType w:val="hybridMultilevel"/>
    <w:tmpl w:val="426EDD4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964E7"/>
    <w:multiLevelType w:val="hybridMultilevel"/>
    <w:tmpl w:val="4678D6CA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521846"/>
    <w:multiLevelType w:val="hybridMultilevel"/>
    <w:tmpl w:val="7250CB7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9"/>
  </w:num>
  <w:num w:numId="4">
    <w:abstractNumId w:val="7"/>
  </w:num>
  <w:num w:numId="5">
    <w:abstractNumId w:val="2"/>
  </w:num>
  <w:num w:numId="6">
    <w:abstractNumId w:val="13"/>
  </w:num>
  <w:num w:numId="7">
    <w:abstractNumId w:val="12"/>
  </w:num>
  <w:num w:numId="8">
    <w:abstractNumId w:val="9"/>
  </w:num>
  <w:num w:numId="9">
    <w:abstractNumId w:val="10"/>
  </w:num>
  <w:num w:numId="10">
    <w:abstractNumId w:val="15"/>
  </w:num>
  <w:num w:numId="11">
    <w:abstractNumId w:val="14"/>
  </w:num>
  <w:num w:numId="12">
    <w:abstractNumId w:val="0"/>
  </w:num>
  <w:num w:numId="13">
    <w:abstractNumId w:val="1"/>
  </w:num>
  <w:num w:numId="14">
    <w:abstractNumId w:val="18"/>
  </w:num>
  <w:num w:numId="15">
    <w:abstractNumId w:val="4"/>
  </w:num>
  <w:num w:numId="16">
    <w:abstractNumId w:val="5"/>
  </w:num>
  <w:num w:numId="17">
    <w:abstractNumId w:val="16"/>
  </w:num>
  <w:num w:numId="18">
    <w:abstractNumId w:val="8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1C"/>
    <w:rsid w:val="000005F7"/>
    <w:rsid w:val="00002C21"/>
    <w:rsid w:val="00017CBB"/>
    <w:rsid w:val="0002126C"/>
    <w:rsid w:val="00023BB7"/>
    <w:rsid w:val="00025986"/>
    <w:rsid w:val="00027693"/>
    <w:rsid w:val="000310BF"/>
    <w:rsid w:val="00033507"/>
    <w:rsid w:val="00044D71"/>
    <w:rsid w:val="0005403E"/>
    <w:rsid w:val="000606F8"/>
    <w:rsid w:val="00070366"/>
    <w:rsid w:val="0007257D"/>
    <w:rsid w:val="00072B5B"/>
    <w:rsid w:val="00080339"/>
    <w:rsid w:val="000826FE"/>
    <w:rsid w:val="00090029"/>
    <w:rsid w:val="00090B1C"/>
    <w:rsid w:val="00091811"/>
    <w:rsid w:val="00092E43"/>
    <w:rsid w:val="00096BC1"/>
    <w:rsid w:val="000A388F"/>
    <w:rsid w:val="000A56D3"/>
    <w:rsid w:val="000A5B0B"/>
    <w:rsid w:val="000B327E"/>
    <w:rsid w:val="000B6218"/>
    <w:rsid w:val="000B77F4"/>
    <w:rsid w:val="000C0F1F"/>
    <w:rsid w:val="000E2A33"/>
    <w:rsid w:val="000E44A2"/>
    <w:rsid w:val="000F3667"/>
    <w:rsid w:val="00100EF1"/>
    <w:rsid w:val="001033F8"/>
    <w:rsid w:val="0010661E"/>
    <w:rsid w:val="001240B6"/>
    <w:rsid w:val="0012659A"/>
    <w:rsid w:val="00136D92"/>
    <w:rsid w:val="00137583"/>
    <w:rsid w:val="001474D8"/>
    <w:rsid w:val="0016058C"/>
    <w:rsid w:val="00164B7A"/>
    <w:rsid w:val="001779A2"/>
    <w:rsid w:val="00182070"/>
    <w:rsid w:val="00182C7E"/>
    <w:rsid w:val="00191574"/>
    <w:rsid w:val="001917BC"/>
    <w:rsid w:val="00193316"/>
    <w:rsid w:val="001973DF"/>
    <w:rsid w:val="001977F0"/>
    <w:rsid w:val="001C061D"/>
    <w:rsid w:val="001C7D35"/>
    <w:rsid w:val="001E02F5"/>
    <w:rsid w:val="001E062E"/>
    <w:rsid w:val="001E397E"/>
    <w:rsid w:val="001E7160"/>
    <w:rsid w:val="001F09CC"/>
    <w:rsid w:val="001F7DAE"/>
    <w:rsid w:val="00204796"/>
    <w:rsid w:val="002123F3"/>
    <w:rsid w:val="00213DDE"/>
    <w:rsid w:val="00224E24"/>
    <w:rsid w:val="00224F74"/>
    <w:rsid w:val="00227732"/>
    <w:rsid w:val="00230478"/>
    <w:rsid w:val="00232C26"/>
    <w:rsid w:val="002345AF"/>
    <w:rsid w:val="002379B9"/>
    <w:rsid w:val="002448DC"/>
    <w:rsid w:val="002470B8"/>
    <w:rsid w:val="0025217F"/>
    <w:rsid w:val="002557E3"/>
    <w:rsid w:val="00267AB7"/>
    <w:rsid w:val="002717C5"/>
    <w:rsid w:val="002729AA"/>
    <w:rsid w:val="00281FCA"/>
    <w:rsid w:val="00291667"/>
    <w:rsid w:val="002A319D"/>
    <w:rsid w:val="002A6F52"/>
    <w:rsid w:val="002B5C3E"/>
    <w:rsid w:val="002C08BB"/>
    <w:rsid w:val="002C452B"/>
    <w:rsid w:val="002C461D"/>
    <w:rsid w:val="002C6096"/>
    <w:rsid w:val="002E5DFD"/>
    <w:rsid w:val="0030681C"/>
    <w:rsid w:val="00311570"/>
    <w:rsid w:val="00322672"/>
    <w:rsid w:val="00324B77"/>
    <w:rsid w:val="00327037"/>
    <w:rsid w:val="0033386D"/>
    <w:rsid w:val="00334F88"/>
    <w:rsid w:val="003350B8"/>
    <w:rsid w:val="00343044"/>
    <w:rsid w:val="00345092"/>
    <w:rsid w:val="003450C6"/>
    <w:rsid w:val="00351C52"/>
    <w:rsid w:val="0035389E"/>
    <w:rsid w:val="003578D0"/>
    <w:rsid w:val="003701C8"/>
    <w:rsid w:val="00382A4D"/>
    <w:rsid w:val="00383A95"/>
    <w:rsid w:val="00383CEC"/>
    <w:rsid w:val="00384B8F"/>
    <w:rsid w:val="00395763"/>
    <w:rsid w:val="00396E6F"/>
    <w:rsid w:val="003A0563"/>
    <w:rsid w:val="003B2B54"/>
    <w:rsid w:val="003C5E90"/>
    <w:rsid w:val="003D34FD"/>
    <w:rsid w:val="003E349F"/>
    <w:rsid w:val="003F1102"/>
    <w:rsid w:val="003F4CE4"/>
    <w:rsid w:val="003F7042"/>
    <w:rsid w:val="004028D9"/>
    <w:rsid w:val="00402E92"/>
    <w:rsid w:val="004151DF"/>
    <w:rsid w:val="0041535F"/>
    <w:rsid w:val="00420474"/>
    <w:rsid w:val="00421C92"/>
    <w:rsid w:val="00433E04"/>
    <w:rsid w:val="00436E31"/>
    <w:rsid w:val="004449F1"/>
    <w:rsid w:val="00450D54"/>
    <w:rsid w:val="00454D5E"/>
    <w:rsid w:val="00457C45"/>
    <w:rsid w:val="00460D04"/>
    <w:rsid w:val="00471C00"/>
    <w:rsid w:val="00474E12"/>
    <w:rsid w:val="004844F7"/>
    <w:rsid w:val="004A07CA"/>
    <w:rsid w:val="004A31FD"/>
    <w:rsid w:val="004A5EAF"/>
    <w:rsid w:val="004A79BF"/>
    <w:rsid w:val="004A7D3F"/>
    <w:rsid w:val="004B0742"/>
    <w:rsid w:val="004B26C3"/>
    <w:rsid w:val="004B43E5"/>
    <w:rsid w:val="004B4AD1"/>
    <w:rsid w:val="004B5B97"/>
    <w:rsid w:val="004B6427"/>
    <w:rsid w:val="004C2F1D"/>
    <w:rsid w:val="004C3A11"/>
    <w:rsid w:val="004D6773"/>
    <w:rsid w:val="004D7732"/>
    <w:rsid w:val="004D7DA5"/>
    <w:rsid w:val="004E24DD"/>
    <w:rsid w:val="004E29DD"/>
    <w:rsid w:val="004E5749"/>
    <w:rsid w:val="004F779A"/>
    <w:rsid w:val="00504B81"/>
    <w:rsid w:val="00511D57"/>
    <w:rsid w:val="00531819"/>
    <w:rsid w:val="00533201"/>
    <w:rsid w:val="00540EF7"/>
    <w:rsid w:val="0054371D"/>
    <w:rsid w:val="00544DF7"/>
    <w:rsid w:val="0054573D"/>
    <w:rsid w:val="005479CB"/>
    <w:rsid w:val="00551FCF"/>
    <w:rsid w:val="00560847"/>
    <w:rsid w:val="00565133"/>
    <w:rsid w:val="00585C64"/>
    <w:rsid w:val="0058791F"/>
    <w:rsid w:val="00590C45"/>
    <w:rsid w:val="00594573"/>
    <w:rsid w:val="005953D7"/>
    <w:rsid w:val="005B5F83"/>
    <w:rsid w:val="005F172C"/>
    <w:rsid w:val="005F4F57"/>
    <w:rsid w:val="006133E1"/>
    <w:rsid w:val="00614776"/>
    <w:rsid w:val="00614EC8"/>
    <w:rsid w:val="00616C91"/>
    <w:rsid w:val="00617384"/>
    <w:rsid w:val="00617C1A"/>
    <w:rsid w:val="00622A65"/>
    <w:rsid w:val="00631000"/>
    <w:rsid w:val="0064025B"/>
    <w:rsid w:val="00650216"/>
    <w:rsid w:val="00656555"/>
    <w:rsid w:val="00673439"/>
    <w:rsid w:val="00680EB9"/>
    <w:rsid w:val="006858E6"/>
    <w:rsid w:val="00697E9F"/>
    <w:rsid w:val="006C5480"/>
    <w:rsid w:val="006D16D7"/>
    <w:rsid w:val="006E2ABC"/>
    <w:rsid w:val="006E770E"/>
    <w:rsid w:val="006F0B46"/>
    <w:rsid w:val="006F110E"/>
    <w:rsid w:val="006F3365"/>
    <w:rsid w:val="007067CF"/>
    <w:rsid w:val="0071188A"/>
    <w:rsid w:val="0073193E"/>
    <w:rsid w:val="00731A1E"/>
    <w:rsid w:val="007367F7"/>
    <w:rsid w:val="00740D64"/>
    <w:rsid w:val="00760D1E"/>
    <w:rsid w:val="00764D28"/>
    <w:rsid w:val="00773489"/>
    <w:rsid w:val="007750CA"/>
    <w:rsid w:val="00776446"/>
    <w:rsid w:val="00791707"/>
    <w:rsid w:val="007A4BAD"/>
    <w:rsid w:val="007B4FB0"/>
    <w:rsid w:val="007C4854"/>
    <w:rsid w:val="007D0037"/>
    <w:rsid w:val="007D12A0"/>
    <w:rsid w:val="007D2FBA"/>
    <w:rsid w:val="007E2D1F"/>
    <w:rsid w:val="007E7BAA"/>
    <w:rsid w:val="007F0613"/>
    <w:rsid w:val="007F1167"/>
    <w:rsid w:val="00804CDB"/>
    <w:rsid w:val="008055F8"/>
    <w:rsid w:val="0081357B"/>
    <w:rsid w:val="00813CA6"/>
    <w:rsid w:val="00822968"/>
    <w:rsid w:val="00827BEC"/>
    <w:rsid w:val="00832B51"/>
    <w:rsid w:val="00833335"/>
    <w:rsid w:val="00833465"/>
    <w:rsid w:val="008407F2"/>
    <w:rsid w:val="0084251F"/>
    <w:rsid w:val="00844EBF"/>
    <w:rsid w:val="008568EA"/>
    <w:rsid w:val="0086015C"/>
    <w:rsid w:val="008608AF"/>
    <w:rsid w:val="00860E00"/>
    <w:rsid w:val="008641B8"/>
    <w:rsid w:val="008661C2"/>
    <w:rsid w:val="00886A2D"/>
    <w:rsid w:val="00891744"/>
    <w:rsid w:val="0089370A"/>
    <w:rsid w:val="008A17B9"/>
    <w:rsid w:val="008A4C0A"/>
    <w:rsid w:val="008C67C4"/>
    <w:rsid w:val="008D0D9A"/>
    <w:rsid w:val="008D2850"/>
    <w:rsid w:val="008D3142"/>
    <w:rsid w:val="008E2415"/>
    <w:rsid w:val="008F3D8C"/>
    <w:rsid w:val="008F467D"/>
    <w:rsid w:val="00900C9A"/>
    <w:rsid w:val="00901B84"/>
    <w:rsid w:val="009024EF"/>
    <w:rsid w:val="009040F6"/>
    <w:rsid w:val="009233D4"/>
    <w:rsid w:val="00924F69"/>
    <w:rsid w:val="009269DF"/>
    <w:rsid w:val="00936627"/>
    <w:rsid w:val="009406B1"/>
    <w:rsid w:val="0094132F"/>
    <w:rsid w:val="0094231C"/>
    <w:rsid w:val="0094360A"/>
    <w:rsid w:val="00943A9B"/>
    <w:rsid w:val="0095206B"/>
    <w:rsid w:val="0096259C"/>
    <w:rsid w:val="00965E50"/>
    <w:rsid w:val="00966770"/>
    <w:rsid w:val="00973EB8"/>
    <w:rsid w:val="0097529A"/>
    <w:rsid w:val="00982992"/>
    <w:rsid w:val="00990F32"/>
    <w:rsid w:val="00997271"/>
    <w:rsid w:val="009A393E"/>
    <w:rsid w:val="009C6DAD"/>
    <w:rsid w:val="009D1030"/>
    <w:rsid w:val="009E0B0E"/>
    <w:rsid w:val="00A01034"/>
    <w:rsid w:val="00A03FCD"/>
    <w:rsid w:val="00A044C5"/>
    <w:rsid w:val="00A06293"/>
    <w:rsid w:val="00A142D8"/>
    <w:rsid w:val="00A16F78"/>
    <w:rsid w:val="00A30305"/>
    <w:rsid w:val="00A333D4"/>
    <w:rsid w:val="00A34108"/>
    <w:rsid w:val="00A41941"/>
    <w:rsid w:val="00A42C59"/>
    <w:rsid w:val="00A43BEC"/>
    <w:rsid w:val="00A644D7"/>
    <w:rsid w:val="00A65E07"/>
    <w:rsid w:val="00A804C8"/>
    <w:rsid w:val="00A8461F"/>
    <w:rsid w:val="00A87988"/>
    <w:rsid w:val="00AA5DA0"/>
    <w:rsid w:val="00AA6B9A"/>
    <w:rsid w:val="00AB502B"/>
    <w:rsid w:val="00AD0C4D"/>
    <w:rsid w:val="00AD26AE"/>
    <w:rsid w:val="00AD5678"/>
    <w:rsid w:val="00AE205D"/>
    <w:rsid w:val="00AF137E"/>
    <w:rsid w:val="00AF21E4"/>
    <w:rsid w:val="00B12B05"/>
    <w:rsid w:val="00B2559B"/>
    <w:rsid w:val="00B26511"/>
    <w:rsid w:val="00B37695"/>
    <w:rsid w:val="00B56571"/>
    <w:rsid w:val="00B5745E"/>
    <w:rsid w:val="00B57A7C"/>
    <w:rsid w:val="00B63D21"/>
    <w:rsid w:val="00B65D09"/>
    <w:rsid w:val="00B800D6"/>
    <w:rsid w:val="00B8686A"/>
    <w:rsid w:val="00B921AA"/>
    <w:rsid w:val="00BA6693"/>
    <w:rsid w:val="00BB73D1"/>
    <w:rsid w:val="00BC3116"/>
    <w:rsid w:val="00BC7BBB"/>
    <w:rsid w:val="00BD686A"/>
    <w:rsid w:val="00BD6B46"/>
    <w:rsid w:val="00BE01B3"/>
    <w:rsid w:val="00BE0F65"/>
    <w:rsid w:val="00BE359B"/>
    <w:rsid w:val="00BE3C13"/>
    <w:rsid w:val="00BF4B65"/>
    <w:rsid w:val="00C01B2D"/>
    <w:rsid w:val="00C044ED"/>
    <w:rsid w:val="00C07081"/>
    <w:rsid w:val="00C36ED4"/>
    <w:rsid w:val="00C55BD3"/>
    <w:rsid w:val="00C56397"/>
    <w:rsid w:val="00C67DEB"/>
    <w:rsid w:val="00C82CE8"/>
    <w:rsid w:val="00C83264"/>
    <w:rsid w:val="00C83B13"/>
    <w:rsid w:val="00CA2A27"/>
    <w:rsid w:val="00CA5173"/>
    <w:rsid w:val="00CA5638"/>
    <w:rsid w:val="00CA7A92"/>
    <w:rsid w:val="00CB16D5"/>
    <w:rsid w:val="00CB656D"/>
    <w:rsid w:val="00CE3FEE"/>
    <w:rsid w:val="00CF78E4"/>
    <w:rsid w:val="00D007FC"/>
    <w:rsid w:val="00D03BD6"/>
    <w:rsid w:val="00D03EEC"/>
    <w:rsid w:val="00D04122"/>
    <w:rsid w:val="00D06D31"/>
    <w:rsid w:val="00D07A08"/>
    <w:rsid w:val="00D1253E"/>
    <w:rsid w:val="00D1343E"/>
    <w:rsid w:val="00D146C3"/>
    <w:rsid w:val="00D14EF6"/>
    <w:rsid w:val="00D15E26"/>
    <w:rsid w:val="00D1668F"/>
    <w:rsid w:val="00D300A0"/>
    <w:rsid w:val="00D300B6"/>
    <w:rsid w:val="00D37992"/>
    <w:rsid w:val="00D420B6"/>
    <w:rsid w:val="00D63454"/>
    <w:rsid w:val="00D66350"/>
    <w:rsid w:val="00D704F0"/>
    <w:rsid w:val="00D72209"/>
    <w:rsid w:val="00D73EC4"/>
    <w:rsid w:val="00D74BFD"/>
    <w:rsid w:val="00D839F5"/>
    <w:rsid w:val="00D92DA1"/>
    <w:rsid w:val="00DA3120"/>
    <w:rsid w:val="00DA7809"/>
    <w:rsid w:val="00DB3573"/>
    <w:rsid w:val="00DB3F74"/>
    <w:rsid w:val="00DB447A"/>
    <w:rsid w:val="00DC4290"/>
    <w:rsid w:val="00DC580A"/>
    <w:rsid w:val="00DC68E2"/>
    <w:rsid w:val="00DD0A93"/>
    <w:rsid w:val="00DD59E9"/>
    <w:rsid w:val="00DD7B3C"/>
    <w:rsid w:val="00DD7F0F"/>
    <w:rsid w:val="00DE1A33"/>
    <w:rsid w:val="00DE1C78"/>
    <w:rsid w:val="00DE47D1"/>
    <w:rsid w:val="00DE6F55"/>
    <w:rsid w:val="00DF13EB"/>
    <w:rsid w:val="00E0608D"/>
    <w:rsid w:val="00E0796E"/>
    <w:rsid w:val="00E1131D"/>
    <w:rsid w:val="00E223B1"/>
    <w:rsid w:val="00E304DC"/>
    <w:rsid w:val="00E30929"/>
    <w:rsid w:val="00E3295A"/>
    <w:rsid w:val="00E418F6"/>
    <w:rsid w:val="00E43491"/>
    <w:rsid w:val="00E545EB"/>
    <w:rsid w:val="00E562DC"/>
    <w:rsid w:val="00E61A46"/>
    <w:rsid w:val="00E65F1B"/>
    <w:rsid w:val="00E708C9"/>
    <w:rsid w:val="00E735BD"/>
    <w:rsid w:val="00E769A8"/>
    <w:rsid w:val="00E77786"/>
    <w:rsid w:val="00E834E8"/>
    <w:rsid w:val="00E851A2"/>
    <w:rsid w:val="00E868E3"/>
    <w:rsid w:val="00E908BA"/>
    <w:rsid w:val="00EA0CDC"/>
    <w:rsid w:val="00EA4675"/>
    <w:rsid w:val="00EA7331"/>
    <w:rsid w:val="00EA79A5"/>
    <w:rsid w:val="00EA7E67"/>
    <w:rsid w:val="00EB02C6"/>
    <w:rsid w:val="00EC70EA"/>
    <w:rsid w:val="00EC7A57"/>
    <w:rsid w:val="00ED18E4"/>
    <w:rsid w:val="00ED509E"/>
    <w:rsid w:val="00EE2482"/>
    <w:rsid w:val="00EF107E"/>
    <w:rsid w:val="00EF6E72"/>
    <w:rsid w:val="00F004EB"/>
    <w:rsid w:val="00F01D8C"/>
    <w:rsid w:val="00F30B74"/>
    <w:rsid w:val="00F34E11"/>
    <w:rsid w:val="00F40017"/>
    <w:rsid w:val="00F46433"/>
    <w:rsid w:val="00F46F38"/>
    <w:rsid w:val="00F5206A"/>
    <w:rsid w:val="00F61D82"/>
    <w:rsid w:val="00F625A5"/>
    <w:rsid w:val="00F63C49"/>
    <w:rsid w:val="00F71197"/>
    <w:rsid w:val="00F77748"/>
    <w:rsid w:val="00F814D2"/>
    <w:rsid w:val="00F92A4A"/>
    <w:rsid w:val="00FB1522"/>
    <w:rsid w:val="00FB158E"/>
    <w:rsid w:val="00FC3C14"/>
    <w:rsid w:val="00FE21C1"/>
    <w:rsid w:val="00FE48D5"/>
    <w:rsid w:val="00FF335F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68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068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068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81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681C"/>
    <w:pPr>
      <w:spacing w:before="100" w:beforeAutospacing="1" w:after="100" w:afterAutospacing="1"/>
    </w:pPr>
    <w:rPr>
      <w:lang w:eastAsia="hr-HR"/>
    </w:rPr>
  </w:style>
  <w:style w:type="character" w:styleId="CommentReference">
    <w:name w:val="annotation reference"/>
    <w:uiPriority w:val="99"/>
    <w:semiHidden/>
    <w:rsid w:val="0030681C"/>
    <w:rPr>
      <w:sz w:val="16"/>
      <w:szCs w:val="16"/>
    </w:rPr>
  </w:style>
  <w:style w:type="character" w:styleId="Hyperlink">
    <w:name w:val="Hyperlink"/>
    <w:rsid w:val="0030681C"/>
    <w:rPr>
      <w:color w:val="0000FF"/>
      <w:u w:val="single"/>
    </w:rPr>
  </w:style>
  <w:style w:type="paragraph" w:styleId="FootnoteText">
    <w:name w:val="footnote text"/>
    <w:aliases w:val=" Char2"/>
    <w:basedOn w:val="Normal"/>
    <w:link w:val="FootnoteTextChar"/>
    <w:uiPriority w:val="99"/>
    <w:semiHidden/>
    <w:rsid w:val="0030681C"/>
    <w:rPr>
      <w:sz w:val="20"/>
      <w:szCs w:val="20"/>
    </w:rPr>
  </w:style>
  <w:style w:type="character" w:customStyle="1" w:styleId="FootnoteTextChar">
    <w:name w:val="Footnote Text Char"/>
    <w:aliases w:val=" Char2 Char"/>
    <w:basedOn w:val="DefaultParagraphFont"/>
    <w:link w:val="FootnoteText"/>
    <w:uiPriority w:val="99"/>
    <w:rsid w:val="0030681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30681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1C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46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467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67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qFormat/>
    <w:rsid w:val="002C461D"/>
    <w:pPr>
      <w:ind w:left="720"/>
      <w:contextualSpacing/>
    </w:pPr>
  </w:style>
  <w:style w:type="paragraph" w:styleId="BodyText3">
    <w:name w:val="Body Text 3"/>
    <w:basedOn w:val="Normal"/>
    <w:link w:val="BodyText3Char"/>
    <w:rsid w:val="001973DF"/>
    <w:pPr>
      <w:jc w:val="both"/>
    </w:pPr>
    <w:rPr>
      <w:sz w:val="18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1973DF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Revision">
    <w:name w:val="Revision"/>
    <w:hidden/>
    <w:uiPriority w:val="99"/>
    <w:semiHidden/>
    <w:rsid w:val="00082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55B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5BD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C0F1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C0F1F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4194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1941"/>
    <w:rPr>
      <w:rFonts w:ascii="Times New Roman" w:eastAsia="Times New Roman" w:hAnsi="Times New Roman" w:cs="Times New Roman"/>
      <w:sz w:val="16"/>
      <w:szCs w:val="16"/>
    </w:rPr>
  </w:style>
  <w:style w:type="character" w:customStyle="1" w:styleId="hps">
    <w:name w:val="hps"/>
    <w:basedOn w:val="DefaultParagraphFont"/>
    <w:rsid w:val="00DB3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68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068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068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81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681C"/>
    <w:pPr>
      <w:spacing w:before="100" w:beforeAutospacing="1" w:after="100" w:afterAutospacing="1"/>
    </w:pPr>
    <w:rPr>
      <w:lang w:eastAsia="hr-HR"/>
    </w:rPr>
  </w:style>
  <w:style w:type="character" w:styleId="CommentReference">
    <w:name w:val="annotation reference"/>
    <w:uiPriority w:val="99"/>
    <w:semiHidden/>
    <w:rsid w:val="0030681C"/>
    <w:rPr>
      <w:sz w:val="16"/>
      <w:szCs w:val="16"/>
    </w:rPr>
  </w:style>
  <w:style w:type="character" w:styleId="Hyperlink">
    <w:name w:val="Hyperlink"/>
    <w:rsid w:val="0030681C"/>
    <w:rPr>
      <w:color w:val="0000FF"/>
      <w:u w:val="single"/>
    </w:rPr>
  </w:style>
  <w:style w:type="paragraph" w:styleId="FootnoteText">
    <w:name w:val="footnote text"/>
    <w:aliases w:val=" Char2"/>
    <w:basedOn w:val="Normal"/>
    <w:link w:val="FootnoteTextChar"/>
    <w:uiPriority w:val="99"/>
    <w:semiHidden/>
    <w:rsid w:val="0030681C"/>
    <w:rPr>
      <w:sz w:val="20"/>
      <w:szCs w:val="20"/>
    </w:rPr>
  </w:style>
  <w:style w:type="character" w:customStyle="1" w:styleId="FootnoteTextChar">
    <w:name w:val="Footnote Text Char"/>
    <w:aliases w:val=" Char2 Char"/>
    <w:basedOn w:val="DefaultParagraphFont"/>
    <w:link w:val="FootnoteText"/>
    <w:uiPriority w:val="99"/>
    <w:rsid w:val="0030681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30681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1C"/>
    <w:rPr>
      <w:rFonts w:ascii="Tahoma" w:eastAsia="Times New Roman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46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467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67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qFormat/>
    <w:rsid w:val="002C461D"/>
    <w:pPr>
      <w:ind w:left="720"/>
      <w:contextualSpacing/>
    </w:pPr>
  </w:style>
  <w:style w:type="paragraph" w:styleId="BodyText3">
    <w:name w:val="Body Text 3"/>
    <w:basedOn w:val="Normal"/>
    <w:link w:val="BodyText3Char"/>
    <w:rsid w:val="001973DF"/>
    <w:pPr>
      <w:jc w:val="both"/>
    </w:pPr>
    <w:rPr>
      <w:sz w:val="18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1973DF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Revision">
    <w:name w:val="Revision"/>
    <w:hidden/>
    <w:uiPriority w:val="99"/>
    <w:semiHidden/>
    <w:rsid w:val="00082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55B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5BD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C0F1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C0F1F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4194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1941"/>
    <w:rPr>
      <w:rFonts w:ascii="Times New Roman" w:eastAsia="Times New Roman" w:hAnsi="Times New Roman" w:cs="Times New Roman"/>
      <w:sz w:val="16"/>
      <w:szCs w:val="16"/>
    </w:rPr>
  </w:style>
  <w:style w:type="character" w:customStyle="1" w:styleId="hps">
    <w:name w:val="hps"/>
    <w:basedOn w:val="DefaultParagraphFont"/>
    <w:rsid w:val="00DB3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4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hyperlink" Target="http://www.ina.h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@ina.hr" TargetMode="External"/><Relationship Id="rId14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Bandula\Documents\Flash%20Report\2014\Q4_2014_FR\Press_Y2014_pomo&#263;ni_grafovi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dulovic\AppData\Local\Microsoft\Windows\Temporary%20Internet%20Files\Content.Outlook\FJK6ZV86\Press_Y2014_pomo&#263;ni_grafov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dulovic\AppData\Local\Microsoft\Windows\Temporary%20Internet%20Files\Content.Outlook\FJK6ZV86\Press_Y2014_pomo&#263;ni_grafovi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Eng!$G$18</c:f>
              <c:strCache>
                <c:ptCount val="1"/>
                <c:pt idx="0">
                  <c:v>Capital investments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Eng!$H$17:$I$17</c:f>
              <c:numCache>
                <c:formatCode>General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Eng!$H$18:$I$18</c:f>
              <c:numCache>
                <c:formatCode>#,##0</c:formatCode>
                <c:ptCount val="2"/>
                <c:pt idx="0">
                  <c:v>2013</c:v>
                </c:pt>
                <c:pt idx="1">
                  <c:v>1691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363648"/>
        <c:axId val="99431552"/>
      </c:barChart>
      <c:catAx>
        <c:axId val="36363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9431552"/>
        <c:crosses val="autoZero"/>
        <c:auto val="1"/>
        <c:lblAlgn val="ctr"/>
        <c:lblOffset val="100"/>
        <c:noMultiLvlLbl val="0"/>
      </c:catAx>
      <c:valAx>
        <c:axId val="99431552"/>
        <c:scaling>
          <c:orientation val="minMax"/>
          <c:min val="0"/>
        </c:scaling>
        <c:delete val="1"/>
        <c:axPos val="l"/>
        <c:numFmt formatCode="#,##0" sourceLinked="1"/>
        <c:majorTickMark val="out"/>
        <c:minorTickMark val="none"/>
        <c:tickLblPos val="nextTo"/>
        <c:crossAx val="363636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Eng!$G$97</c:f>
              <c:strCache>
                <c:ptCount val="1"/>
                <c:pt idx="0">
                  <c:v>Crude oil production (boe/d)</c:v>
                </c:pt>
              </c:strCache>
            </c:strRef>
          </c:tx>
          <c:invertIfNegative val="0"/>
          <c:dLbls>
            <c:numFmt formatCode="#,##0" sourceLinked="0"/>
            <c:txPr>
              <a:bodyPr/>
              <a:lstStyle/>
              <a:p>
                <a:pPr>
                  <a:defRPr sz="1050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Eng!$H$96:$I$96</c:f>
              <c:numCache>
                <c:formatCode>General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Eng!$H$97:$I$97</c:f>
              <c:numCache>
                <c:formatCode>#,##0</c:formatCode>
                <c:ptCount val="2"/>
                <c:pt idx="0">
                  <c:v>11617</c:v>
                </c:pt>
                <c:pt idx="1">
                  <c:v>12142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443840"/>
        <c:axId val="99445376"/>
      </c:barChart>
      <c:catAx>
        <c:axId val="99443840"/>
        <c:scaling>
          <c:orientation val="minMax"/>
          <c:max val="2"/>
          <c:min val="1"/>
        </c:scaling>
        <c:delete val="0"/>
        <c:axPos val="b"/>
        <c:numFmt formatCode="General" sourceLinked="1"/>
        <c:majorTickMark val="out"/>
        <c:minorTickMark val="none"/>
        <c:tickLblPos val="nextTo"/>
        <c:crossAx val="99445376"/>
        <c:crosses val="autoZero"/>
        <c:auto val="0"/>
        <c:lblAlgn val="ctr"/>
        <c:lblOffset val="100"/>
        <c:noMultiLvlLbl val="0"/>
      </c:catAx>
      <c:valAx>
        <c:axId val="99445376"/>
        <c:scaling>
          <c:orientation val="minMax"/>
          <c:min val="0"/>
        </c:scaling>
        <c:delete val="1"/>
        <c:axPos val="l"/>
        <c:numFmt formatCode="#,##0" sourceLinked="1"/>
        <c:majorTickMark val="out"/>
        <c:minorTickMark val="none"/>
        <c:tickLblPos val="nextTo"/>
        <c:crossAx val="994438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Hrv!$G$63</c:f>
              <c:strCache>
                <c:ptCount val="1"/>
                <c:pt idx="0">
                  <c:v>Neto zaduženost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Hrv!$H$62:$I$62</c:f>
              <c:numCache>
                <c:formatCode>General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Hrv!$H$63:$I$63</c:f>
              <c:numCache>
                <c:formatCode>#,##0</c:formatCode>
                <c:ptCount val="2"/>
                <c:pt idx="0">
                  <c:v>4761</c:v>
                </c:pt>
                <c:pt idx="1">
                  <c:v>2991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470336"/>
        <c:axId val="124654336"/>
      </c:barChart>
      <c:catAx>
        <c:axId val="99470336"/>
        <c:scaling>
          <c:orientation val="minMax"/>
          <c:max val="2"/>
          <c:min val="1"/>
        </c:scaling>
        <c:delete val="0"/>
        <c:axPos val="b"/>
        <c:numFmt formatCode="General" sourceLinked="1"/>
        <c:majorTickMark val="out"/>
        <c:minorTickMark val="none"/>
        <c:tickLblPos val="nextTo"/>
        <c:crossAx val="124654336"/>
        <c:crosses val="autoZero"/>
        <c:auto val="0"/>
        <c:lblAlgn val="ctr"/>
        <c:lblOffset val="100"/>
        <c:noMultiLvlLbl val="0"/>
      </c:catAx>
      <c:valAx>
        <c:axId val="124654336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994703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Hrv!$G$79</c:f>
              <c:strCache>
                <c:ptCount val="1"/>
                <c:pt idx="0">
                  <c:v>Omjer duga i kapitala</c:v>
                </c:pt>
              </c:strCache>
            </c:strRef>
          </c:tx>
          <c:invertIfNegative val="0"/>
          <c:dLbls>
            <c:numFmt formatCode="#,##0.0" sourceLinked="0"/>
            <c:txPr>
              <a:bodyPr/>
              <a:lstStyle/>
              <a:p>
                <a:pPr>
                  <a:defRPr sz="1050"/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Hrv!$H$78:$I$78</c:f>
              <c:numCache>
                <c:formatCode>General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Hrv!$H$79:$I$79</c:f>
              <c:numCache>
                <c:formatCode>#,##0.0</c:formatCode>
                <c:ptCount val="2"/>
                <c:pt idx="0">
                  <c:v>27</c:v>
                </c:pt>
                <c:pt idx="1">
                  <c:v>20.399999999999999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666240"/>
        <c:axId val="124667776"/>
      </c:barChart>
      <c:catAx>
        <c:axId val="124666240"/>
        <c:scaling>
          <c:orientation val="minMax"/>
          <c:max val="2"/>
          <c:min val="1"/>
        </c:scaling>
        <c:delete val="0"/>
        <c:axPos val="b"/>
        <c:numFmt formatCode="General" sourceLinked="1"/>
        <c:majorTickMark val="out"/>
        <c:minorTickMark val="none"/>
        <c:tickLblPos val="nextTo"/>
        <c:crossAx val="124667776"/>
        <c:crosses val="autoZero"/>
        <c:auto val="0"/>
        <c:lblAlgn val="ctr"/>
        <c:lblOffset val="100"/>
        <c:noMultiLvlLbl val="0"/>
      </c:catAx>
      <c:valAx>
        <c:axId val="124667776"/>
        <c:scaling>
          <c:orientation val="minMax"/>
          <c:min val="0"/>
        </c:scaling>
        <c:delete val="1"/>
        <c:axPos val="l"/>
        <c:numFmt formatCode="#,##0.0" sourceLinked="1"/>
        <c:majorTickMark val="out"/>
        <c:minorTickMark val="none"/>
        <c:tickLblPos val="nextTo"/>
        <c:crossAx val="1246662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51440814001657E-2"/>
          <c:y val="8.0104680819831561E-2"/>
          <c:w val="0.79758861070836795"/>
          <c:h val="0.62342256279931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Net debt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204616153760692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9</a:t>
                    </a:r>
                    <a:r>
                      <a:rPr lang="hr-HR" dirty="0" smtClean="0"/>
                      <a:t>,</a:t>
                    </a:r>
                    <a:r>
                      <a:rPr lang="en-US" dirty="0" smtClean="0"/>
                      <a:t>938</a:t>
                    </a:r>
                    <a:endParaRPr lang="en-US" dirty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6406445795428416E-2"/>
                  <c:y val="1.4564487421787555E-2"/>
                </c:manualLayout>
              </c:layout>
              <c:tx>
                <c:rich>
                  <a:bodyPr/>
                  <a:lstStyle/>
                  <a:p>
                    <a:r>
                      <a:rPr lang="en-US" dirty="0" smtClean="0"/>
                      <a:t>9</a:t>
                    </a:r>
                    <a:r>
                      <a:rPr lang="hr-HR" dirty="0" smtClean="0"/>
                      <a:t>,</a:t>
                    </a:r>
                    <a:r>
                      <a:rPr lang="en-US" dirty="0" smtClean="0"/>
                      <a:t>115</a:t>
                    </a:r>
                    <a:endParaRPr lang="en-US" dirty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mtClean="0"/>
                      <a:t>6</a:t>
                    </a:r>
                    <a:r>
                      <a:rPr lang="hr-HR" smtClean="0"/>
                      <a:t>,</a:t>
                    </a:r>
                    <a:r>
                      <a:rPr lang="en-US" smtClean="0"/>
                      <a:t>664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smtClean="0"/>
                      <a:t>4</a:t>
                    </a:r>
                    <a:r>
                      <a:rPr lang="hr-HR" smtClean="0"/>
                      <a:t>,</a:t>
                    </a:r>
                    <a:r>
                      <a:rPr lang="en-US" smtClean="0"/>
                      <a:t>761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hr-HR" dirty="0" smtClean="0"/>
                      <a:t>2,991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9938</c:v>
                </c:pt>
                <c:pt idx="1">
                  <c:v>9115</c:v>
                </c:pt>
                <c:pt idx="2">
                  <c:v>6664</c:v>
                </c:pt>
                <c:pt idx="3">
                  <c:v>4761</c:v>
                </c:pt>
                <c:pt idx="4">
                  <c:v>2991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8"/>
        <c:axId val="129316352"/>
        <c:axId val="129317888"/>
      </c:barChart>
      <c:catAx>
        <c:axId val="129316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9317888"/>
        <c:crosses val="autoZero"/>
        <c:auto val="1"/>
        <c:lblAlgn val="ctr"/>
        <c:lblOffset val="100"/>
        <c:noMultiLvlLbl val="0"/>
      </c:catAx>
      <c:valAx>
        <c:axId val="129317888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1293163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B670F-B8E7-4C92-8834-39F71F84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11555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IDulovic</cp:lastModifiedBy>
  <cp:revision>3</cp:revision>
  <cp:lastPrinted>2014-07-30T08:32:00Z</cp:lastPrinted>
  <dcterms:created xsi:type="dcterms:W3CDTF">2015-02-14T20:10:00Z</dcterms:created>
  <dcterms:modified xsi:type="dcterms:W3CDTF">2015-02-14T20:11:00Z</dcterms:modified>
</cp:coreProperties>
</file>