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Pr="00BE359B" w:rsidRDefault="0030681C" w:rsidP="0030681C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0681C" w:rsidRPr="00BE359B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BE359B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BE359B" w:rsidRDefault="0030681C" w:rsidP="0030681C">
      <w:pPr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E359B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E359B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C7D35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C7D35" w:rsidRDefault="0030681C" w:rsidP="0030681C">
      <w:pPr>
        <w:spacing w:line="480" w:lineRule="auto"/>
        <w:jc w:val="center"/>
        <w:rPr>
          <w:rFonts w:ascii="Calibri" w:hAnsi="Calibri" w:cs="Calibri"/>
          <w:b/>
          <w:sz w:val="44"/>
          <w:szCs w:val="44"/>
        </w:rPr>
      </w:pPr>
      <w:r w:rsidRPr="001C7D35">
        <w:rPr>
          <w:rFonts w:ascii="Calibri" w:hAnsi="Calibri" w:cs="Calibri"/>
          <w:b/>
          <w:sz w:val="44"/>
          <w:szCs w:val="44"/>
        </w:rPr>
        <w:t xml:space="preserve">FINANCIJSKI REZULTATI ZA </w:t>
      </w:r>
    </w:p>
    <w:p w:rsidR="0030681C" w:rsidRPr="001C7D35" w:rsidRDefault="00590C45" w:rsidP="0030681C">
      <w:pPr>
        <w:spacing w:line="480" w:lineRule="auto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PRVO POLUGODIŠTE 2014. GODINE</w:t>
      </w:r>
    </w:p>
    <w:p w:rsidR="0030681C" w:rsidRPr="001C7D35" w:rsidRDefault="0030681C" w:rsidP="0030681C">
      <w:pPr>
        <w:spacing w:line="480" w:lineRule="auto"/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C7D35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E359B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E359B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1977F0" w:rsidRPr="00BE359B" w:rsidRDefault="001977F0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E359B" w:rsidRDefault="0030681C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E359B" w:rsidRDefault="0030681C" w:rsidP="0030681C">
      <w:pPr>
        <w:jc w:val="both"/>
        <w:outlineLvl w:val="0"/>
        <w:rPr>
          <w:rFonts w:ascii="Calibri" w:hAnsi="Calibri" w:cs="Calibri"/>
          <w:color w:val="808080"/>
          <w:sz w:val="20"/>
          <w:szCs w:val="20"/>
        </w:rPr>
      </w:pPr>
      <w:r w:rsidRPr="00BE359B">
        <w:rPr>
          <w:rFonts w:ascii="Calibri" w:hAnsi="Calibri" w:cs="Calibri"/>
          <w:color w:val="808080"/>
          <w:sz w:val="20"/>
          <w:szCs w:val="20"/>
        </w:rPr>
        <w:t>Kontakt:</w:t>
      </w:r>
    </w:p>
    <w:p w:rsidR="0030681C" w:rsidRPr="00BE359B" w:rsidRDefault="0030681C" w:rsidP="0030681C">
      <w:pPr>
        <w:jc w:val="both"/>
        <w:rPr>
          <w:rFonts w:ascii="Calibri" w:hAnsi="Calibri" w:cs="Calibri"/>
          <w:sz w:val="20"/>
          <w:szCs w:val="20"/>
        </w:rPr>
      </w:pPr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 xml:space="preserve">INA-Industrija nafte, </w:t>
      </w:r>
      <w:proofErr w:type="spellStart"/>
      <w:r w:rsidRPr="00BE359B">
        <w:rPr>
          <w:rFonts w:ascii="Calibri" w:hAnsi="Calibri" w:cs="Calibri"/>
          <w:color w:val="999999"/>
          <w:sz w:val="20"/>
          <w:szCs w:val="20"/>
        </w:rPr>
        <w:t>d.d</w:t>
      </w:r>
      <w:proofErr w:type="spellEnd"/>
      <w:r w:rsidRPr="00BE359B">
        <w:rPr>
          <w:rFonts w:ascii="Calibri" w:hAnsi="Calibri" w:cs="Calibri"/>
          <w:color w:val="999999"/>
          <w:sz w:val="20"/>
          <w:szCs w:val="20"/>
        </w:rPr>
        <w:t>.</w:t>
      </w:r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 xml:space="preserve">Sektor korporativnih komunikacija </w:t>
      </w:r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>Avenija Većeslava Holjevca 10, Zagreb</w:t>
      </w:r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</w:p>
    <w:p w:rsidR="0030681C" w:rsidRPr="00BE359B" w:rsidRDefault="0030681C" w:rsidP="0030681C">
      <w:pPr>
        <w:jc w:val="both"/>
        <w:outlineLvl w:val="0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>Služba za odnose s javnošću</w:t>
      </w:r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 xml:space="preserve">E-mail:  </w:t>
      </w:r>
      <w:hyperlink r:id="rId9" w:history="1">
        <w:r w:rsidRPr="00BE359B">
          <w:rPr>
            <w:rStyle w:val="Hyperlink"/>
            <w:rFonts w:ascii="Calibri" w:hAnsi="Calibri" w:cs="Calibri"/>
            <w:color w:val="999999"/>
            <w:sz w:val="20"/>
            <w:szCs w:val="20"/>
          </w:rPr>
          <w:t>PR@ina.hr</w:t>
        </w:r>
      </w:hyperlink>
    </w:p>
    <w:p w:rsidR="0030681C" w:rsidRPr="00BE359B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E359B">
        <w:rPr>
          <w:rFonts w:ascii="Calibri" w:hAnsi="Calibri" w:cs="Calibri"/>
          <w:color w:val="999999"/>
          <w:sz w:val="20"/>
          <w:szCs w:val="20"/>
        </w:rPr>
        <w:t xml:space="preserve">ili posjetite </w:t>
      </w:r>
      <w:proofErr w:type="spellStart"/>
      <w:r w:rsidRPr="00BE359B">
        <w:rPr>
          <w:rFonts w:ascii="Calibri" w:hAnsi="Calibri" w:cs="Calibri"/>
          <w:color w:val="999999"/>
          <w:sz w:val="20"/>
          <w:szCs w:val="20"/>
        </w:rPr>
        <w:t>Press</w:t>
      </w:r>
      <w:proofErr w:type="spellEnd"/>
      <w:r w:rsidRPr="00BE359B">
        <w:rPr>
          <w:rFonts w:ascii="Calibri" w:hAnsi="Calibri" w:cs="Calibri"/>
          <w:color w:val="999999"/>
          <w:sz w:val="20"/>
          <w:szCs w:val="20"/>
        </w:rPr>
        <w:t xml:space="preserve"> centar na </w:t>
      </w:r>
      <w:hyperlink r:id="rId10" w:history="1">
        <w:r w:rsidRPr="00BE359B">
          <w:rPr>
            <w:rStyle w:val="Hyperlink"/>
            <w:rFonts w:ascii="Calibri" w:hAnsi="Calibri" w:cs="Calibri"/>
            <w:color w:val="999999"/>
            <w:sz w:val="20"/>
            <w:szCs w:val="20"/>
          </w:rPr>
          <w:t>www.ina.hr</w:t>
        </w:r>
      </w:hyperlink>
      <w:r w:rsidRPr="00BE359B">
        <w:rPr>
          <w:rFonts w:ascii="Calibri" w:hAnsi="Calibri" w:cs="Calibri"/>
          <w:color w:val="999999"/>
          <w:sz w:val="20"/>
          <w:szCs w:val="20"/>
        </w:rPr>
        <w:t xml:space="preserve"> </w:t>
      </w:r>
    </w:p>
    <w:p w:rsidR="0030681C" w:rsidRPr="00BE359B" w:rsidRDefault="0030681C" w:rsidP="0030681C">
      <w:pPr>
        <w:jc w:val="center"/>
        <w:rPr>
          <w:rFonts w:ascii="Calibri" w:hAnsi="Calibri" w:cs="Calibri"/>
          <w:b/>
          <w:sz w:val="20"/>
          <w:szCs w:val="20"/>
        </w:rPr>
        <w:sectPr w:rsidR="0030681C" w:rsidRPr="00BE359B" w:rsidSect="0039152A">
          <w:headerReference w:type="default" r:id="rId11"/>
          <w:footerReference w:type="default" r:id="rId12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66770" w:rsidRDefault="0030681C" w:rsidP="0095206B">
      <w:pPr>
        <w:tabs>
          <w:tab w:val="left" w:pos="1335"/>
        </w:tabs>
        <w:jc w:val="both"/>
        <w:rPr>
          <w:rFonts w:ascii="Calibri" w:hAnsi="Calibri" w:cs="Calibri"/>
          <w:sz w:val="22"/>
          <w:szCs w:val="22"/>
        </w:rPr>
      </w:pPr>
      <w:r w:rsidRPr="00BE359B">
        <w:rPr>
          <w:rFonts w:ascii="Calibri" w:hAnsi="Calibri" w:cs="Calibri"/>
          <w:sz w:val="22"/>
          <w:szCs w:val="22"/>
        </w:rPr>
        <w:lastRenderedPageBreak/>
        <w:tab/>
      </w:r>
      <w:bookmarkStart w:id="1" w:name="OLE_LINK1"/>
    </w:p>
    <w:p w:rsidR="0030681C" w:rsidRPr="0058791F" w:rsidRDefault="0030681C" w:rsidP="00966770">
      <w:pPr>
        <w:tabs>
          <w:tab w:val="left" w:pos="1335"/>
        </w:tabs>
        <w:jc w:val="center"/>
        <w:rPr>
          <w:rFonts w:ascii="Calibri" w:hAnsi="Calibri" w:cs="Calibri"/>
          <w:b/>
          <w:bCs/>
          <w:sz w:val="28"/>
        </w:rPr>
      </w:pPr>
      <w:r w:rsidRPr="0058791F">
        <w:rPr>
          <w:rFonts w:ascii="Calibri" w:hAnsi="Calibri" w:cs="Calibri"/>
          <w:b/>
          <w:bCs/>
          <w:sz w:val="28"/>
        </w:rPr>
        <w:t xml:space="preserve">INA objavila financijske rezultate za </w:t>
      </w:r>
      <w:r w:rsidR="00590C45">
        <w:rPr>
          <w:rFonts w:ascii="Calibri" w:hAnsi="Calibri" w:cs="Calibri"/>
          <w:b/>
          <w:bCs/>
          <w:sz w:val="28"/>
        </w:rPr>
        <w:t>prvo polugodište 2014</w:t>
      </w:r>
      <w:r w:rsidRPr="0058791F">
        <w:rPr>
          <w:rFonts w:ascii="Calibri" w:hAnsi="Calibri" w:cs="Calibri"/>
          <w:b/>
          <w:bCs/>
          <w:sz w:val="28"/>
        </w:rPr>
        <w:t>. godin</w:t>
      </w:r>
      <w:r w:rsidR="00590C45">
        <w:rPr>
          <w:rFonts w:ascii="Calibri" w:hAnsi="Calibri" w:cs="Calibri"/>
          <w:b/>
          <w:bCs/>
          <w:sz w:val="28"/>
        </w:rPr>
        <w:t>e</w:t>
      </w:r>
    </w:p>
    <w:p w:rsidR="005479CB" w:rsidRDefault="005479CB" w:rsidP="005479CB">
      <w:pPr>
        <w:jc w:val="both"/>
        <w:rPr>
          <w:rFonts w:ascii="Calibri" w:hAnsi="Calibri" w:cs="Calibri"/>
          <w:u w:val="single"/>
        </w:rPr>
      </w:pPr>
    </w:p>
    <w:p w:rsidR="005479CB" w:rsidRPr="00382A4D" w:rsidRDefault="005479CB" w:rsidP="005479CB">
      <w:pPr>
        <w:jc w:val="both"/>
        <w:rPr>
          <w:rFonts w:ascii="Calibri" w:hAnsi="Calibri" w:cs="Calibri"/>
          <w:u w:val="single"/>
        </w:rPr>
      </w:pPr>
      <w:r w:rsidRPr="00382A4D">
        <w:rPr>
          <w:rFonts w:ascii="Calibri" w:hAnsi="Calibri" w:cs="Calibri"/>
          <w:u w:val="single"/>
        </w:rPr>
        <w:t>Ključna postignuća</w:t>
      </w:r>
    </w:p>
    <w:p w:rsidR="0030681C" w:rsidRDefault="0030681C" w:rsidP="0030681C">
      <w:pPr>
        <w:jc w:val="both"/>
        <w:rPr>
          <w:rFonts w:ascii="Calibri" w:hAnsi="Calibri" w:cs="Calibri"/>
        </w:rPr>
      </w:pPr>
    </w:p>
    <w:p w:rsidR="00617384" w:rsidRDefault="00617384" w:rsidP="00382A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Neto dobit </w:t>
      </w:r>
      <w:r w:rsidR="00EA4675">
        <w:rPr>
          <w:rFonts w:asciiTheme="minorHAnsi" w:hAnsiTheme="minorHAnsi" w:cstheme="minorHAnsi"/>
        </w:rPr>
        <w:t xml:space="preserve">je </w:t>
      </w:r>
      <w:r w:rsidR="0073193E">
        <w:rPr>
          <w:rFonts w:asciiTheme="minorHAnsi" w:hAnsiTheme="minorHAnsi" w:cstheme="minorHAnsi"/>
        </w:rPr>
        <w:t>poras</w:t>
      </w:r>
      <w:r w:rsidR="00EA4675">
        <w:rPr>
          <w:rFonts w:asciiTheme="minorHAnsi" w:hAnsiTheme="minorHAnsi" w:cstheme="minorHAnsi"/>
        </w:rPr>
        <w:t>la</w:t>
      </w:r>
      <w:r w:rsidR="0073193E">
        <w:rPr>
          <w:rFonts w:asciiTheme="minorHAnsi" w:hAnsiTheme="minorHAnsi" w:cstheme="minorHAnsi"/>
        </w:rPr>
        <w:t xml:space="preserve"> </w:t>
      </w:r>
      <w:r w:rsidR="00EA4675">
        <w:rPr>
          <w:rFonts w:asciiTheme="minorHAnsi" w:hAnsiTheme="minorHAnsi" w:cstheme="minorHAnsi"/>
        </w:rPr>
        <w:t>za</w:t>
      </w:r>
      <w:r w:rsidR="0073193E">
        <w:rPr>
          <w:rFonts w:asciiTheme="minorHAnsi" w:hAnsiTheme="minorHAnsi" w:cstheme="minorHAnsi"/>
        </w:rPr>
        <w:t xml:space="preserve"> </w:t>
      </w:r>
      <w:r w:rsidR="00614EC8">
        <w:rPr>
          <w:rFonts w:asciiTheme="minorHAnsi" w:hAnsiTheme="minorHAnsi" w:cstheme="minorHAnsi"/>
        </w:rPr>
        <w:t>76</w:t>
      </w:r>
      <w:r>
        <w:rPr>
          <w:rFonts w:asciiTheme="minorHAnsi" w:hAnsiTheme="minorHAnsi" w:cstheme="minorHAnsi"/>
        </w:rPr>
        <w:t>%</w:t>
      </w:r>
      <w:r w:rsidR="00224F74">
        <w:rPr>
          <w:rFonts w:asciiTheme="minorHAnsi" w:hAnsiTheme="minorHAnsi" w:cstheme="minorHAnsi"/>
        </w:rPr>
        <w:t xml:space="preserve"> u odnosu na </w:t>
      </w:r>
      <w:r w:rsidR="0073193E">
        <w:rPr>
          <w:rFonts w:asciiTheme="minorHAnsi" w:hAnsiTheme="minorHAnsi" w:cstheme="minorHAnsi"/>
        </w:rPr>
        <w:t>isto razdoblje 2013.</w:t>
      </w:r>
    </w:p>
    <w:p w:rsidR="00EA4675" w:rsidRDefault="00B63D21" w:rsidP="00EA467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A4675">
        <w:rPr>
          <w:rFonts w:asciiTheme="minorHAnsi" w:hAnsiTheme="minorHAnsi" w:cstheme="minorHAnsi"/>
        </w:rPr>
        <w:t xml:space="preserve">Kapitalna ulaganja porasla </w:t>
      </w:r>
      <w:r w:rsidR="00D63454" w:rsidRPr="00EA4675">
        <w:rPr>
          <w:rFonts w:asciiTheme="minorHAnsi" w:hAnsiTheme="minorHAnsi" w:cstheme="minorHAnsi"/>
        </w:rPr>
        <w:t xml:space="preserve">su </w:t>
      </w:r>
      <w:r w:rsidR="00382A4D" w:rsidRPr="00EA4675">
        <w:rPr>
          <w:rFonts w:asciiTheme="minorHAnsi" w:hAnsiTheme="minorHAnsi" w:cstheme="minorHAnsi"/>
        </w:rPr>
        <w:t xml:space="preserve">za čak </w:t>
      </w:r>
      <w:r w:rsidR="00590C45" w:rsidRPr="00EA4675">
        <w:rPr>
          <w:rFonts w:asciiTheme="minorHAnsi" w:hAnsiTheme="minorHAnsi" w:cstheme="minorHAnsi"/>
        </w:rPr>
        <w:t>33</w:t>
      </w:r>
      <w:r w:rsidR="00382A4D" w:rsidRPr="00EA4675">
        <w:rPr>
          <w:rFonts w:asciiTheme="minorHAnsi" w:hAnsiTheme="minorHAnsi" w:cstheme="minorHAnsi"/>
        </w:rPr>
        <w:t>%</w:t>
      </w:r>
      <w:r w:rsidR="00590C45" w:rsidRPr="00EA4675">
        <w:rPr>
          <w:rFonts w:asciiTheme="minorHAnsi" w:hAnsiTheme="minorHAnsi" w:cstheme="minorHAnsi"/>
        </w:rPr>
        <w:t xml:space="preserve"> </w:t>
      </w:r>
      <w:r w:rsidR="00224F74" w:rsidRPr="00EA4675">
        <w:rPr>
          <w:rFonts w:asciiTheme="minorHAnsi" w:hAnsiTheme="minorHAnsi" w:cstheme="minorHAnsi"/>
        </w:rPr>
        <w:t xml:space="preserve">u odnosu na </w:t>
      </w:r>
      <w:r w:rsidR="001E02F5" w:rsidRPr="00EA4675">
        <w:rPr>
          <w:rFonts w:asciiTheme="minorHAnsi" w:hAnsiTheme="minorHAnsi" w:cstheme="minorHAnsi"/>
        </w:rPr>
        <w:t>prvu polovicu</w:t>
      </w:r>
      <w:r w:rsidR="00224F74" w:rsidRPr="00EA4675">
        <w:rPr>
          <w:rFonts w:asciiTheme="minorHAnsi" w:hAnsiTheme="minorHAnsi" w:cstheme="minorHAnsi"/>
        </w:rPr>
        <w:t xml:space="preserve"> </w:t>
      </w:r>
      <w:r w:rsidR="0073193E" w:rsidRPr="00EA4675">
        <w:rPr>
          <w:rFonts w:asciiTheme="minorHAnsi" w:hAnsiTheme="minorHAnsi" w:cstheme="minorHAnsi"/>
        </w:rPr>
        <w:t xml:space="preserve">2013. </w:t>
      </w:r>
    </w:p>
    <w:p w:rsidR="00590C45" w:rsidRPr="00EA4675" w:rsidRDefault="00590C45" w:rsidP="00EA467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A4675">
        <w:rPr>
          <w:rFonts w:asciiTheme="minorHAnsi" w:hAnsiTheme="minorHAnsi" w:cstheme="minorHAnsi"/>
        </w:rPr>
        <w:t>Najveći dio ulaganja odnosi se na projekte Istraživanj</w:t>
      </w:r>
      <w:r w:rsidR="00D04122" w:rsidRPr="00EA4675">
        <w:rPr>
          <w:rFonts w:asciiTheme="minorHAnsi" w:hAnsiTheme="minorHAnsi" w:cstheme="minorHAnsi"/>
        </w:rPr>
        <w:t>a</w:t>
      </w:r>
      <w:r w:rsidRPr="00EA4675">
        <w:rPr>
          <w:rFonts w:asciiTheme="minorHAnsi" w:hAnsiTheme="minorHAnsi" w:cstheme="minorHAnsi"/>
        </w:rPr>
        <w:t xml:space="preserve"> i proizvodnj</w:t>
      </w:r>
      <w:r w:rsidR="00D04122" w:rsidRPr="00EA4675">
        <w:rPr>
          <w:rFonts w:asciiTheme="minorHAnsi" w:hAnsiTheme="minorHAnsi" w:cstheme="minorHAnsi"/>
        </w:rPr>
        <w:t>e</w:t>
      </w:r>
      <w:r w:rsidRPr="00EA4675">
        <w:rPr>
          <w:rFonts w:asciiTheme="minorHAnsi" w:hAnsiTheme="minorHAnsi" w:cstheme="minorHAnsi"/>
        </w:rPr>
        <w:t xml:space="preserve"> nafte i plina</w:t>
      </w:r>
      <w:r w:rsidR="00D04122" w:rsidRPr="00EA4675">
        <w:rPr>
          <w:rFonts w:asciiTheme="minorHAnsi" w:hAnsiTheme="minorHAnsi" w:cstheme="minorHAnsi"/>
        </w:rPr>
        <w:t xml:space="preserve"> u Hrvatskoj</w:t>
      </w:r>
      <w:r w:rsidR="004449F1" w:rsidRPr="00EA4675">
        <w:rPr>
          <w:rFonts w:asciiTheme="minorHAnsi" w:hAnsiTheme="minorHAnsi" w:cstheme="minorHAnsi"/>
        </w:rPr>
        <w:t>; gotovo 440 milijuna kuna</w:t>
      </w:r>
    </w:p>
    <w:p w:rsidR="00382A4D" w:rsidRPr="0095206B" w:rsidRDefault="00D04122" w:rsidP="00382A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neto zaduženost pala za 18% dok je o</w:t>
      </w:r>
      <w:r w:rsidR="00382A4D" w:rsidRPr="0095206B">
        <w:rPr>
          <w:rFonts w:asciiTheme="minorHAnsi" w:hAnsiTheme="minorHAnsi" w:cstheme="minorHAnsi"/>
        </w:rPr>
        <w:t>mjer duga i kapitala</w:t>
      </w:r>
      <w:r w:rsidR="00224F74">
        <w:rPr>
          <w:rStyle w:val="FootnoteReference"/>
          <w:rFonts w:asciiTheme="minorHAnsi" w:hAnsiTheme="minorHAnsi" w:cstheme="minorHAnsi"/>
        </w:rPr>
        <w:footnoteReference w:id="1"/>
      </w:r>
      <w:r w:rsidR="00382A4D" w:rsidRPr="0095206B">
        <w:rPr>
          <w:rFonts w:asciiTheme="minorHAnsi" w:hAnsiTheme="minorHAnsi" w:cstheme="minorHAnsi"/>
        </w:rPr>
        <w:t xml:space="preserve"> </w:t>
      </w:r>
      <w:r w:rsidR="00382A4D">
        <w:rPr>
          <w:rFonts w:asciiTheme="minorHAnsi" w:hAnsiTheme="minorHAnsi" w:cstheme="minorHAnsi"/>
        </w:rPr>
        <w:t xml:space="preserve">smanjen </w:t>
      </w:r>
      <w:r w:rsidR="00590C45">
        <w:rPr>
          <w:rFonts w:asciiTheme="minorHAnsi" w:hAnsiTheme="minorHAnsi" w:cstheme="minorHAnsi"/>
        </w:rPr>
        <w:t>s</w:t>
      </w:r>
      <w:r w:rsidR="00B63D21">
        <w:rPr>
          <w:rFonts w:asciiTheme="minorHAnsi" w:hAnsiTheme="minorHAnsi" w:cstheme="minorHAnsi"/>
        </w:rPr>
        <w:t>a</w:t>
      </w:r>
      <w:r w:rsidR="00382A4D">
        <w:rPr>
          <w:rFonts w:asciiTheme="minorHAnsi" w:hAnsiTheme="minorHAnsi" w:cstheme="minorHAnsi"/>
        </w:rPr>
        <w:t xml:space="preserve"> </w:t>
      </w:r>
      <w:r w:rsidR="00590C45">
        <w:rPr>
          <w:rFonts w:asciiTheme="minorHAnsi" w:hAnsiTheme="minorHAnsi" w:cstheme="minorHAnsi"/>
        </w:rPr>
        <w:t>25.8</w:t>
      </w:r>
      <w:r w:rsidR="00382A4D">
        <w:rPr>
          <w:rFonts w:asciiTheme="minorHAnsi" w:hAnsiTheme="minorHAnsi" w:cstheme="minorHAnsi"/>
        </w:rPr>
        <w:t>% na 2</w:t>
      </w:r>
      <w:r w:rsidR="00590C45">
        <w:rPr>
          <w:rFonts w:asciiTheme="minorHAnsi" w:hAnsiTheme="minorHAnsi" w:cstheme="minorHAnsi"/>
        </w:rPr>
        <w:t>4.</w:t>
      </w:r>
      <w:r w:rsidR="00F004EB">
        <w:rPr>
          <w:rFonts w:asciiTheme="minorHAnsi" w:hAnsiTheme="minorHAnsi" w:cstheme="minorHAnsi"/>
        </w:rPr>
        <w:t>3</w:t>
      </w:r>
      <w:r w:rsidR="00382A4D">
        <w:rPr>
          <w:rFonts w:asciiTheme="minorHAnsi" w:hAnsiTheme="minorHAnsi" w:cstheme="minorHAnsi"/>
        </w:rPr>
        <w:t>%</w:t>
      </w:r>
      <w:r w:rsidR="00DD59E9">
        <w:rPr>
          <w:rFonts w:asciiTheme="minorHAnsi" w:hAnsiTheme="minorHAnsi" w:cstheme="minorHAnsi"/>
        </w:rPr>
        <w:t xml:space="preserve"> </w:t>
      </w:r>
    </w:p>
    <w:p w:rsidR="00590C45" w:rsidRPr="00EA4675" w:rsidRDefault="00590C45" w:rsidP="00EA467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A4675">
        <w:rPr>
          <w:rFonts w:asciiTheme="minorHAnsi" w:hAnsiTheme="minorHAnsi" w:cstheme="minorHAnsi"/>
        </w:rPr>
        <w:t xml:space="preserve">INA </w:t>
      </w:r>
      <w:r w:rsidR="00D63454" w:rsidRPr="00EA4675">
        <w:rPr>
          <w:rFonts w:asciiTheme="minorHAnsi" w:hAnsiTheme="minorHAnsi" w:cstheme="minorHAnsi"/>
        </w:rPr>
        <w:t xml:space="preserve">je </w:t>
      </w:r>
      <w:r w:rsidRPr="00EA4675">
        <w:rPr>
          <w:rFonts w:asciiTheme="minorHAnsi" w:hAnsiTheme="minorHAnsi" w:cstheme="minorHAnsi"/>
        </w:rPr>
        <w:t>nastavila s trendom ublažavanja pada proizvodnje na postojećim domaćim poljima</w:t>
      </w:r>
      <w:r w:rsidR="00EA4675" w:rsidRPr="00EA4675">
        <w:rPr>
          <w:rFonts w:asciiTheme="minorHAnsi" w:hAnsiTheme="minorHAnsi" w:cstheme="minorHAnsi"/>
        </w:rPr>
        <w:t xml:space="preserve"> te je </w:t>
      </w:r>
      <w:r w:rsidR="00EA4675">
        <w:rPr>
          <w:rFonts w:asciiTheme="minorHAnsi" w:hAnsiTheme="minorHAnsi" w:cstheme="minorHAnsi"/>
        </w:rPr>
        <w:t>p</w:t>
      </w:r>
      <w:r w:rsidRPr="00EA4675">
        <w:rPr>
          <w:rFonts w:asciiTheme="minorHAnsi" w:hAnsiTheme="minorHAnsi" w:cstheme="minorHAnsi"/>
        </w:rPr>
        <w:t>o prvi put u posljednjih deset godina zabiljež</w:t>
      </w:r>
      <w:r w:rsidR="004A79BF" w:rsidRPr="00EA4675">
        <w:rPr>
          <w:rFonts w:asciiTheme="minorHAnsi" w:hAnsiTheme="minorHAnsi" w:cstheme="minorHAnsi"/>
        </w:rPr>
        <w:t>eno</w:t>
      </w:r>
      <w:r w:rsidRPr="00EA4675">
        <w:rPr>
          <w:rFonts w:asciiTheme="minorHAnsi" w:hAnsiTheme="minorHAnsi" w:cstheme="minorHAnsi"/>
        </w:rPr>
        <w:t xml:space="preserve"> povećanje proizvodnje s domaćih polja</w:t>
      </w:r>
    </w:p>
    <w:p w:rsidR="0071188A" w:rsidRDefault="0071188A" w:rsidP="00ED509E">
      <w:pPr>
        <w:jc w:val="both"/>
        <w:rPr>
          <w:rFonts w:asciiTheme="minorHAnsi" w:hAnsiTheme="minorHAnsi" w:cstheme="minorHAnsi"/>
        </w:rPr>
      </w:pPr>
    </w:p>
    <w:p w:rsidR="00ED509E" w:rsidRPr="00617384" w:rsidRDefault="0030681C" w:rsidP="00ED509E">
      <w:pPr>
        <w:jc w:val="both"/>
        <w:rPr>
          <w:rFonts w:asciiTheme="minorHAnsi" w:hAnsiTheme="minorHAnsi" w:cstheme="minorHAnsi"/>
          <w:b/>
        </w:rPr>
      </w:pPr>
      <w:r w:rsidRPr="00617384">
        <w:rPr>
          <w:rFonts w:ascii="Calibri" w:hAnsi="Calibri" w:cs="Calibri"/>
          <w:b/>
        </w:rPr>
        <w:t xml:space="preserve">Zagreb, </w:t>
      </w:r>
      <w:r w:rsidR="00D14EF6">
        <w:rPr>
          <w:rFonts w:ascii="Calibri" w:hAnsi="Calibri" w:cs="Calibri"/>
          <w:b/>
        </w:rPr>
        <w:t>30</w:t>
      </w:r>
      <w:r w:rsidR="00E735BD" w:rsidRPr="00617384">
        <w:rPr>
          <w:rFonts w:ascii="Calibri" w:hAnsi="Calibri" w:cs="Calibri"/>
          <w:b/>
        </w:rPr>
        <w:t xml:space="preserve">. </w:t>
      </w:r>
      <w:r w:rsidR="00617384" w:rsidRPr="00617384">
        <w:rPr>
          <w:rFonts w:ascii="Calibri" w:hAnsi="Calibri" w:cs="Calibri"/>
          <w:b/>
        </w:rPr>
        <w:t>srpnja</w:t>
      </w:r>
      <w:r w:rsidR="002C461D" w:rsidRPr="00617384">
        <w:rPr>
          <w:rFonts w:ascii="Calibri" w:hAnsi="Calibri" w:cs="Calibri"/>
          <w:b/>
        </w:rPr>
        <w:t xml:space="preserve"> 201</w:t>
      </w:r>
      <w:r w:rsidR="00E735BD" w:rsidRPr="00617384">
        <w:rPr>
          <w:rFonts w:ascii="Calibri" w:hAnsi="Calibri" w:cs="Calibri"/>
          <w:b/>
        </w:rPr>
        <w:t>4</w:t>
      </w:r>
      <w:r w:rsidR="002C461D" w:rsidRPr="00617384">
        <w:rPr>
          <w:rFonts w:ascii="Calibri" w:hAnsi="Calibri" w:cs="Calibri"/>
          <w:b/>
        </w:rPr>
        <w:t>.</w:t>
      </w:r>
      <w:r w:rsidRPr="00617384">
        <w:rPr>
          <w:rFonts w:ascii="Calibri" w:hAnsi="Calibri" w:cs="Calibri"/>
          <w:b/>
        </w:rPr>
        <w:t xml:space="preserve"> </w:t>
      </w:r>
      <w:r w:rsidR="00617384">
        <w:rPr>
          <w:rFonts w:ascii="Calibri" w:hAnsi="Calibri" w:cs="Calibri"/>
          <w:b/>
        </w:rPr>
        <w:t>–</w:t>
      </w:r>
      <w:r w:rsidRPr="00617384">
        <w:rPr>
          <w:rFonts w:ascii="Calibri" w:hAnsi="Calibri" w:cs="Calibri"/>
          <w:b/>
        </w:rPr>
        <w:t xml:space="preserve"> </w:t>
      </w:r>
      <w:r w:rsidR="00617384">
        <w:rPr>
          <w:rFonts w:ascii="Calibri" w:hAnsi="Calibri" w:cs="Calibri"/>
          <w:b/>
        </w:rPr>
        <w:t xml:space="preserve">U prvom polugodištu 2014. </w:t>
      </w:r>
      <w:r w:rsidRPr="00617384">
        <w:rPr>
          <w:rFonts w:ascii="Calibri" w:hAnsi="Calibri" w:cs="Calibri"/>
          <w:b/>
        </w:rPr>
        <w:t xml:space="preserve">INA </w:t>
      </w:r>
      <w:r w:rsidR="00230478" w:rsidRPr="00617384">
        <w:rPr>
          <w:rFonts w:ascii="Calibri" w:hAnsi="Calibri" w:cs="Calibri"/>
          <w:b/>
        </w:rPr>
        <w:t>Grupa</w:t>
      </w:r>
      <w:r w:rsidR="00E735BD" w:rsidRPr="00617384">
        <w:rPr>
          <w:rFonts w:ascii="Calibri" w:hAnsi="Calibri" w:cs="Calibri"/>
          <w:b/>
        </w:rPr>
        <w:t xml:space="preserve"> ostvarila je </w:t>
      </w:r>
      <w:r w:rsidR="00E735BD" w:rsidRPr="00617384">
        <w:rPr>
          <w:rFonts w:asciiTheme="minorHAnsi" w:hAnsiTheme="minorHAnsi" w:cstheme="minorHAnsi"/>
          <w:b/>
        </w:rPr>
        <w:t>EBITDA</w:t>
      </w:r>
      <w:r w:rsidR="00224F74">
        <w:rPr>
          <w:rStyle w:val="FootnoteReference"/>
          <w:rFonts w:asciiTheme="minorHAnsi" w:hAnsiTheme="minorHAnsi" w:cstheme="minorHAnsi"/>
          <w:b/>
        </w:rPr>
        <w:footnoteReference w:id="2"/>
      </w:r>
      <w:r w:rsidR="00E735BD" w:rsidRPr="00617384">
        <w:rPr>
          <w:rFonts w:asciiTheme="minorHAnsi" w:hAnsiTheme="minorHAnsi" w:cstheme="minorHAnsi"/>
          <w:b/>
        </w:rPr>
        <w:t xml:space="preserve"> u iznosu od </w:t>
      </w:r>
      <w:r w:rsidR="00617384">
        <w:rPr>
          <w:rFonts w:asciiTheme="minorHAnsi" w:hAnsiTheme="minorHAnsi" w:cstheme="minorHAnsi"/>
          <w:b/>
        </w:rPr>
        <w:t>1</w:t>
      </w:r>
      <w:r w:rsidR="00E735BD" w:rsidRPr="00617384">
        <w:rPr>
          <w:rFonts w:asciiTheme="minorHAnsi" w:hAnsiTheme="minorHAnsi" w:cstheme="minorHAnsi"/>
          <w:b/>
        </w:rPr>
        <w:t>,</w:t>
      </w:r>
      <w:r w:rsidR="0071188A">
        <w:rPr>
          <w:rFonts w:asciiTheme="minorHAnsi" w:hAnsiTheme="minorHAnsi" w:cstheme="minorHAnsi"/>
          <w:b/>
        </w:rPr>
        <w:t>4</w:t>
      </w:r>
      <w:r w:rsidR="00764D28">
        <w:rPr>
          <w:rFonts w:asciiTheme="minorHAnsi" w:hAnsiTheme="minorHAnsi" w:cstheme="minorHAnsi"/>
          <w:b/>
        </w:rPr>
        <w:t>7</w:t>
      </w:r>
      <w:r w:rsidR="00F004EB">
        <w:rPr>
          <w:rFonts w:asciiTheme="minorHAnsi" w:hAnsiTheme="minorHAnsi" w:cstheme="minorHAnsi"/>
          <w:b/>
        </w:rPr>
        <w:t xml:space="preserve"> </w:t>
      </w:r>
      <w:r w:rsidR="00E735BD" w:rsidRPr="00617384">
        <w:rPr>
          <w:rFonts w:asciiTheme="minorHAnsi" w:hAnsiTheme="minorHAnsi" w:cstheme="minorHAnsi"/>
          <w:b/>
        </w:rPr>
        <w:t xml:space="preserve">milijardi kuna </w:t>
      </w:r>
      <w:r w:rsidR="00ED509E" w:rsidRPr="00617384">
        <w:rPr>
          <w:rFonts w:asciiTheme="minorHAnsi" w:hAnsiTheme="minorHAnsi" w:cstheme="minorHAnsi"/>
          <w:b/>
        </w:rPr>
        <w:t xml:space="preserve">te neto dobit u iznosu od </w:t>
      </w:r>
      <w:r w:rsidR="00DD59E9">
        <w:rPr>
          <w:rFonts w:asciiTheme="minorHAnsi" w:hAnsiTheme="minorHAnsi" w:cstheme="minorHAnsi"/>
          <w:b/>
        </w:rPr>
        <w:t xml:space="preserve">372 </w:t>
      </w:r>
      <w:r w:rsidR="00ED509E" w:rsidRPr="00617384">
        <w:rPr>
          <w:rFonts w:asciiTheme="minorHAnsi" w:hAnsiTheme="minorHAnsi" w:cstheme="minorHAnsi"/>
          <w:b/>
        </w:rPr>
        <w:t>milijuna kuna.</w:t>
      </w:r>
      <w:r w:rsidR="00E735BD" w:rsidRPr="00617384">
        <w:rPr>
          <w:rFonts w:asciiTheme="minorHAnsi" w:hAnsiTheme="minorHAnsi" w:cstheme="minorHAnsi"/>
          <w:b/>
        </w:rPr>
        <w:t xml:space="preserve"> </w:t>
      </w:r>
      <w:r w:rsidR="0073193E" w:rsidRPr="0073193E">
        <w:rPr>
          <w:rFonts w:asciiTheme="minorHAnsi" w:hAnsiTheme="minorHAnsi" w:cstheme="minorHAnsi"/>
          <w:b/>
        </w:rPr>
        <w:t>Ukupni prihodi od prodaje iznosili su 11,7</w:t>
      </w:r>
      <w:r w:rsidR="0073193E">
        <w:rPr>
          <w:rFonts w:asciiTheme="minorHAnsi" w:hAnsiTheme="minorHAnsi" w:cstheme="minorHAnsi"/>
          <w:b/>
        </w:rPr>
        <w:t>6</w:t>
      </w:r>
      <w:r w:rsidR="0073193E" w:rsidRPr="0073193E">
        <w:rPr>
          <w:rFonts w:asciiTheme="minorHAnsi" w:hAnsiTheme="minorHAnsi" w:cstheme="minorHAnsi"/>
          <w:b/>
        </w:rPr>
        <w:t xml:space="preserve"> milijardi kuna.</w:t>
      </w:r>
    </w:p>
    <w:p w:rsidR="00DD59E9" w:rsidRDefault="00617384" w:rsidP="004B43E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Kompanija je nastavila s intenzivnim ulaganjima u prvih šest mjeseci</w:t>
      </w:r>
      <w:r w:rsidR="00EA4675">
        <w:rPr>
          <w:rFonts w:asciiTheme="minorHAnsi" w:hAnsiTheme="minorHAnsi" w:cstheme="minorHAnsi"/>
        </w:rPr>
        <w:t xml:space="preserve"> koja su dosegla</w:t>
      </w:r>
      <w:r>
        <w:rPr>
          <w:rFonts w:asciiTheme="minorHAnsi" w:hAnsiTheme="minorHAnsi" w:cstheme="minorHAnsi"/>
        </w:rPr>
        <w:t xml:space="preserve"> 665 milijuna kuna. Najveći dio ulaganja, baš kao i u 2013., odnosio se na Istraživanje i proizvodnj</w:t>
      </w:r>
      <w:r w:rsidR="00D0412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nafte i plina </w:t>
      </w:r>
      <w:r w:rsidR="00D04122">
        <w:rPr>
          <w:rFonts w:asciiTheme="minorHAnsi" w:hAnsiTheme="minorHAnsi" w:cstheme="minorHAnsi"/>
        </w:rPr>
        <w:t xml:space="preserve">u Hrvatskoj </w:t>
      </w:r>
      <w:r>
        <w:rPr>
          <w:rFonts w:asciiTheme="minorHAnsi" w:hAnsiTheme="minorHAnsi" w:cstheme="minorHAnsi"/>
        </w:rPr>
        <w:t xml:space="preserve">u koje je uloženo gotovo 440 milijuna kuna. </w:t>
      </w:r>
    </w:p>
    <w:p w:rsidR="00617384" w:rsidRDefault="00617384" w:rsidP="004B43E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INA je po prvi put u posljednjih deset godina zabilježila porast proizvodnje </w:t>
      </w:r>
      <w:r w:rsidR="000B6218">
        <w:rPr>
          <w:rFonts w:asciiTheme="minorHAnsi" w:hAnsiTheme="minorHAnsi" w:cstheme="minorHAnsi"/>
        </w:rPr>
        <w:t xml:space="preserve">nafte </w:t>
      </w:r>
      <w:r>
        <w:rPr>
          <w:rFonts w:asciiTheme="minorHAnsi" w:hAnsiTheme="minorHAnsi" w:cstheme="minorHAnsi"/>
        </w:rPr>
        <w:t>iz domaćih postojećih polja</w:t>
      </w:r>
      <w:r w:rsidR="00F34E11">
        <w:rPr>
          <w:rFonts w:asciiTheme="minorHAnsi" w:hAnsiTheme="minorHAnsi" w:cstheme="minorHAnsi"/>
        </w:rPr>
        <w:t xml:space="preserve"> te je</w:t>
      </w:r>
      <w:r w:rsidR="00351C52">
        <w:rPr>
          <w:rFonts w:asciiTheme="minorHAnsi" w:hAnsiTheme="minorHAnsi" w:cstheme="minorHAnsi"/>
        </w:rPr>
        <w:t xml:space="preserve"> </w:t>
      </w:r>
      <w:r w:rsidR="004B4AD1">
        <w:rPr>
          <w:rFonts w:asciiTheme="minorHAnsi" w:hAnsiTheme="minorHAnsi" w:cstheme="minorHAnsi"/>
        </w:rPr>
        <w:t xml:space="preserve">zabilježen </w:t>
      </w:r>
      <w:r w:rsidR="00EA4675">
        <w:rPr>
          <w:rFonts w:asciiTheme="minorHAnsi" w:hAnsiTheme="minorHAnsi" w:cstheme="minorHAnsi"/>
        </w:rPr>
        <w:t xml:space="preserve">i </w:t>
      </w:r>
      <w:r w:rsidR="00F34E11">
        <w:rPr>
          <w:rFonts w:asciiTheme="minorHAnsi" w:hAnsiTheme="minorHAnsi" w:cstheme="minorHAnsi"/>
        </w:rPr>
        <w:t xml:space="preserve">ukupni </w:t>
      </w:r>
      <w:r w:rsidR="004B4AD1">
        <w:rPr>
          <w:rFonts w:asciiTheme="minorHAnsi" w:hAnsiTheme="minorHAnsi" w:cstheme="minorHAnsi"/>
        </w:rPr>
        <w:t xml:space="preserve">porast proizvodnje </w:t>
      </w:r>
      <w:r w:rsidR="00F34E11">
        <w:rPr>
          <w:rFonts w:asciiTheme="minorHAnsi" w:hAnsiTheme="minorHAnsi" w:cstheme="minorHAnsi"/>
        </w:rPr>
        <w:t xml:space="preserve">ugljikovodika </w:t>
      </w:r>
      <w:r w:rsidR="004B4AD1">
        <w:rPr>
          <w:rFonts w:asciiTheme="minorHAnsi" w:hAnsiTheme="minorHAnsi" w:cstheme="minorHAnsi"/>
        </w:rPr>
        <w:t xml:space="preserve">od </w:t>
      </w:r>
      <w:r w:rsidR="00F34E11">
        <w:rPr>
          <w:rFonts w:asciiTheme="minorHAnsi" w:hAnsiTheme="minorHAnsi" w:cstheme="minorHAnsi"/>
        </w:rPr>
        <w:t>3</w:t>
      </w:r>
      <w:r w:rsidR="004B4AD1">
        <w:rPr>
          <w:rFonts w:asciiTheme="minorHAnsi" w:hAnsiTheme="minorHAnsi" w:cstheme="minorHAnsi"/>
        </w:rPr>
        <w:t xml:space="preserve">%. </w:t>
      </w:r>
    </w:p>
    <w:p w:rsidR="00617384" w:rsidRDefault="00617384" w:rsidP="004B43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Daljnjim </w:t>
      </w:r>
      <w:r w:rsidR="00D04122">
        <w:rPr>
          <w:rFonts w:asciiTheme="minorHAnsi" w:hAnsiTheme="minorHAnsi" w:cstheme="minorHAnsi"/>
        </w:rPr>
        <w:t xml:space="preserve">padom neto zaduženosti za 18% te smanjenjem </w:t>
      </w:r>
      <w:r>
        <w:rPr>
          <w:rFonts w:asciiTheme="minorHAnsi" w:hAnsiTheme="minorHAnsi" w:cstheme="minorHAnsi"/>
        </w:rPr>
        <w:t xml:space="preserve">omjera duga i kapitala, </w:t>
      </w:r>
      <w:r w:rsidRPr="00617384">
        <w:rPr>
          <w:rFonts w:asciiTheme="minorHAnsi" w:hAnsiTheme="minorHAnsi" w:cstheme="minorHAnsi"/>
        </w:rPr>
        <w:t>s 25</w:t>
      </w:r>
      <w:r w:rsidR="00764D28">
        <w:rPr>
          <w:rFonts w:asciiTheme="minorHAnsi" w:hAnsiTheme="minorHAnsi" w:cstheme="minorHAnsi"/>
        </w:rPr>
        <w:t>,</w:t>
      </w:r>
      <w:r w:rsidRPr="00617384">
        <w:rPr>
          <w:rFonts w:asciiTheme="minorHAnsi" w:hAnsiTheme="minorHAnsi" w:cstheme="minorHAnsi"/>
        </w:rPr>
        <w:t>8% na 24</w:t>
      </w:r>
      <w:r w:rsidR="00764D28">
        <w:rPr>
          <w:rFonts w:asciiTheme="minorHAnsi" w:hAnsiTheme="minorHAnsi" w:cstheme="minorHAnsi"/>
        </w:rPr>
        <w:t>,</w:t>
      </w:r>
      <w:r w:rsidR="00F004EB">
        <w:rPr>
          <w:rFonts w:asciiTheme="minorHAnsi" w:hAnsiTheme="minorHAnsi" w:cstheme="minorHAnsi"/>
        </w:rPr>
        <w:t>3</w:t>
      </w:r>
      <w:r w:rsidRPr="00617384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</w:t>
      </w:r>
      <w:r w:rsidR="00D04122">
        <w:rPr>
          <w:rFonts w:asciiTheme="minorHAnsi" w:hAnsiTheme="minorHAnsi" w:cstheme="minorHAnsi"/>
        </w:rPr>
        <w:t xml:space="preserve">u odnosu na prvo polugodište 2013., </w:t>
      </w:r>
      <w:r>
        <w:rPr>
          <w:rFonts w:asciiTheme="minorHAnsi" w:hAnsiTheme="minorHAnsi" w:cstheme="minorHAnsi"/>
        </w:rPr>
        <w:t xml:space="preserve">dodatno je poboljšan financijski </w:t>
      </w:r>
      <w:r w:rsidRPr="005953D7">
        <w:rPr>
          <w:rFonts w:asciiTheme="minorHAnsi" w:hAnsiTheme="minorHAnsi" w:cstheme="minorHAnsi"/>
        </w:rPr>
        <w:t>položaj Grupe</w:t>
      </w:r>
      <w:r w:rsidR="00D04122">
        <w:rPr>
          <w:rFonts w:asciiTheme="minorHAnsi" w:hAnsiTheme="minorHAnsi" w:cstheme="minorHAnsi"/>
        </w:rPr>
        <w:t xml:space="preserve">. </w:t>
      </w:r>
    </w:p>
    <w:p w:rsidR="00617384" w:rsidRDefault="00617384" w:rsidP="004B43E5">
      <w:pPr>
        <w:jc w:val="both"/>
        <w:rPr>
          <w:rFonts w:asciiTheme="minorHAnsi" w:hAnsiTheme="minorHAnsi" w:cstheme="minorHAnsi"/>
        </w:rPr>
      </w:pPr>
    </w:p>
    <w:p w:rsidR="00EF107E" w:rsidRPr="004A79BF" w:rsidRDefault="00617384" w:rsidP="004A79BF">
      <w:pPr>
        <w:pStyle w:val="BodyText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Komentirajući rezultate za prvih šest mjeseci, predsjednik Uprave Ine, g. </w:t>
      </w:r>
      <w:r w:rsidRPr="00382A4D">
        <w:rPr>
          <w:rFonts w:asciiTheme="minorHAnsi" w:hAnsiTheme="minorHAnsi" w:cstheme="minorHAnsi"/>
        </w:rPr>
        <w:t xml:space="preserve">Zoltán Áldott rekao </w:t>
      </w:r>
      <w:r w:rsidRPr="00C55BD3">
        <w:rPr>
          <w:rFonts w:asciiTheme="minorHAnsi" w:hAnsiTheme="minorHAnsi" w:cstheme="minorHAnsi"/>
        </w:rPr>
        <w:t>je</w:t>
      </w:r>
      <w:r w:rsidRPr="004A79BF">
        <w:rPr>
          <w:rFonts w:asciiTheme="minorHAnsi" w:hAnsiTheme="minorHAnsi" w:cstheme="minorHAnsi"/>
          <w:i/>
        </w:rPr>
        <w:t xml:space="preserve"> „</w:t>
      </w:r>
      <w:r w:rsidR="00EF107E" w:rsidRPr="004A79BF">
        <w:rPr>
          <w:rFonts w:asciiTheme="minorHAnsi" w:hAnsiTheme="minorHAnsi" w:cstheme="minorHAnsi"/>
          <w:i/>
        </w:rPr>
        <w:t xml:space="preserve">Kontinuiranim i svjesnim naporima menadžmenta INA je ostvarila poboljšanu operativnu i neto dobit u prvom polugodištu 2014. godine, učinkovito ublažavajući negativne učinke i dalje vrlo teških tržišnih uvjeta i regulatornih promjena koje su imale snažan negativan utjecaj na poslovanje našeg segmenta Istraživanja i proizvodnje te na plinsko poslovanje. </w:t>
      </w:r>
    </w:p>
    <w:p w:rsidR="00EF107E" w:rsidRPr="004A79BF" w:rsidRDefault="00EF107E" w:rsidP="004A79BF">
      <w:pPr>
        <w:pStyle w:val="BodyText"/>
        <w:jc w:val="both"/>
        <w:rPr>
          <w:rFonts w:asciiTheme="minorHAnsi" w:hAnsiTheme="minorHAnsi" w:cstheme="minorHAnsi"/>
          <w:i/>
        </w:rPr>
      </w:pPr>
      <w:r w:rsidRPr="004A79BF">
        <w:rPr>
          <w:rFonts w:asciiTheme="minorHAnsi" w:hAnsiTheme="minorHAnsi" w:cstheme="minorHAnsi"/>
          <w:i/>
        </w:rPr>
        <w:t xml:space="preserve">Uspjeli smo </w:t>
      </w:r>
      <w:r w:rsidR="007C4854">
        <w:rPr>
          <w:rFonts w:asciiTheme="minorHAnsi" w:hAnsiTheme="minorHAnsi" w:cstheme="minorHAnsi"/>
          <w:i/>
        </w:rPr>
        <w:t>dodatno</w:t>
      </w:r>
      <w:r w:rsidRPr="004A79BF">
        <w:rPr>
          <w:rFonts w:asciiTheme="minorHAnsi" w:hAnsiTheme="minorHAnsi" w:cstheme="minorHAnsi"/>
          <w:i/>
        </w:rPr>
        <w:t xml:space="preserve"> ojačati svoj financijski položaj, istovremeno povećavajući kapitalna ulaganja za čak 33%, prvenstveno u segmentu Istraživanja i proizvodnje što se očituje u povećanju proizvodnje nafte iz postojećih domaćih polja i privremenom zaustavljanju pada proizvodnje, kao rezultat intenzivnog remontnog programa. Dodatni doprinos proizvodnji bit će vidljiv u narednom razdoblju s početkom proizvodnje na polju Izabela.</w:t>
      </w:r>
    </w:p>
    <w:p w:rsidR="00EF107E" w:rsidRPr="004A79BF" w:rsidRDefault="00EF107E" w:rsidP="004A79BF">
      <w:pPr>
        <w:pStyle w:val="BodyText"/>
        <w:jc w:val="both"/>
        <w:rPr>
          <w:rFonts w:asciiTheme="minorHAnsi" w:hAnsiTheme="minorHAnsi" w:cstheme="minorHAnsi"/>
          <w:i/>
        </w:rPr>
      </w:pPr>
      <w:r w:rsidRPr="004A79BF">
        <w:rPr>
          <w:rFonts w:asciiTheme="minorHAnsi" w:hAnsiTheme="minorHAnsi" w:cstheme="minorHAnsi"/>
          <w:i/>
        </w:rPr>
        <w:lastRenderedPageBreak/>
        <w:t>U segmentu Rafinerije i marketing ostvarili smo daljnja poboljšanja u strukturi prodaje i kontroli troškova, međutim, ovim naporima nije ublažen snažan negativan utjecaj niže prosječne rafinerijske marže i prodanih količina nastalih uslijed produbljivanja gospodarske krize na ključnim tržištima. U Trgovini na malo značajne aktivnosti modernizacije i napori usmjereni na podizanje razine usluge osigurali su solidne poslovne aktivnosti unatoč smanjivanja tržišta.“</w:t>
      </w:r>
    </w:p>
    <w:p w:rsidR="00617384" w:rsidRPr="004A79BF" w:rsidRDefault="00617384" w:rsidP="004A79BF">
      <w:pPr>
        <w:spacing w:before="120" w:after="120"/>
        <w:jc w:val="both"/>
        <w:rPr>
          <w:rFonts w:asciiTheme="minorHAnsi" w:hAnsiTheme="minorHAnsi" w:cstheme="minorHAnsi"/>
          <w:i/>
        </w:rPr>
      </w:pPr>
    </w:p>
    <w:p w:rsidR="0030681C" w:rsidRPr="00EC7A57" w:rsidRDefault="00E769A8" w:rsidP="00813CA6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EC7A57">
        <w:rPr>
          <w:rFonts w:ascii="Calibri" w:hAnsi="Calibri" w:cs="Calibri"/>
          <w:b/>
          <w:szCs w:val="22"/>
        </w:rPr>
        <w:t>P</w:t>
      </w:r>
      <w:r w:rsidR="0030681C" w:rsidRPr="00EC7A57">
        <w:rPr>
          <w:rFonts w:ascii="Calibri" w:hAnsi="Calibri" w:cs="Calibri"/>
          <w:b/>
          <w:szCs w:val="22"/>
        </w:rPr>
        <w:t>regled operativnih rezultata</w:t>
      </w:r>
    </w:p>
    <w:p w:rsidR="0030681C" w:rsidRPr="00EC7A57" w:rsidRDefault="00D63454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</w:t>
      </w:r>
      <w:r w:rsidR="00F40017" w:rsidRPr="00EC7A57">
        <w:rPr>
          <w:rFonts w:ascii="Calibri" w:hAnsi="Calibri" w:cs="Calibri"/>
          <w:szCs w:val="22"/>
        </w:rPr>
        <w:t xml:space="preserve">eto </w:t>
      </w:r>
      <w:r w:rsidR="0030681C" w:rsidRPr="00EC7A57">
        <w:rPr>
          <w:rFonts w:ascii="Calibri" w:hAnsi="Calibri" w:cs="Calibri"/>
          <w:szCs w:val="22"/>
        </w:rPr>
        <w:t xml:space="preserve">prihodi </w:t>
      </w:r>
      <w:r w:rsidR="00F40017" w:rsidRPr="00EC7A57">
        <w:rPr>
          <w:rFonts w:ascii="Calibri" w:hAnsi="Calibri" w:cs="Calibri"/>
          <w:szCs w:val="22"/>
        </w:rPr>
        <w:t xml:space="preserve">od prodaje </w:t>
      </w:r>
      <w:r w:rsidR="0030681C" w:rsidRPr="00EC7A57">
        <w:rPr>
          <w:rFonts w:ascii="Calibri" w:hAnsi="Calibri" w:cs="Calibri"/>
          <w:szCs w:val="22"/>
        </w:rPr>
        <w:t xml:space="preserve">INA Grupe dosegnuli su </w:t>
      </w:r>
      <w:r>
        <w:rPr>
          <w:rFonts w:ascii="Calibri" w:hAnsi="Calibri" w:cs="Calibri"/>
          <w:szCs w:val="22"/>
        </w:rPr>
        <w:t>11</w:t>
      </w:r>
      <w:r w:rsidR="00650216" w:rsidRPr="00EC7A57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>7</w:t>
      </w:r>
      <w:r w:rsidR="00F004EB">
        <w:rPr>
          <w:rFonts w:ascii="Calibri" w:hAnsi="Calibri" w:cs="Calibri"/>
          <w:szCs w:val="22"/>
        </w:rPr>
        <w:t xml:space="preserve">6 </w:t>
      </w:r>
      <w:r w:rsidR="004A31FD">
        <w:rPr>
          <w:rFonts w:ascii="Calibri" w:hAnsi="Calibri" w:cs="Calibri"/>
          <w:szCs w:val="22"/>
        </w:rPr>
        <w:t>m</w:t>
      </w:r>
      <w:r w:rsidR="0030681C" w:rsidRPr="00EC7A57">
        <w:rPr>
          <w:rFonts w:ascii="Calibri" w:hAnsi="Calibri" w:cs="Calibri"/>
          <w:szCs w:val="22"/>
        </w:rPr>
        <w:t xml:space="preserve">ilijardi </w:t>
      </w:r>
      <w:r w:rsidR="00B57A7C" w:rsidRPr="00EC7A57">
        <w:rPr>
          <w:rFonts w:ascii="Calibri" w:hAnsi="Calibri" w:cs="Calibri"/>
          <w:szCs w:val="22"/>
        </w:rPr>
        <w:t>kuna</w:t>
      </w:r>
    </w:p>
    <w:p w:rsidR="0030681C" w:rsidRPr="00EC7A57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EBITDA INA Grupe </w:t>
      </w:r>
      <w:r w:rsidR="0030681C" w:rsidRPr="00EC7A57">
        <w:rPr>
          <w:rFonts w:ascii="Calibri" w:hAnsi="Calibri" w:cs="Calibri"/>
          <w:szCs w:val="22"/>
        </w:rPr>
        <w:t xml:space="preserve">iznosila </w:t>
      </w:r>
      <w:r w:rsidR="00D63454" w:rsidRPr="00EC7A57">
        <w:rPr>
          <w:rFonts w:ascii="Calibri" w:hAnsi="Calibri" w:cs="Calibri"/>
          <w:szCs w:val="22"/>
        </w:rPr>
        <w:t xml:space="preserve">je </w:t>
      </w:r>
      <w:r w:rsidR="00D63454">
        <w:rPr>
          <w:rFonts w:ascii="Calibri" w:hAnsi="Calibri" w:cs="Calibri"/>
          <w:szCs w:val="22"/>
        </w:rPr>
        <w:t>1</w:t>
      </w:r>
      <w:r w:rsidR="00650216" w:rsidRPr="00EC7A57">
        <w:rPr>
          <w:rFonts w:ascii="Calibri" w:hAnsi="Calibri" w:cs="Calibri"/>
          <w:szCs w:val="22"/>
        </w:rPr>
        <w:t>,</w:t>
      </w:r>
      <w:r w:rsidR="00D63454">
        <w:rPr>
          <w:rFonts w:ascii="Calibri" w:hAnsi="Calibri" w:cs="Calibri"/>
          <w:szCs w:val="22"/>
        </w:rPr>
        <w:t>4</w:t>
      </w:r>
      <w:r w:rsidR="00764D28">
        <w:rPr>
          <w:rFonts w:ascii="Calibri" w:hAnsi="Calibri" w:cs="Calibri"/>
          <w:szCs w:val="22"/>
        </w:rPr>
        <w:t>7</w:t>
      </w:r>
      <w:r w:rsidR="004A31FD">
        <w:rPr>
          <w:rFonts w:ascii="Calibri" w:hAnsi="Calibri" w:cs="Calibri"/>
          <w:szCs w:val="22"/>
        </w:rPr>
        <w:t xml:space="preserve"> </w:t>
      </w:r>
      <w:r w:rsidR="00B57A7C" w:rsidRPr="00EC7A57">
        <w:rPr>
          <w:rFonts w:ascii="Calibri" w:hAnsi="Calibri" w:cs="Calibri"/>
          <w:szCs w:val="22"/>
        </w:rPr>
        <w:t>milijardi kuna</w:t>
      </w:r>
    </w:p>
    <w:p w:rsidR="0030681C" w:rsidRPr="00EC7A57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Dobit iz osnovne djelatnosti</w:t>
      </w:r>
      <w:r w:rsidR="00B57A7C" w:rsidRPr="00EC7A57">
        <w:rPr>
          <w:rFonts w:ascii="Calibri" w:hAnsi="Calibri" w:cs="Calibri"/>
          <w:szCs w:val="22"/>
        </w:rPr>
        <w:t xml:space="preserve"> </w:t>
      </w:r>
      <w:r w:rsidR="0030681C" w:rsidRPr="00EC7A57">
        <w:rPr>
          <w:rFonts w:ascii="Calibri" w:hAnsi="Calibri" w:cs="Calibri"/>
          <w:szCs w:val="22"/>
        </w:rPr>
        <w:t xml:space="preserve">iznosila je </w:t>
      </w:r>
      <w:r w:rsidR="00F004EB">
        <w:rPr>
          <w:rFonts w:ascii="Calibri" w:hAnsi="Calibri" w:cs="Calibri"/>
          <w:szCs w:val="22"/>
        </w:rPr>
        <w:t>534</w:t>
      </w:r>
      <w:r w:rsidR="00D63454">
        <w:rPr>
          <w:rFonts w:ascii="Calibri" w:hAnsi="Calibri" w:cs="Calibri"/>
          <w:szCs w:val="22"/>
        </w:rPr>
        <w:t xml:space="preserve"> </w:t>
      </w:r>
      <w:r w:rsidR="0030681C" w:rsidRPr="00EC7A57">
        <w:rPr>
          <w:rFonts w:ascii="Calibri" w:hAnsi="Calibri" w:cs="Calibri"/>
          <w:szCs w:val="22"/>
        </w:rPr>
        <w:t>milijuna kuna</w:t>
      </w:r>
    </w:p>
    <w:p w:rsidR="0030681C" w:rsidRPr="00EC7A57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C7A57">
        <w:rPr>
          <w:rFonts w:ascii="Calibri" w:hAnsi="Calibri" w:cs="Calibri"/>
          <w:szCs w:val="22"/>
        </w:rPr>
        <w:t xml:space="preserve">Neto dobit iznosila je </w:t>
      </w:r>
      <w:r w:rsidR="00D63454">
        <w:rPr>
          <w:rFonts w:ascii="Calibri" w:hAnsi="Calibri" w:cs="Calibri"/>
          <w:szCs w:val="22"/>
        </w:rPr>
        <w:t>3</w:t>
      </w:r>
      <w:r w:rsidR="00F004EB">
        <w:rPr>
          <w:rFonts w:ascii="Calibri" w:hAnsi="Calibri" w:cs="Calibri"/>
          <w:szCs w:val="22"/>
        </w:rPr>
        <w:t>72</w:t>
      </w:r>
      <w:r w:rsidR="00650216" w:rsidRPr="00EC7A57">
        <w:rPr>
          <w:rFonts w:ascii="Calibri" w:hAnsi="Calibri" w:cs="Calibri"/>
          <w:szCs w:val="22"/>
        </w:rPr>
        <w:t xml:space="preserve"> </w:t>
      </w:r>
      <w:r w:rsidR="00B57A7C" w:rsidRPr="00EC7A57">
        <w:rPr>
          <w:rFonts w:ascii="Calibri" w:hAnsi="Calibri" w:cs="Calibri"/>
          <w:szCs w:val="22"/>
        </w:rPr>
        <w:t>milijuna kuna</w:t>
      </w:r>
    </w:p>
    <w:p w:rsidR="0030681C" w:rsidRPr="00EC7A57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C7A57">
        <w:rPr>
          <w:rFonts w:ascii="Calibri" w:hAnsi="Calibri" w:cs="Calibri"/>
          <w:szCs w:val="22"/>
        </w:rPr>
        <w:t xml:space="preserve">Kapitalna ulaganja </w:t>
      </w:r>
      <w:r w:rsidR="00F40017" w:rsidRPr="00EC7A57">
        <w:rPr>
          <w:rFonts w:ascii="Calibri" w:hAnsi="Calibri" w:cs="Calibri"/>
          <w:szCs w:val="22"/>
        </w:rPr>
        <w:t xml:space="preserve">dosegla su </w:t>
      </w:r>
      <w:r w:rsidR="00D63454">
        <w:rPr>
          <w:rFonts w:ascii="Calibri" w:hAnsi="Calibri" w:cs="Calibri"/>
          <w:szCs w:val="22"/>
        </w:rPr>
        <w:t>665 milijuna kuna</w:t>
      </w:r>
      <w:r w:rsidR="00DD59E9">
        <w:rPr>
          <w:rFonts w:ascii="Calibri" w:hAnsi="Calibri" w:cs="Calibri"/>
          <w:szCs w:val="22"/>
        </w:rPr>
        <w:t xml:space="preserve">, što predstavlja </w:t>
      </w:r>
      <w:r w:rsidR="00C67DEB">
        <w:rPr>
          <w:rFonts w:ascii="Calibri" w:hAnsi="Calibri" w:cs="Calibri"/>
          <w:szCs w:val="22"/>
        </w:rPr>
        <w:t xml:space="preserve">povećanje od 33% u odnosu na </w:t>
      </w:r>
      <w:r w:rsidR="00D14EF6">
        <w:rPr>
          <w:rFonts w:ascii="Calibri" w:hAnsi="Calibri" w:cs="Calibri"/>
          <w:szCs w:val="22"/>
        </w:rPr>
        <w:t xml:space="preserve">isto razdoblje </w:t>
      </w:r>
      <w:r w:rsidR="00C67DEB">
        <w:rPr>
          <w:rFonts w:ascii="Calibri" w:hAnsi="Calibri" w:cs="Calibri"/>
          <w:szCs w:val="22"/>
        </w:rPr>
        <w:t>prošl</w:t>
      </w:r>
      <w:r w:rsidR="00D14EF6">
        <w:rPr>
          <w:rFonts w:ascii="Calibri" w:hAnsi="Calibri" w:cs="Calibri"/>
          <w:szCs w:val="22"/>
        </w:rPr>
        <w:t>e</w:t>
      </w:r>
      <w:r w:rsidR="00C67DEB">
        <w:rPr>
          <w:rFonts w:ascii="Calibri" w:hAnsi="Calibri" w:cs="Calibri"/>
          <w:szCs w:val="22"/>
        </w:rPr>
        <w:t xml:space="preserve"> godin</w:t>
      </w:r>
      <w:r w:rsidR="00D14EF6">
        <w:rPr>
          <w:rFonts w:ascii="Calibri" w:hAnsi="Calibri" w:cs="Calibri"/>
          <w:szCs w:val="22"/>
        </w:rPr>
        <w:t>e</w:t>
      </w:r>
      <w:r w:rsidR="00C67DEB">
        <w:rPr>
          <w:rFonts w:ascii="Calibri" w:hAnsi="Calibri" w:cs="Calibri"/>
          <w:szCs w:val="22"/>
        </w:rPr>
        <w:t xml:space="preserve"> </w:t>
      </w:r>
    </w:p>
    <w:p w:rsidR="00D63454" w:rsidRPr="00D63454" w:rsidRDefault="00D63454" w:rsidP="00D6345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D63454">
        <w:rPr>
          <w:rFonts w:ascii="Calibri" w:hAnsi="Calibri" w:cs="Calibri"/>
          <w:szCs w:val="22"/>
        </w:rPr>
        <w:t>Omjer duga i kapita</w:t>
      </w:r>
      <w:r>
        <w:rPr>
          <w:rFonts w:ascii="Calibri" w:hAnsi="Calibri" w:cs="Calibri"/>
          <w:szCs w:val="22"/>
        </w:rPr>
        <w:t>la smanjen je sa 25.8% na 24.</w:t>
      </w:r>
      <w:r w:rsidR="00F004EB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 xml:space="preserve">%, a </w:t>
      </w:r>
      <w:r w:rsidR="001240B6">
        <w:rPr>
          <w:rFonts w:ascii="Calibri" w:hAnsi="Calibri" w:cs="Calibri"/>
          <w:szCs w:val="22"/>
        </w:rPr>
        <w:t xml:space="preserve">operativni </w:t>
      </w:r>
      <w:r>
        <w:rPr>
          <w:rFonts w:ascii="Calibri" w:hAnsi="Calibri" w:cs="Calibri"/>
          <w:szCs w:val="22"/>
        </w:rPr>
        <w:t>n</w:t>
      </w:r>
      <w:r w:rsidR="001240B6">
        <w:rPr>
          <w:rFonts w:ascii="Calibri" w:hAnsi="Calibri" w:cs="Calibri"/>
          <w:szCs w:val="22"/>
        </w:rPr>
        <w:t>ovčani to</w:t>
      </w:r>
      <w:r w:rsidRPr="00D63454">
        <w:rPr>
          <w:rFonts w:ascii="Calibri" w:hAnsi="Calibri" w:cs="Calibri"/>
          <w:szCs w:val="22"/>
        </w:rPr>
        <w:t xml:space="preserve">k </w:t>
      </w:r>
      <w:r w:rsidR="00D14EF6">
        <w:rPr>
          <w:rFonts w:ascii="Calibri" w:hAnsi="Calibri" w:cs="Calibri"/>
          <w:szCs w:val="22"/>
        </w:rPr>
        <w:t>iznosi</w:t>
      </w:r>
      <w:r w:rsidRPr="00D63454">
        <w:rPr>
          <w:rFonts w:ascii="Calibri" w:hAnsi="Calibri" w:cs="Calibri"/>
          <w:szCs w:val="22"/>
        </w:rPr>
        <w:t xml:space="preserve"> 1,184 milijarde kuna</w:t>
      </w:r>
      <w:r>
        <w:rPr>
          <w:rFonts w:ascii="Calibri" w:hAnsi="Calibri" w:cs="Calibri"/>
          <w:szCs w:val="22"/>
        </w:rPr>
        <w:t>, dok je n</w:t>
      </w:r>
      <w:r w:rsidRPr="00D63454">
        <w:rPr>
          <w:rFonts w:ascii="Calibri" w:hAnsi="Calibri" w:cs="Calibri"/>
          <w:szCs w:val="22"/>
        </w:rPr>
        <w:t xml:space="preserve">eto zaduženost pala za 18%  </w:t>
      </w:r>
    </w:p>
    <w:p w:rsidR="00D63454" w:rsidRDefault="00D63454" w:rsidP="002470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INA je po prvi put u posljednjih deset godina zabilježila povećanje proizvodnje sa starih domaćih polja</w:t>
      </w:r>
    </w:p>
    <w:p w:rsidR="002470B8" w:rsidRPr="00EC7A57" w:rsidRDefault="002470B8" w:rsidP="002470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EC7A57">
        <w:rPr>
          <w:rFonts w:ascii="Calibri" w:hAnsi="Calibri" w:cs="Calibri"/>
          <w:szCs w:val="22"/>
        </w:rPr>
        <w:t>Negativno rafinerijsko okruženje</w:t>
      </w:r>
      <w:r w:rsidR="00C67DEB">
        <w:rPr>
          <w:rFonts w:ascii="Calibri" w:hAnsi="Calibri" w:cs="Calibri"/>
          <w:szCs w:val="22"/>
        </w:rPr>
        <w:t xml:space="preserve"> i</w:t>
      </w:r>
      <w:r w:rsidRPr="00EC7A57">
        <w:rPr>
          <w:rFonts w:ascii="Calibri" w:hAnsi="Calibri" w:cs="Calibri"/>
          <w:szCs w:val="22"/>
        </w:rPr>
        <w:t xml:space="preserve"> niža prosječna rafinerijska marža za 2</w:t>
      </w:r>
      <w:r w:rsidR="00C67DEB">
        <w:rPr>
          <w:rFonts w:ascii="Calibri" w:hAnsi="Calibri" w:cs="Calibri"/>
          <w:szCs w:val="22"/>
        </w:rPr>
        <w:t>2</w:t>
      </w:r>
      <w:r w:rsidRPr="00EC7A57">
        <w:rPr>
          <w:rFonts w:ascii="Calibri" w:hAnsi="Calibri" w:cs="Calibri"/>
          <w:szCs w:val="22"/>
        </w:rPr>
        <w:t>%</w:t>
      </w:r>
      <w:r w:rsidR="00C67DEB">
        <w:rPr>
          <w:rFonts w:ascii="Calibri" w:hAnsi="Calibri" w:cs="Calibri"/>
          <w:szCs w:val="22"/>
        </w:rPr>
        <w:t xml:space="preserve"> imali su negativno posljedice na rafinerijsko poslovanje, baš kao i u 2013.</w:t>
      </w:r>
    </w:p>
    <w:p w:rsidR="0030681C" w:rsidRDefault="00C67DEB" w:rsidP="0030681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Regulatorne promjene (povećanje naknada za eksploataciju s 5</w:t>
      </w:r>
      <w:r w:rsidR="00764D28">
        <w:rPr>
          <w:rFonts w:ascii="Calibri" w:hAnsi="Calibri" w:cs="Calibri"/>
          <w:szCs w:val="22"/>
        </w:rPr>
        <w:t>%</w:t>
      </w:r>
      <w:r>
        <w:rPr>
          <w:rFonts w:ascii="Calibri" w:hAnsi="Calibri" w:cs="Calibri"/>
          <w:szCs w:val="22"/>
        </w:rPr>
        <w:t xml:space="preserve"> na 10% i preuzimanje distribucije plina kućanstvima od strane HEP-a te prisilna prodaja Ininog plina iz skladišta </w:t>
      </w:r>
      <w:proofErr w:type="spellStart"/>
      <w:r>
        <w:rPr>
          <w:rFonts w:ascii="Calibri" w:hAnsi="Calibri" w:cs="Calibri"/>
          <w:szCs w:val="22"/>
        </w:rPr>
        <w:t>Okoli</w:t>
      </w:r>
      <w:proofErr w:type="spellEnd"/>
      <w:r>
        <w:rPr>
          <w:rFonts w:ascii="Calibri" w:hAnsi="Calibri" w:cs="Calibri"/>
          <w:szCs w:val="22"/>
        </w:rPr>
        <w:t xml:space="preserve">) imali su izravne financijske posljedice za Inu  </w:t>
      </w:r>
    </w:p>
    <w:p w:rsidR="00F46F38" w:rsidRPr="00EC7A57" w:rsidRDefault="00F46F38" w:rsidP="0030681C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Gubici Prirodnog plina dosegnuli su </w:t>
      </w:r>
      <w:r w:rsidR="00F004EB">
        <w:rPr>
          <w:rFonts w:ascii="Calibri" w:hAnsi="Calibri" w:cs="Calibri"/>
          <w:szCs w:val="22"/>
        </w:rPr>
        <w:t>497</w:t>
      </w:r>
      <w:r>
        <w:rPr>
          <w:rFonts w:ascii="Calibri" w:hAnsi="Calibri" w:cs="Calibri"/>
          <w:szCs w:val="22"/>
        </w:rPr>
        <w:t xml:space="preserve"> milijuna kuna zbog regulirane cijene plina i utjecaja spomenute prisilne prodaje plina </w:t>
      </w:r>
    </w:p>
    <w:p w:rsidR="002470B8" w:rsidRDefault="002470B8" w:rsidP="002470B8">
      <w:pPr>
        <w:autoSpaceDE w:val="0"/>
        <w:autoSpaceDN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1C061D" w:rsidRPr="00BE359B" w:rsidRDefault="00B57A7C" w:rsidP="00BE359B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  <w:r w:rsidRPr="00BE359B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  <w:t>Kapitalna ulaganja</w:t>
      </w:r>
    </w:p>
    <w:p w:rsidR="00F40017" w:rsidRDefault="00BE359B" w:rsidP="00B57A7C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color w:val="808080"/>
          <w:kern w:val="24"/>
          <w:sz w:val="21"/>
          <w:szCs w:val="21"/>
        </w:rPr>
      </w:pPr>
      <w:r>
        <w:rPr>
          <w:rFonts w:ascii="Calibri" w:eastAsia="MS PGothic" w:hAnsi="Calibri" w:cs="MS PGothic"/>
          <w:color w:val="808080"/>
          <w:kern w:val="24"/>
          <w:sz w:val="21"/>
          <w:szCs w:val="21"/>
        </w:rPr>
        <w:t xml:space="preserve">     </w:t>
      </w:r>
      <w:r w:rsidR="00B57A7C" w:rsidRPr="00BE359B">
        <w:rPr>
          <w:rFonts w:ascii="Calibri" w:eastAsia="MS PGothic" w:hAnsi="Calibri" w:cs="MS PGothic"/>
          <w:color w:val="808080"/>
          <w:kern w:val="24"/>
          <w:sz w:val="21"/>
          <w:szCs w:val="21"/>
        </w:rPr>
        <w:t>(milijuna kuna)</w:t>
      </w:r>
    </w:p>
    <w:p w:rsidR="00B57A7C" w:rsidRDefault="00565133" w:rsidP="00B57A7C">
      <w:pPr>
        <w:tabs>
          <w:tab w:val="left" w:pos="1440"/>
        </w:tabs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7F08505" wp14:editId="512BC724">
            <wp:extent cx="3000375" cy="211931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5133" w:rsidRDefault="00565133" w:rsidP="00B57A7C">
      <w:pPr>
        <w:tabs>
          <w:tab w:val="left" w:pos="1440"/>
        </w:tabs>
        <w:spacing w:line="360" w:lineRule="auto"/>
        <w:jc w:val="both"/>
        <w:rPr>
          <w:noProof/>
          <w:lang w:eastAsia="hr-HR"/>
        </w:rPr>
      </w:pPr>
    </w:p>
    <w:p w:rsidR="0030681C" w:rsidRPr="00BE359B" w:rsidRDefault="0030681C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BE359B">
        <w:rPr>
          <w:rFonts w:ascii="Calibri" w:hAnsi="Calibri" w:cs="Calibri"/>
          <w:b/>
        </w:rPr>
        <w:lastRenderedPageBreak/>
        <w:t xml:space="preserve">Istraživanje i proizvodnja </w:t>
      </w:r>
      <w:r w:rsidRPr="00BE359B">
        <w:rPr>
          <w:rFonts w:ascii="Calibri" w:hAnsi="Calibri" w:cs="Calibri"/>
        </w:rPr>
        <w:t xml:space="preserve">– U </w:t>
      </w:r>
      <w:r w:rsidR="00FB158E">
        <w:rPr>
          <w:rFonts w:ascii="Calibri" w:hAnsi="Calibri" w:cs="Calibri"/>
        </w:rPr>
        <w:t>prvom polugodištu 2014</w:t>
      </w:r>
      <w:r w:rsidRPr="00BE359B">
        <w:rPr>
          <w:rFonts w:ascii="Calibri" w:hAnsi="Calibri" w:cs="Calibri"/>
        </w:rPr>
        <w:t>. godin</w:t>
      </w:r>
      <w:r w:rsidR="00FB158E">
        <w:rPr>
          <w:rFonts w:ascii="Calibri" w:hAnsi="Calibri" w:cs="Calibri"/>
        </w:rPr>
        <w:t>e</w:t>
      </w:r>
      <w:r w:rsidRPr="00BE359B">
        <w:rPr>
          <w:rFonts w:ascii="Calibri" w:hAnsi="Calibri" w:cs="Calibri"/>
        </w:rPr>
        <w:t xml:space="preserve">, </w:t>
      </w:r>
      <w:r w:rsidR="00AE205D">
        <w:rPr>
          <w:rFonts w:ascii="Calibri" w:hAnsi="Calibri" w:cs="Calibri"/>
        </w:rPr>
        <w:t>EBITDA</w:t>
      </w:r>
      <w:r w:rsidR="00D1343E">
        <w:rPr>
          <w:rFonts w:ascii="Calibri" w:hAnsi="Calibri" w:cs="Calibri"/>
        </w:rPr>
        <w:t xml:space="preserve"> </w:t>
      </w:r>
      <w:r w:rsidR="00F46F38">
        <w:rPr>
          <w:rFonts w:ascii="Calibri" w:hAnsi="Calibri" w:cs="Calibri"/>
        </w:rPr>
        <w:t>(bez jednokratnih stavki)</w:t>
      </w:r>
      <w:r w:rsidRPr="00BE359B">
        <w:rPr>
          <w:rFonts w:ascii="Calibri" w:hAnsi="Calibri" w:cs="Calibri"/>
        </w:rPr>
        <w:t xml:space="preserve"> iznosila je </w:t>
      </w:r>
      <w:r w:rsidR="00F46F38">
        <w:rPr>
          <w:rFonts w:ascii="Calibri" w:hAnsi="Calibri" w:cs="Calibri"/>
        </w:rPr>
        <w:t>2</w:t>
      </w:r>
      <w:r w:rsidR="004A31FD">
        <w:rPr>
          <w:rFonts w:ascii="Calibri" w:hAnsi="Calibri" w:cs="Calibri"/>
        </w:rPr>
        <w:t xml:space="preserve"> </w:t>
      </w:r>
      <w:r w:rsidRPr="00BE359B">
        <w:rPr>
          <w:rFonts w:ascii="Calibri" w:hAnsi="Calibri" w:cs="Calibri"/>
        </w:rPr>
        <w:t>milijard</w:t>
      </w:r>
      <w:r w:rsidR="004A31FD">
        <w:rPr>
          <w:rFonts w:ascii="Calibri" w:hAnsi="Calibri" w:cs="Calibri"/>
        </w:rPr>
        <w:t xml:space="preserve">e </w:t>
      </w:r>
      <w:r w:rsidRPr="00BE359B">
        <w:rPr>
          <w:rFonts w:ascii="Calibri" w:hAnsi="Calibri" w:cs="Calibri"/>
        </w:rPr>
        <w:t>kuna</w:t>
      </w:r>
      <w:r w:rsidR="00F46F38">
        <w:rPr>
          <w:rFonts w:ascii="Calibri" w:hAnsi="Calibri" w:cs="Calibri"/>
        </w:rPr>
        <w:t>. U</w:t>
      </w:r>
      <w:r w:rsidR="002E5DFD">
        <w:rPr>
          <w:rFonts w:ascii="Calibri" w:hAnsi="Calibri" w:cs="Calibri"/>
        </w:rPr>
        <w:t xml:space="preserve">laganja </w:t>
      </w:r>
      <w:r w:rsidR="00F46F38">
        <w:rPr>
          <w:rFonts w:ascii="Calibri" w:hAnsi="Calibri" w:cs="Calibri"/>
        </w:rPr>
        <w:t xml:space="preserve">su povećana za čak 34% dosežući 487 milijuna kuna. </w:t>
      </w:r>
    </w:p>
    <w:p w:rsidR="003A0563" w:rsidRDefault="003A0563" w:rsidP="003A0563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4B4AD1" w:rsidRDefault="004B4AD1" w:rsidP="00A0103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Povećana je proizvodnja sirove nafte za 2.6% u odnosu na prvo polugodište 2013.</w:t>
      </w:r>
    </w:p>
    <w:p w:rsidR="004A79BF" w:rsidRDefault="00DD59E9" w:rsidP="00A01034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DD59E9">
        <w:rPr>
          <w:rFonts w:asciiTheme="minorHAnsi" w:hAnsiTheme="minorHAnsi" w:cstheme="minorHAnsi"/>
          <w:szCs w:val="22"/>
          <w:lang w:eastAsia="hr-HR" w:bidi="bn-BD"/>
        </w:rPr>
        <w:t xml:space="preserve">INA je nastavila s trendom ublažavanja pada proizvodnje na postojećim domaćim poljima </w:t>
      </w:r>
    </w:p>
    <w:p w:rsidR="00DD59E9" w:rsidRPr="00DD59E9" w:rsidRDefault="004A79BF" w:rsidP="00A01034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P</w:t>
      </w:r>
      <w:r w:rsidR="00DD59E9" w:rsidRPr="00DD59E9">
        <w:rPr>
          <w:rFonts w:asciiTheme="minorHAnsi" w:hAnsiTheme="minorHAnsi" w:cstheme="minorHAnsi"/>
          <w:szCs w:val="22"/>
          <w:lang w:eastAsia="hr-HR" w:bidi="bn-BD"/>
        </w:rPr>
        <w:t>o prvi put u posljednjih deset godina zabiljež</w:t>
      </w:r>
      <w:r>
        <w:rPr>
          <w:rFonts w:asciiTheme="minorHAnsi" w:hAnsiTheme="minorHAnsi" w:cstheme="minorHAnsi"/>
          <w:szCs w:val="22"/>
          <w:lang w:eastAsia="hr-HR" w:bidi="bn-BD"/>
        </w:rPr>
        <w:t>eno je</w:t>
      </w:r>
      <w:r w:rsidR="00DD59E9" w:rsidRPr="00DD59E9">
        <w:rPr>
          <w:rFonts w:asciiTheme="minorHAnsi" w:hAnsiTheme="minorHAnsi" w:cstheme="minorHAnsi"/>
          <w:szCs w:val="22"/>
          <w:lang w:eastAsia="hr-HR" w:bidi="bn-BD"/>
        </w:rPr>
        <w:t xml:space="preserve"> povećanje proizvodnje s domaćih polja</w:t>
      </w:r>
    </w:p>
    <w:p w:rsidR="004B4AD1" w:rsidRDefault="004B4AD1" w:rsidP="00A01034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Povećanje proizvodnje na domaćim poljima rezultat je projekta 4P</w:t>
      </w:r>
      <w:r w:rsidR="00224F74">
        <w:rPr>
          <w:rFonts w:asciiTheme="minorHAnsi" w:hAnsiTheme="minorHAnsi" w:cstheme="minorHAnsi"/>
          <w:szCs w:val="22"/>
          <w:lang w:eastAsia="hr-HR" w:bidi="bn-BD"/>
        </w:rPr>
        <w:t xml:space="preserve"> (4P – </w:t>
      </w:r>
      <w:r w:rsidR="00224F74" w:rsidRPr="00136D92">
        <w:rPr>
          <w:rFonts w:asciiTheme="minorHAnsi" w:hAnsiTheme="minorHAnsi" w:cstheme="minorHAnsi"/>
          <w:b/>
          <w:szCs w:val="22"/>
          <w:lang w:eastAsia="hr-HR" w:bidi="bn-BD"/>
        </w:rPr>
        <w:t>p</w:t>
      </w:r>
      <w:r w:rsidR="00224F74">
        <w:rPr>
          <w:rFonts w:asciiTheme="minorHAnsi" w:hAnsiTheme="minorHAnsi" w:cstheme="minorHAnsi"/>
          <w:szCs w:val="22"/>
          <w:lang w:eastAsia="hr-HR" w:bidi="bn-BD"/>
        </w:rPr>
        <w:t xml:space="preserve">ovećanje </w:t>
      </w:r>
      <w:r w:rsidR="00224F74" w:rsidRPr="00136D92">
        <w:rPr>
          <w:rFonts w:asciiTheme="minorHAnsi" w:hAnsiTheme="minorHAnsi" w:cstheme="minorHAnsi"/>
          <w:b/>
          <w:szCs w:val="22"/>
          <w:lang w:eastAsia="hr-HR" w:bidi="bn-BD"/>
        </w:rPr>
        <w:t>p</w:t>
      </w:r>
      <w:r w:rsidR="00224F74">
        <w:rPr>
          <w:rFonts w:asciiTheme="minorHAnsi" w:hAnsiTheme="minorHAnsi" w:cstheme="minorHAnsi"/>
          <w:szCs w:val="22"/>
          <w:lang w:eastAsia="hr-HR" w:bidi="bn-BD"/>
        </w:rPr>
        <w:t xml:space="preserve">roizvodnje na </w:t>
      </w:r>
      <w:r w:rsidR="00224F74" w:rsidRPr="00136D92">
        <w:rPr>
          <w:rFonts w:asciiTheme="minorHAnsi" w:hAnsiTheme="minorHAnsi" w:cstheme="minorHAnsi"/>
          <w:b/>
          <w:szCs w:val="22"/>
          <w:lang w:eastAsia="hr-HR" w:bidi="bn-BD"/>
        </w:rPr>
        <w:t>p</w:t>
      </w:r>
      <w:r w:rsidR="00224F74">
        <w:rPr>
          <w:rFonts w:asciiTheme="minorHAnsi" w:hAnsiTheme="minorHAnsi" w:cstheme="minorHAnsi"/>
          <w:szCs w:val="22"/>
          <w:lang w:eastAsia="hr-HR" w:bidi="bn-BD"/>
        </w:rPr>
        <w:t xml:space="preserve">ostojećim </w:t>
      </w:r>
      <w:r w:rsidR="00224F74" w:rsidRPr="00136D92">
        <w:rPr>
          <w:rFonts w:asciiTheme="minorHAnsi" w:hAnsiTheme="minorHAnsi" w:cstheme="minorHAnsi"/>
          <w:b/>
          <w:szCs w:val="22"/>
          <w:lang w:eastAsia="hr-HR" w:bidi="bn-BD"/>
        </w:rPr>
        <w:t>p</w:t>
      </w:r>
      <w:r w:rsidR="00224F74">
        <w:rPr>
          <w:rFonts w:asciiTheme="minorHAnsi" w:hAnsiTheme="minorHAnsi" w:cstheme="minorHAnsi"/>
          <w:szCs w:val="22"/>
          <w:lang w:eastAsia="hr-HR" w:bidi="bn-BD"/>
        </w:rPr>
        <w:t>oljima)</w:t>
      </w:r>
      <w:r>
        <w:rPr>
          <w:rFonts w:asciiTheme="minorHAnsi" w:hAnsiTheme="minorHAnsi" w:cstheme="minorHAnsi"/>
          <w:szCs w:val="22"/>
          <w:lang w:eastAsia="hr-HR" w:bidi="bn-BD"/>
        </w:rPr>
        <w:t xml:space="preserve"> kojim se nastoji povećati iscrpak s postojećih starih polja, kao i proizvodnje s nekoliko novih bušotina</w:t>
      </w:r>
    </w:p>
    <w:p w:rsidR="004B4AD1" w:rsidRDefault="00017CBB" w:rsidP="00A01034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Z</w:t>
      </w:r>
      <w:r w:rsidR="004B4AD1">
        <w:rPr>
          <w:rFonts w:asciiTheme="minorHAnsi" w:hAnsiTheme="minorHAnsi" w:cstheme="minorHAnsi"/>
          <w:szCs w:val="22"/>
          <w:lang w:eastAsia="hr-HR" w:bidi="bn-BD"/>
        </w:rPr>
        <w:t xml:space="preserve">abilježeno je </w:t>
      </w:r>
      <w:r>
        <w:rPr>
          <w:rFonts w:asciiTheme="minorHAnsi" w:hAnsiTheme="minorHAnsi" w:cstheme="minorHAnsi"/>
          <w:szCs w:val="22"/>
          <w:lang w:eastAsia="hr-HR" w:bidi="bn-BD"/>
        </w:rPr>
        <w:t xml:space="preserve">ukupno </w:t>
      </w:r>
      <w:r w:rsidR="004B4AD1">
        <w:rPr>
          <w:rFonts w:asciiTheme="minorHAnsi" w:hAnsiTheme="minorHAnsi" w:cstheme="minorHAnsi"/>
          <w:szCs w:val="22"/>
          <w:lang w:eastAsia="hr-HR" w:bidi="bn-BD"/>
        </w:rPr>
        <w:t xml:space="preserve">povećanje proizvodnje </w:t>
      </w:r>
      <w:r>
        <w:rPr>
          <w:rFonts w:asciiTheme="minorHAnsi" w:hAnsiTheme="minorHAnsi" w:cstheme="minorHAnsi"/>
          <w:szCs w:val="22"/>
          <w:lang w:eastAsia="hr-HR" w:bidi="bn-BD"/>
        </w:rPr>
        <w:t>ugljikovodika z</w:t>
      </w:r>
      <w:r w:rsidR="004B4AD1">
        <w:rPr>
          <w:rFonts w:asciiTheme="minorHAnsi" w:hAnsiTheme="minorHAnsi" w:cstheme="minorHAnsi"/>
          <w:szCs w:val="22"/>
          <w:lang w:eastAsia="hr-HR" w:bidi="bn-BD"/>
        </w:rPr>
        <w:t xml:space="preserve">a </w:t>
      </w:r>
      <w:r>
        <w:rPr>
          <w:rFonts w:asciiTheme="minorHAnsi" w:hAnsiTheme="minorHAnsi" w:cstheme="minorHAnsi"/>
          <w:szCs w:val="22"/>
          <w:lang w:eastAsia="hr-HR" w:bidi="bn-BD"/>
        </w:rPr>
        <w:t>3</w:t>
      </w:r>
      <w:r w:rsidR="004B4AD1">
        <w:rPr>
          <w:rFonts w:asciiTheme="minorHAnsi" w:hAnsiTheme="minorHAnsi" w:cstheme="minorHAnsi"/>
          <w:szCs w:val="22"/>
          <w:lang w:eastAsia="hr-HR" w:bidi="bn-BD"/>
        </w:rPr>
        <w:t xml:space="preserve">% </w:t>
      </w:r>
    </w:p>
    <w:p w:rsidR="00F46F38" w:rsidRDefault="002E5DFD" w:rsidP="00A0103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EC7A57">
        <w:rPr>
          <w:rFonts w:asciiTheme="minorHAnsi" w:hAnsiTheme="minorHAnsi" w:cstheme="minorHAnsi"/>
          <w:szCs w:val="22"/>
          <w:lang w:eastAsia="hr-HR" w:bidi="bn-BD"/>
        </w:rPr>
        <w:t xml:space="preserve">Rezultat poslovanja segmenta Istraživanje i proizvodnja </w:t>
      </w:r>
      <w:r w:rsidR="00833335" w:rsidRPr="00EC7A57">
        <w:rPr>
          <w:rFonts w:asciiTheme="minorHAnsi" w:hAnsiTheme="minorHAnsi" w:cstheme="minorHAnsi"/>
          <w:szCs w:val="22"/>
          <w:lang w:eastAsia="hr-HR" w:bidi="bn-BD"/>
        </w:rPr>
        <w:t xml:space="preserve">niži </w:t>
      </w:r>
      <w:r w:rsidRPr="00EC7A57">
        <w:rPr>
          <w:rFonts w:asciiTheme="minorHAnsi" w:hAnsiTheme="minorHAnsi" w:cstheme="minorHAnsi"/>
          <w:szCs w:val="22"/>
          <w:lang w:eastAsia="hr-HR" w:bidi="bn-BD"/>
        </w:rPr>
        <w:t xml:space="preserve">je u odnosu na prethodnu godinu </w:t>
      </w:r>
      <w:r w:rsidR="003701C8" w:rsidRPr="00EC7A57">
        <w:rPr>
          <w:rFonts w:asciiTheme="minorHAnsi" w:hAnsiTheme="minorHAnsi" w:cstheme="minorHAnsi"/>
          <w:szCs w:val="22"/>
          <w:lang w:eastAsia="hr-HR" w:bidi="bn-BD"/>
        </w:rPr>
        <w:t xml:space="preserve">zbog </w:t>
      </w:r>
      <w:r w:rsidRPr="00EC7A57">
        <w:rPr>
          <w:rFonts w:asciiTheme="minorHAnsi" w:hAnsiTheme="minorHAnsi" w:cstheme="minorHAnsi"/>
          <w:szCs w:val="22"/>
          <w:lang w:eastAsia="hr-HR" w:bidi="bn-BD"/>
        </w:rPr>
        <w:t xml:space="preserve">smanjene proizvodnje ugljikovodika </w:t>
      </w:r>
      <w:r w:rsidR="00F46F38">
        <w:rPr>
          <w:rFonts w:asciiTheme="minorHAnsi" w:hAnsiTheme="minorHAnsi" w:cstheme="minorHAnsi"/>
          <w:szCs w:val="22"/>
          <w:lang w:eastAsia="hr-HR" w:bidi="bn-BD"/>
        </w:rPr>
        <w:t xml:space="preserve">i niže cijene prirodnog plina </w:t>
      </w:r>
      <w:r w:rsidR="00224F74">
        <w:rPr>
          <w:rFonts w:asciiTheme="minorHAnsi" w:hAnsiTheme="minorHAnsi" w:cstheme="minorHAnsi"/>
          <w:szCs w:val="22"/>
          <w:lang w:eastAsia="hr-HR" w:bidi="bn-BD"/>
        </w:rPr>
        <w:t xml:space="preserve">za tarifne kupce (kućanstva) </w:t>
      </w:r>
      <w:r w:rsidR="00F46F38">
        <w:rPr>
          <w:rFonts w:asciiTheme="minorHAnsi" w:hAnsiTheme="minorHAnsi" w:cstheme="minorHAnsi"/>
          <w:szCs w:val="22"/>
          <w:lang w:eastAsia="hr-HR" w:bidi="bn-BD"/>
        </w:rPr>
        <w:t>uslijed regulatornih promjena. Dodatno opterećenje za I&amp;P predstavljalo je povećanje naknade za eksploataciju s 5</w:t>
      </w:r>
      <w:r w:rsidR="00764D28">
        <w:rPr>
          <w:rFonts w:asciiTheme="minorHAnsi" w:hAnsiTheme="minorHAnsi" w:cstheme="minorHAnsi"/>
          <w:szCs w:val="22"/>
          <w:lang w:eastAsia="hr-HR" w:bidi="bn-BD"/>
        </w:rPr>
        <w:t>%</w:t>
      </w:r>
      <w:r w:rsidR="00F46F38">
        <w:rPr>
          <w:rFonts w:asciiTheme="minorHAnsi" w:hAnsiTheme="minorHAnsi" w:cstheme="minorHAnsi"/>
          <w:szCs w:val="22"/>
          <w:lang w:eastAsia="hr-HR" w:bidi="bn-BD"/>
        </w:rPr>
        <w:t xml:space="preserve"> na 10%. </w:t>
      </w:r>
    </w:p>
    <w:p w:rsidR="004B4AD1" w:rsidRDefault="00F46F38" w:rsidP="00A0103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 xml:space="preserve">Prisilna prodaja Ininog plina iz podzemnog skladišta </w:t>
      </w:r>
      <w:proofErr w:type="spellStart"/>
      <w:r>
        <w:rPr>
          <w:rFonts w:asciiTheme="minorHAnsi" w:hAnsiTheme="minorHAnsi" w:cstheme="minorHAnsi"/>
          <w:szCs w:val="22"/>
          <w:lang w:eastAsia="hr-HR" w:bidi="bn-BD"/>
        </w:rPr>
        <w:t>Okoli</w:t>
      </w:r>
      <w:proofErr w:type="spellEnd"/>
      <w:r w:rsidR="004B4AD1">
        <w:rPr>
          <w:rFonts w:asciiTheme="minorHAnsi" w:hAnsiTheme="minorHAnsi" w:cstheme="minorHAnsi"/>
          <w:szCs w:val="22"/>
          <w:lang w:eastAsia="hr-HR" w:bidi="bn-BD"/>
        </w:rPr>
        <w:t xml:space="preserve"> i regulirana cijena plina nanijeli su financijsku štetu Prirodnom plinu u iznosu od </w:t>
      </w:r>
      <w:r w:rsidR="00F004EB">
        <w:rPr>
          <w:rFonts w:asciiTheme="minorHAnsi" w:hAnsiTheme="minorHAnsi" w:cstheme="minorHAnsi"/>
          <w:szCs w:val="22"/>
          <w:lang w:eastAsia="hr-HR" w:bidi="bn-BD"/>
        </w:rPr>
        <w:t>497</w:t>
      </w:r>
      <w:r w:rsidR="004B4AD1" w:rsidRPr="00F46F38">
        <w:rPr>
          <w:rFonts w:asciiTheme="minorHAnsi" w:hAnsiTheme="minorHAnsi" w:cstheme="minorHAnsi"/>
          <w:szCs w:val="22"/>
          <w:lang w:eastAsia="hr-HR" w:bidi="bn-BD"/>
        </w:rPr>
        <w:t xml:space="preserve"> milijuna kuna</w:t>
      </w:r>
    </w:p>
    <w:p w:rsidR="004A5EAF" w:rsidRDefault="004A5EAF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2470B8" w:rsidRPr="00D14EF6" w:rsidRDefault="002470B8" w:rsidP="00813CA6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</w:p>
    <w:p w:rsidR="004A5EAF" w:rsidRPr="004A79BF" w:rsidRDefault="004A79BF" w:rsidP="00813CA6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6AA8C82E" wp14:editId="681470BD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70EA" w:rsidRPr="004A79BF" w:rsidRDefault="00EC70EA" w:rsidP="00813CA6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</w:p>
    <w:p w:rsidR="004A5EAF" w:rsidRDefault="004A5EAF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4A5EAF" w:rsidRDefault="004A5EAF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EC70EA" w:rsidRDefault="00EC70EA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EC70EA" w:rsidRDefault="00EC70EA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EC70EA" w:rsidRDefault="00EC70EA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EC70EA" w:rsidRDefault="00EC70EA" w:rsidP="00813CA6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383CEC" w:rsidRPr="004A79BF" w:rsidRDefault="002E5DFD" w:rsidP="004A79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4A79BF">
        <w:rPr>
          <w:rFonts w:asciiTheme="minorHAnsi" w:hAnsiTheme="minorHAnsi" w:cstheme="minorHAnsi"/>
          <w:b/>
          <w:szCs w:val="22"/>
          <w:lang w:eastAsia="hr-HR" w:bidi="bn-BD"/>
        </w:rPr>
        <w:lastRenderedPageBreak/>
        <w:t>Kapitalna ulaganja</w:t>
      </w:r>
      <w:r w:rsidRPr="004A79BF">
        <w:rPr>
          <w:rFonts w:asciiTheme="minorHAnsi" w:hAnsiTheme="minorHAnsi" w:cstheme="minorHAnsi"/>
          <w:szCs w:val="22"/>
          <w:lang w:eastAsia="hr-HR" w:bidi="bn-BD"/>
        </w:rPr>
        <w:t xml:space="preserve"> segmenta Istraživanje i proizvodnja u </w:t>
      </w:r>
      <w:r w:rsidR="004A31FD" w:rsidRPr="004A79BF">
        <w:rPr>
          <w:rFonts w:asciiTheme="minorHAnsi" w:hAnsiTheme="minorHAnsi" w:cstheme="minorHAnsi"/>
          <w:szCs w:val="22"/>
          <w:lang w:eastAsia="hr-HR" w:bidi="bn-BD"/>
        </w:rPr>
        <w:t>prvom polugodištu 2014. i</w:t>
      </w:r>
      <w:r w:rsidR="00383CEC" w:rsidRPr="004A79BF">
        <w:rPr>
          <w:rFonts w:asciiTheme="minorHAnsi" w:hAnsiTheme="minorHAnsi" w:cstheme="minorHAnsi"/>
          <w:szCs w:val="22"/>
          <w:lang w:eastAsia="hr-HR" w:bidi="bn-BD"/>
        </w:rPr>
        <w:t>znosila su 487 milijuna kuna</w:t>
      </w:r>
      <w:r w:rsidR="003578D0">
        <w:rPr>
          <w:rFonts w:asciiTheme="minorHAnsi" w:hAnsiTheme="minorHAnsi" w:cstheme="minorHAnsi"/>
          <w:szCs w:val="22"/>
          <w:lang w:eastAsia="hr-HR" w:bidi="bn-BD"/>
        </w:rPr>
        <w:t>:</w:t>
      </w:r>
    </w:p>
    <w:p w:rsidR="00383CEC" w:rsidRDefault="00383CEC" w:rsidP="00383CEC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Gotovo 440 milijuna kuna uloženo je u domaće projekte</w:t>
      </w:r>
    </w:p>
    <w:p w:rsidR="00383CEC" w:rsidRDefault="00383CEC" w:rsidP="00383CEC">
      <w:pPr>
        <w:pStyle w:val="ListParagraph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>
        <w:rPr>
          <w:rFonts w:asciiTheme="minorHAnsi" w:hAnsiTheme="minorHAnsi" w:cstheme="minorHAnsi"/>
          <w:szCs w:val="22"/>
          <w:lang w:eastAsia="hr-HR" w:bidi="bn-BD"/>
        </w:rPr>
        <w:t>Ostatak je uložen u inozemne projekte (Egipat)</w:t>
      </w:r>
    </w:p>
    <w:p w:rsidR="00383CEC" w:rsidRDefault="002E5DFD" w:rsidP="00383CE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383CEC">
        <w:rPr>
          <w:rFonts w:asciiTheme="minorHAnsi" w:hAnsiTheme="minorHAnsi" w:cstheme="minorHAnsi"/>
          <w:szCs w:val="22"/>
          <w:lang w:eastAsia="hr-HR" w:bidi="bn-BD"/>
        </w:rPr>
        <w:t xml:space="preserve">U usporedbi s </w:t>
      </w:r>
      <w:r w:rsidR="00383CEC">
        <w:rPr>
          <w:rFonts w:asciiTheme="minorHAnsi" w:hAnsiTheme="minorHAnsi" w:cstheme="minorHAnsi"/>
          <w:szCs w:val="22"/>
          <w:lang w:eastAsia="hr-HR" w:bidi="bn-BD"/>
        </w:rPr>
        <w:t>istim razdobljem prošle godine zabilježen je porast ulaganja za 34%</w:t>
      </w:r>
    </w:p>
    <w:p w:rsidR="00EC7A57" w:rsidRPr="00383CEC" w:rsidRDefault="002E5DFD" w:rsidP="00383C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A57">
        <w:rPr>
          <w:rFonts w:asciiTheme="minorHAnsi" w:hAnsiTheme="minorHAnsi" w:cstheme="minorHAnsi"/>
          <w:szCs w:val="22"/>
          <w:lang w:eastAsia="hr-HR" w:bidi="bn-BD"/>
        </w:rPr>
        <w:t xml:space="preserve">Povećana ulaganja u Hrvatskoj većinom su rezultat </w:t>
      </w:r>
      <w:r w:rsidR="00383CEC">
        <w:rPr>
          <w:rFonts w:asciiTheme="minorHAnsi" w:hAnsiTheme="minorHAnsi" w:cstheme="minorHAnsi"/>
          <w:szCs w:val="22"/>
          <w:lang w:eastAsia="hr-HR" w:bidi="bn-BD"/>
        </w:rPr>
        <w:t>trenutnih</w:t>
      </w:r>
      <w:r w:rsidRPr="00EC7A57">
        <w:rPr>
          <w:rFonts w:asciiTheme="minorHAnsi" w:hAnsiTheme="minorHAnsi" w:cstheme="minorHAnsi"/>
          <w:szCs w:val="22"/>
          <w:lang w:eastAsia="hr-HR" w:bidi="bn-BD"/>
        </w:rPr>
        <w:t xml:space="preserve"> razradnih aktivnosti </w:t>
      </w:r>
      <w:r w:rsidR="00383CEC">
        <w:rPr>
          <w:rFonts w:asciiTheme="minorHAnsi" w:hAnsiTheme="minorHAnsi" w:cstheme="minorHAnsi"/>
          <w:szCs w:val="22"/>
          <w:lang w:eastAsia="hr-HR" w:bidi="bn-BD"/>
        </w:rPr>
        <w:t xml:space="preserve">na polju Ika i intenziviranja aktivnosti u sklopu projekta EOR. </w:t>
      </w:r>
    </w:p>
    <w:p w:rsidR="00383CEC" w:rsidRDefault="00383CEC" w:rsidP="00383CEC">
      <w:pPr>
        <w:pStyle w:val="ListParagraph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C70EA" w:rsidRDefault="00EC70EA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EC70EA" w:rsidRDefault="00EC70EA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EC70EA" w:rsidRDefault="00EC70EA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</w:p>
    <w:p w:rsidR="0030681C" w:rsidRPr="00BE359B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2E5DFD">
        <w:rPr>
          <w:rFonts w:ascii="Calibri" w:hAnsi="Calibri" w:cs="Calibri"/>
          <w:noProof/>
          <w:sz w:val="22"/>
          <w:szCs w:val="22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5EF4E" wp14:editId="772A6BB5">
                <wp:simplePos x="0" y="0"/>
                <wp:positionH relativeFrom="column">
                  <wp:posOffset>10160</wp:posOffset>
                </wp:positionH>
                <wp:positionV relativeFrom="paragraph">
                  <wp:posOffset>74930</wp:posOffset>
                </wp:positionV>
                <wp:extent cx="3790315" cy="45466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Pr="00BE359B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Kapitalna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ulaganja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Istraživanja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proizvodnje</w:t>
                            </w:r>
                            <w:proofErr w:type="spellEnd"/>
                          </w:p>
                          <w:p w:rsidR="0030681C" w:rsidRPr="00813CA6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milijuna</w:t>
                            </w:r>
                            <w:proofErr w:type="spellEnd"/>
                            <w:proofErr w:type="gramEnd"/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kuna)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8pt;margin-top:5.9pt;width:298.4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" filled="f" stroked="f">
                <v:textbox style="mso-fit-shape-to-text:t" inset="2.48869mm,1.2443mm,2.48869mm,1.2443mm">
                  <w:txbxContent>
                    <w:p w:rsidR="0030681C" w:rsidRPr="00BE359B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Kapitalna ulaganja Istraživanja i proizvodnje</w:t>
                      </w:r>
                    </w:p>
                    <w:p w:rsidR="0030681C" w:rsidRPr="00813CA6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</w:pPr>
                      <w:r w:rsidRPr="00813CA6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  <w:t>(milijuna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BE359B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30681C" w:rsidRPr="00BE359B" w:rsidRDefault="0030681C" w:rsidP="0030681C">
      <w:pPr>
        <w:tabs>
          <w:tab w:val="left" w:pos="1440"/>
        </w:tabs>
        <w:jc w:val="both"/>
        <w:rPr>
          <w:rFonts w:ascii="Calibri" w:hAnsi="Calibri" w:cs="Calibri"/>
          <w:sz w:val="20"/>
          <w:szCs w:val="20"/>
          <w:lang w:eastAsia="hr-HR"/>
        </w:rPr>
      </w:pPr>
    </w:p>
    <w:p w:rsidR="00D03BD6" w:rsidRDefault="00D03BD6" w:rsidP="0030681C">
      <w:pPr>
        <w:rPr>
          <w:noProof/>
          <w:lang w:eastAsia="hr-HR"/>
        </w:rPr>
      </w:pPr>
    </w:p>
    <w:p w:rsidR="002E5DFD" w:rsidRDefault="002E5DFD" w:rsidP="0030681C">
      <w:pPr>
        <w:rPr>
          <w:noProof/>
          <w:lang w:eastAsia="hr-HR"/>
        </w:rPr>
      </w:pPr>
    </w:p>
    <w:p w:rsidR="004A07CA" w:rsidRDefault="00565133" w:rsidP="002E5DFD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noProof/>
          <w:lang w:eastAsia="hr-HR"/>
        </w:rPr>
        <w:drawing>
          <wp:inline distT="0" distB="0" distL="0" distR="0" wp14:anchorId="31730002" wp14:editId="23D40CF1">
            <wp:extent cx="3000375" cy="21193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4EBF" w:rsidRDefault="00844EBF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8791F" w:rsidRDefault="0058791F" w:rsidP="002E5DFD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2E5DFD" w:rsidRDefault="0030681C" w:rsidP="002E5DFD">
      <w:p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2E5DFD">
        <w:rPr>
          <w:rFonts w:ascii="Calibri" w:hAnsi="Calibri" w:cs="Calibri"/>
          <w:b/>
        </w:rPr>
        <w:t>Rafinerije i marketing uključujući i Trgovinu na malo</w:t>
      </w:r>
      <w:r w:rsidRPr="002E5DFD">
        <w:rPr>
          <w:rFonts w:ascii="Calibri" w:hAnsi="Calibri" w:cs="Calibri"/>
        </w:rPr>
        <w:t xml:space="preserve"> –</w:t>
      </w:r>
      <w:r w:rsidR="005F4F57" w:rsidRPr="002E5DFD">
        <w:rPr>
          <w:rFonts w:ascii="Calibri" w:hAnsi="Calibri" w:cs="Calibri"/>
        </w:rPr>
        <w:t xml:space="preserve"> </w:t>
      </w:r>
      <w:r w:rsidR="002E5DFD" w:rsidRPr="002E5DFD">
        <w:rPr>
          <w:rFonts w:ascii="Calibri" w:hAnsi="Calibri" w:cs="Calibri"/>
        </w:rPr>
        <w:t>„Čisti“ CCS</w:t>
      </w:r>
      <w:r w:rsidR="002E5DFD" w:rsidRPr="002E5DFD">
        <w:rPr>
          <w:rFonts w:ascii="Calibri" w:hAnsi="Calibri" w:cs="Calibri"/>
          <w:vertAlign w:val="superscript"/>
        </w:rPr>
        <w:footnoteReference w:id="3"/>
      </w:r>
      <w:r w:rsidR="002E5DFD" w:rsidRPr="002E5DFD">
        <w:rPr>
          <w:rFonts w:ascii="Calibri" w:hAnsi="Calibri" w:cs="Calibri"/>
        </w:rPr>
        <w:t xml:space="preserve"> EBITDA segmenta iznosio je </w:t>
      </w:r>
      <w:r w:rsidR="00072B5B">
        <w:rPr>
          <w:rFonts w:ascii="Calibri" w:hAnsi="Calibri" w:cs="Calibri"/>
        </w:rPr>
        <w:t>(</w:t>
      </w:r>
      <w:r w:rsidR="007D12A0">
        <w:rPr>
          <w:rFonts w:ascii="Calibri" w:hAnsi="Calibri" w:cs="Calibri"/>
        </w:rPr>
        <w:t>405</w:t>
      </w:r>
      <w:r w:rsidR="00072B5B">
        <w:rPr>
          <w:rFonts w:ascii="Calibri" w:hAnsi="Calibri" w:cs="Calibri"/>
        </w:rPr>
        <w:t>)</w:t>
      </w:r>
      <w:r w:rsidR="002E5DFD" w:rsidRPr="002E5DFD">
        <w:rPr>
          <w:rFonts w:ascii="Calibri" w:hAnsi="Calibri" w:cs="Calibri"/>
        </w:rPr>
        <w:t xml:space="preserve"> milijuna kuna</w:t>
      </w:r>
      <w:r w:rsidR="007D12A0">
        <w:rPr>
          <w:rFonts w:ascii="Calibri" w:hAnsi="Calibri" w:cs="Calibri"/>
        </w:rPr>
        <w:t xml:space="preserve"> što je ispod razina od prošle godine. </w:t>
      </w:r>
      <w:r w:rsidR="002E5DFD" w:rsidRPr="002E5DFD">
        <w:rPr>
          <w:rFonts w:ascii="Calibri" w:hAnsi="Calibri" w:cs="Calibri"/>
        </w:rPr>
        <w:t>Gubitak iz osnovne djel</w:t>
      </w:r>
      <w:r w:rsidR="007D12A0">
        <w:rPr>
          <w:rFonts w:ascii="Calibri" w:hAnsi="Calibri" w:cs="Calibri"/>
        </w:rPr>
        <w:t>atnosti bez jednokratnih stavki</w:t>
      </w:r>
      <w:r w:rsidR="003A0563">
        <w:rPr>
          <w:rFonts w:ascii="Calibri" w:hAnsi="Calibri" w:cs="Calibri"/>
        </w:rPr>
        <w:t xml:space="preserve"> iznosi</w:t>
      </w:r>
      <w:r w:rsidR="002E5DFD" w:rsidRPr="002E5DFD">
        <w:rPr>
          <w:rFonts w:ascii="Calibri" w:hAnsi="Calibri" w:cs="Calibri"/>
        </w:rPr>
        <w:t xml:space="preserve"> </w:t>
      </w:r>
      <w:r w:rsidR="00764D28">
        <w:rPr>
          <w:rFonts w:ascii="Calibri" w:hAnsi="Calibri" w:cs="Calibri"/>
        </w:rPr>
        <w:t>(</w:t>
      </w:r>
      <w:r w:rsidR="007D12A0">
        <w:rPr>
          <w:rFonts w:ascii="Calibri" w:hAnsi="Calibri" w:cs="Calibri"/>
        </w:rPr>
        <w:t>856</w:t>
      </w:r>
      <w:r w:rsidR="00764D28">
        <w:rPr>
          <w:rFonts w:ascii="Calibri" w:hAnsi="Calibri" w:cs="Calibri"/>
        </w:rPr>
        <w:t>)</w:t>
      </w:r>
      <w:r w:rsidR="003F4CE4" w:rsidRPr="002E5DFD">
        <w:rPr>
          <w:rFonts w:ascii="Calibri" w:hAnsi="Calibri" w:cs="Calibri"/>
        </w:rPr>
        <w:t xml:space="preserve"> </w:t>
      </w:r>
      <w:r w:rsidR="002E5DFD" w:rsidRPr="002E5DFD">
        <w:rPr>
          <w:rFonts w:ascii="Calibri" w:hAnsi="Calibri" w:cs="Calibri"/>
        </w:rPr>
        <w:t>milijuna kuna.</w:t>
      </w:r>
    </w:p>
    <w:p w:rsidR="005953D7" w:rsidRPr="005953D7" w:rsidRDefault="005953D7" w:rsidP="00595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1240B6" w:rsidRDefault="001240B6" w:rsidP="00813CA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>Kapitalna ulaganja u SD R&amp;M povećana su za 41 milijun kuna te iznose 158 milijuna kuna</w:t>
      </w:r>
    </w:p>
    <w:p w:rsidR="007D12A0" w:rsidRDefault="007D12A0" w:rsidP="00813CA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>Poboljšana je struktura prodanih proizvoda: prodano je više motornih goriva, a manje lož ulja</w:t>
      </w:r>
    </w:p>
    <w:p w:rsidR="007D12A0" w:rsidRDefault="007D12A0" w:rsidP="00813CA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>Segment je nastavio sa smanjenjem vlastite potrošnje energije</w:t>
      </w:r>
      <w:r w:rsidRPr="007D12A0">
        <w:rPr>
          <w:rFonts w:asciiTheme="minorHAnsi" w:hAnsiTheme="minorHAnsi" w:cstheme="minorHAnsi"/>
          <w:lang w:eastAsia="hr-HR" w:bidi="bn-BD"/>
        </w:rPr>
        <w:t xml:space="preserve"> </w:t>
      </w:r>
      <w:r w:rsidRPr="004D7732">
        <w:rPr>
          <w:rFonts w:asciiTheme="minorHAnsi" w:hAnsiTheme="minorHAnsi" w:cstheme="minorHAnsi"/>
          <w:lang w:eastAsia="hr-HR" w:bidi="bn-BD"/>
        </w:rPr>
        <w:t>zbog usmjerenosti menadžm</w:t>
      </w:r>
      <w:r w:rsidR="000A388F">
        <w:rPr>
          <w:rFonts w:asciiTheme="minorHAnsi" w:hAnsiTheme="minorHAnsi" w:cstheme="minorHAnsi"/>
          <w:lang w:eastAsia="hr-HR" w:bidi="bn-BD"/>
        </w:rPr>
        <w:t>enta na optimizirano poslovanje</w:t>
      </w:r>
    </w:p>
    <w:p w:rsidR="007D12A0" w:rsidRDefault="007D12A0" w:rsidP="007D12A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 xml:space="preserve">Ukupne prodajne količine SD </w:t>
      </w:r>
      <w:r w:rsidR="005953D7" w:rsidRPr="004D7732">
        <w:rPr>
          <w:rFonts w:asciiTheme="minorHAnsi" w:hAnsiTheme="minorHAnsi" w:cstheme="minorHAnsi"/>
          <w:lang w:eastAsia="hr-HR" w:bidi="bn-BD"/>
        </w:rPr>
        <w:t>Trgovin</w:t>
      </w:r>
      <w:r>
        <w:rPr>
          <w:rFonts w:asciiTheme="minorHAnsi" w:hAnsiTheme="minorHAnsi" w:cstheme="minorHAnsi"/>
          <w:lang w:eastAsia="hr-HR" w:bidi="bn-BD"/>
        </w:rPr>
        <w:t>a</w:t>
      </w:r>
      <w:r w:rsidR="005953D7" w:rsidRPr="004D7732">
        <w:rPr>
          <w:rFonts w:asciiTheme="minorHAnsi" w:hAnsiTheme="minorHAnsi" w:cstheme="minorHAnsi"/>
          <w:lang w:eastAsia="hr-HR" w:bidi="bn-BD"/>
        </w:rPr>
        <w:t xml:space="preserve"> na malo </w:t>
      </w:r>
      <w:r>
        <w:rPr>
          <w:rFonts w:asciiTheme="minorHAnsi" w:hAnsiTheme="minorHAnsi" w:cstheme="minorHAnsi"/>
          <w:lang w:eastAsia="hr-HR" w:bidi="bn-BD"/>
        </w:rPr>
        <w:t xml:space="preserve">dosegnule su 448kt </w:t>
      </w:r>
    </w:p>
    <w:p w:rsidR="007D12A0" w:rsidRDefault="007D12A0" w:rsidP="007D12A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>Smanjena kupovna moć građana reflektirala se i na smanjene količine prodanih visokokvalitetnih goriva u korist regularnih goriva čija je cijena prihvatljivija</w:t>
      </w:r>
    </w:p>
    <w:p w:rsidR="00224F74" w:rsidRDefault="005953D7" w:rsidP="003A0563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 w:rsidRPr="004D7732">
        <w:rPr>
          <w:rFonts w:asciiTheme="minorHAnsi" w:hAnsiTheme="minorHAnsi" w:cstheme="minorHAnsi"/>
          <w:lang w:eastAsia="hr-HR" w:bidi="bn-BD"/>
        </w:rPr>
        <w:t xml:space="preserve">Kapitalna ulaganja </w:t>
      </w:r>
      <w:r w:rsidR="001240B6">
        <w:rPr>
          <w:rFonts w:asciiTheme="minorHAnsi" w:hAnsiTheme="minorHAnsi" w:cstheme="minorHAnsi"/>
          <w:lang w:eastAsia="hr-HR" w:bidi="bn-BD"/>
        </w:rPr>
        <w:t>u SD Trgovina na malo iznosila su 36 milijuna kuna, od čega je veći dio uložen u nastavak modernizacije Inine maloprodajne mreže</w:t>
      </w:r>
    </w:p>
    <w:p w:rsidR="007D12A0" w:rsidRDefault="00224F74" w:rsidP="00136D92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r-HR" w:bidi="bn-BD"/>
        </w:rPr>
      </w:pPr>
      <w:r>
        <w:rPr>
          <w:rFonts w:asciiTheme="minorHAnsi" w:hAnsiTheme="minorHAnsi" w:cstheme="minorHAnsi"/>
          <w:lang w:eastAsia="hr-HR" w:bidi="bn-BD"/>
        </w:rPr>
        <w:t>od početka projekta modernizacije ukupno je uloženo više od 450 milijuna kuna te je modernizirano 1</w:t>
      </w:r>
      <w:r w:rsidR="00585C64">
        <w:rPr>
          <w:rFonts w:asciiTheme="minorHAnsi" w:hAnsiTheme="minorHAnsi" w:cstheme="minorHAnsi"/>
          <w:lang w:eastAsia="hr-HR" w:bidi="bn-BD"/>
        </w:rPr>
        <w:t>9</w:t>
      </w:r>
      <w:r>
        <w:rPr>
          <w:rFonts w:asciiTheme="minorHAnsi" w:hAnsiTheme="minorHAnsi" w:cstheme="minorHAnsi"/>
          <w:lang w:eastAsia="hr-HR" w:bidi="bn-BD"/>
        </w:rPr>
        <w:t>0 postaja</w:t>
      </w:r>
      <w:r w:rsidR="001240B6">
        <w:rPr>
          <w:rFonts w:asciiTheme="minorHAnsi" w:hAnsiTheme="minorHAnsi" w:cstheme="minorHAnsi"/>
          <w:lang w:eastAsia="hr-HR" w:bidi="bn-BD"/>
        </w:rPr>
        <w:t xml:space="preserve"> </w:t>
      </w:r>
    </w:p>
    <w:p w:rsidR="0030681C" w:rsidRPr="00BE359B" w:rsidRDefault="00182070" w:rsidP="005953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E359B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2245" wp14:editId="5AC29924">
                <wp:simplePos x="0" y="0"/>
                <wp:positionH relativeFrom="column">
                  <wp:posOffset>-94615</wp:posOffset>
                </wp:positionH>
                <wp:positionV relativeFrom="paragraph">
                  <wp:posOffset>152400</wp:posOffset>
                </wp:positionV>
                <wp:extent cx="5651500" cy="454660"/>
                <wp:effectExtent l="0" t="0" r="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Pr="00BE359B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Kapitalna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ulaganja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Rafinerija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marketinga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uključujući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Trgovinu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na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malo)</w:t>
                            </w:r>
                          </w:p>
                          <w:p w:rsidR="0030681C" w:rsidRPr="00BE359B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milijuna</w:t>
                            </w:r>
                            <w:proofErr w:type="spellEnd"/>
                            <w:proofErr w:type="gramEnd"/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kuna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7.45pt;margin-top:12pt;width:44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" filled="f" stroked="f">
                <v:textbox style="mso-fit-shape-to-text:t" inset="2.48869mm,1.2443mm,2.48869mm,1.2443mm">
                  <w:txbxContent>
                    <w:p w:rsidR="0030681C" w:rsidRPr="00BE359B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Kapitalna ulaganja Rafinerija i marketinga (uključujući Trgovinu na malo)</w:t>
                      </w:r>
                    </w:p>
                    <w:p w:rsidR="0030681C" w:rsidRPr="00BE359B" w:rsidRDefault="0030681C" w:rsidP="003068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milijuna</w:t>
                      </w:r>
                      <w:proofErr w:type="spellEnd"/>
                      <w:proofErr w:type="gramEnd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kuna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BE359B" w:rsidRDefault="0030681C" w:rsidP="0030681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82070" w:rsidRPr="00BE359B" w:rsidRDefault="00182070" w:rsidP="001973DF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:rsidR="0030681C" w:rsidRPr="00BE359B" w:rsidRDefault="0030681C" w:rsidP="0030681C">
      <w:pPr>
        <w:rPr>
          <w:rFonts w:ascii="Calibri" w:hAnsi="Calibri" w:cs="Calibri"/>
        </w:rPr>
      </w:pPr>
    </w:p>
    <w:p w:rsidR="005953D7" w:rsidRDefault="00565133" w:rsidP="0030681C">
      <w:pPr>
        <w:jc w:val="both"/>
        <w:rPr>
          <w:rFonts w:ascii="Calibri" w:hAnsi="Calibri" w:cs="Calibri"/>
        </w:rPr>
      </w:pPr>
      <w:r>
        <w:rPr>
          <w:noProof/>
          <w:lang w:eastAsia="hr-HR"/>
        </w:rPr>
        <w:drawing>
          <wp:inline distT="0" distB="0" distL="0" distR="0" wp14:anchorId="7679DF74" wp14:editId="3C7E5C21">
            <wp:extent cx="3000375" cy="2119313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7732" w:rsidRDefault="004D7732" w:rsidP="0030681C">
      <w:pPr>
        <w:jc w:val="both"/>
        <w:rPr>
          <w:rFonts w:ascii="Calibri" w:hAnsi="Calibri" w:cs="Calibri"/>
        </w:rPr>
      </w:pPr>
    </w:p>
    <w:p w:rsidR="00966770" w:rsidRDefault="00966770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DC4290" w:rsidRPr="00080339" w:rsidRDefault="004D7732" w:rsidP="00080339">
      <w:p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0681C" w:rsidRPr="00BE359B" w:rsidRDefault="001240B6" w:rsidP="0030681C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S </w:t>
      </w:r>
      <w:r w:rsidR="005953D7">
        <w:rPr>
          <w:rFonts w:ascii="Calibri" w:hAnsi="Calibri" w:cs="Calibri"/>
          <w:bCs/>
        </w:rPr>
        <w:t xml:space="preserve">ciljem održavanja stabilne </w:t>
      </w:r>
      <w:r w:rsidR="00B26511">
        <w:rPr>
          <w:rFonts w:ascii="Calibri" w:hAnsi="Calibri" w:cs="Calibri"/>
          <w:bCs/>
        </w:rPr>
        <w:t>financijske pozicije nastavljeni</w:t>
      </w:r>
      <w:r w:rsidR="005953D7">
        <w:rPr>
          <w:rFonts w:ascii="Calibri" w:hAnsi="Calibri" w:cs="Calibri"/>
          <w:bCs/>
        </w:rPr>
        <w:t xml:space="preserve"> su napori</w:t>
      </w:r>
      <w:r w:rsidR="00C044ED">
        <w:rPr>
          <w:rFonts w:ascii="Calibri" w:hAnsi="Calibri" w:cs="Calibri"/>
          <w:bCs/>
        </w:rPr>
        <w:t xml:space="preserve"> menadžmenta vezani uz smanjenje zaduženosti.</w:t>
      </w:r>
    </w:p>
    <w:bookmarkEnd w:id="1"/>
    <w:p w:rsidR="00616C91" w:rsidRDefault="00616C91" w:rsidP="0030681C">
      <w:pPr>
        <w:spacing w:line="276" w:lineRule="auto"/>
        <w:jc w:val="both"/>
        <w:rPr>
          <w:rFonts w:ascii="Calibri" w:hAnsi="Calibri" w:cs="Calibri"/>
          <w:bCs/>
        </w:rPr>
      </w:pPr>
    </w:p>
    <w:p w:rsidR="0030681C" w:rsidRPr="00BE359B" w:rsidRDefault="00511D57" w:rsidP="00966770">
      <w:pPr>
        <w:spacing w:line="276" w:lineRule="auto"/>
        <w:jc w:val="center"/>
        <w:rPr>
          <w:rFonts w:ascii="Calibri" w:hAnsi="Calibri" w:cs="Calibri"/>
          <w:bCs/>
        </w:rPr>
      </w:pPr>
      <w:r w:rsidRPr="00BE359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1228C" wp14:editId="7EB7366A">
                <wp:simplePos x="0" y="0"/>
                <wp:positionH relativeFrom="column">
                  <wp:posOffset>2519680</wp:posOffset>
                </wp:positionH>
                <wp:positionV relativeFrom="paragraph">
                  <wp:posOffset>207645</wp:posOffset>
                </wp:positionV>
                <wp:extent cx="2990850" cy="428625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Omjer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duga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kapitala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INA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Grupe</w:t>
                            </w:r>
                            <w:proofErr w:type="spellEnd"/>
                          </w:p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(%)</w:t>
                            </w:r>
                          </w:p>
                        </w:txbxContent>
                      </wps:txbx>
                      <wps:bodyPr wrap="square" lIns="89611" tIns="44806" rIns="89611" bIns="44806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98.4pt;margin-top:16.35pt;width:235.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" filled="f" stroked="f">
                <v:textbox style="mso-fit-shape-to-text:t" inset="2.48919mm,1.2446mm,2.48919mm,1.2446mm">
                  <w:txbxContent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Omjer duga i kapitala INA Grupe</w:t>
                      </w:r>
                    </w:p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D300B6" w:rsidRPr="00BE359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F6D61" wp14:editId="4603F93B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187575" cy="42862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Neto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zaduženost</w:t>
                            </w:r>
                            <w:proofErr w:type="spellEnd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</w:p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INA </w:t>
                            </w:r>
                            <w:proofErr w:type="spellStart"/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Grupe</w:t>
                            </w:r>
                            <w:proofErr w:type="spellEnd"/>
                          </w:p>
                          <w:p w:rsidR="00193316" w:rsidRPr="00813CA6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milijuna</w:t>
                            </w:r>
                            <w:proofErr w:type="spellEnd"/>
                            <w:proofErr w:type="gramEnd"/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kuna)</w:t>
                            </w:r>
                          </w:p>
                        </w:txbxContent>
                      </wps:txbx>
                      <wps:bodyPr lIns="89611" tIns="44806" rIns="89611" bIns="4480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0;margin-top:14.65pt;width:172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" filled="f" stroked="f">
                <v:textbox style="mso-fit-shape-to-text:t" inset="2.48919mm,1.2446mm,2.48919mm,1.2446mm">
                  <w:txbxContent>
                    <w:p w:rsid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Neto zaduženost </w:t>
                      </w:r>
                    </w:p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INA Grupe</w:t>
                      </w:r>
                    </w:p>
                    <w:p w:rsidR="00193316" w:rsidRPr="00813CA6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</w:pPr>
                      <w:r w:rsidRPr="00813CA6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  <w:t>(milijuna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193316" w:rsidRPr="00BE359B" w:rsidRDefault="00193316" w:rsidP="0030681C">
      <w:pPr>
        <w:rPr>
          <w:rFonts w:ascii="Calibri" w:hAnsi="Calibri" w:cs="Calibri"/>
          <w:b/>
        </w:rPr>
      </w:pPr>
    </w:p>
    <w:p w:rsidR="00193316" w:rsidRPr="00BE359B" w:rsidRDefault="00193316" w:rsidP="0030681C">
      <w:pPr>
        <w:rPr>
          <w:rFonts w:ascii="Calibri" w:hAnsi="Calibri" w:cs="Calibri"/>
          <w:b/>
        </w:rPr>
      </w:pPr>
    </w:p>
    <w:p w:rsidR="0030681C" w:rsidRPr="00BE359B" w:rsidRDefault="0030681C" w:rsidP="0030681C">
      <w:pPr>
        <w:rPr>
          <w:rFonts w:ascii="Calibri" w:hAnsi="Calibri" w:cs="Calibri"/>
        </w:rPr>
      </w:pPr>
    </w:p>
    <w:p w:rsidR="0030681C" w:rsidRDefault="0030681C" w:rsidP="0030681C">
      <w:pPr>
        <w:rPr>
          <w:rFonts w:ascii="Calibri" w:hAnsi="Calibri" w:cs="Calibri"/>
        </w:rPr>
      </w:pPr>
    </w:p>
    <w:p w:rsidR="00565133" w:rsidRDefault="00565133" w:rsidP="0030681C">
      <w:pPr>
        <w:rPr>
          <w:rFonts w:ascii="Calibri" w:hAnsi="Calibri" w:cs="Calibri"/>
        </w:rPr>
      </w:pPr>
      <w:r>
        <w:rPr>
          <w:noProof/>
          <w:lang w:eastAsia="hr-HR"/>
        </w:rPr>
        <w:drawing>
          <wp:inline distT="0" distB="0" distL="0" distR="0" wp14:anchorId="217D21DB" wp14:editId="588884BB">
            <wp:extent cx="2281188" cy="1838425"/>
            <wp:effectExtent l="0" t="0" r="508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noProof/>
          <w:lang w:eastAsia="hr-HR"/>
        </w:rPr>
        <w:drawing>
          <wp:inline distT="0" distB="0" distL="0" distR="0" wp14:anchorId="0858E04A" wp14:editId="54A12F01">
            <wp:extent cx="2310063" cy="18384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133" w:rsidRDefault="00565133" w:rsidP="0030681C">
      <w:pPr>
        <w:rPr>
          <w:rFonts w:ascii="Calibri" w:hAnsi="Calibri" w:cs="Calibri"/>
        </w:rPr>
      </w:pPr>
    </w:p>
    <w:p w:rsidR="00565133" w:rsidRDefault="00565133" w:rsidP="0030681C">
      <w:pPr>
        <w:rPr>
          <w:rFonts w:ascii="Calibri" w:hAnsi="Calibri" w:cs="Calibri"/>
        </w:rPr>
      </w:pPr>
    </w:p>
    <w:p w:rsidR="00565133" w:rsidRDefault="00565133" w:rsidP="0030681C">
      <w:pPr>
        <w:rPr>
          <w:rFonts w:ascii="Calibri" w:hAnsi="Calibri" w:cs="Calibri"/>
        </w:rPr>
      </w:pPr>
    </w:p>
    <w:p w:rsidR="0030681C" w:rsidRDefault="0030681C" w:rsidP="00C044ED">
      <w:pPr>
        <w:spacing w:line="276" w:lineRule="auto"/>
        <w:jc w:val="both"/>
        <w:rPr>
          <w:rFonts w:ascii="Calibri" w:hAnsi="Calibri" w:cs="Calibri"/>
          <w:bCs/>
        </w:rPr>
      </w:pPr>
    </w:p>
    <w:p w:rsidR="00511D57" w:rsidRDefault="00511D57" w:rsidP="00C044ED">
      <w:pPr>
        <w:spacing w:line="276" w:lineRule="auto"/>
        <w:jc w:val="both"/>
        <w:rPr>
          <w:rFonts w:ascii="Calibri" w:hAnsi="Calibri" w:cs="Calibri"/>
          <w:bCs/>
        </w:rPr>
      </w:pPr>
    </w:p>
    <w:p w:rsidR="00511D57" w:rsidRDefault="00511D57" w:rsidP="00C044ED">
      <w:pPr>
        <w:spacing w:line="276" w:lineRule="auto"/>
        <w:jc w:val="both"/>
        <w:rPr>
          <w:rFonts w:ascii="Calibri" w:hAnsi="Calibri" w:cs="Calibri"/>
          <w:bCs/>
        </w:rPr>
      </w:pPr>
    </w:p>
    <w:p w:rsidR="004D7732" w:rsidRPr="00C044ED" w:rsidRDefault="004D7732" w:rsidP="00C044ED">
      <w:pPr>
        <w:spacing w:line="276" w:lineRule="auto"/>
        <w:jc w:val="both"/>
        <w:rPr>
          <w:rFonts w:ascii="Calibri" w:hAnsi="Calibri" w:cs="Calibri"/>
          <w:bCs/>
        </w:rPr>
      </w:pPr>
    </w:p>
    <w:p w:rsidR="001240B6" w:rsidRPr="001240B6" w:rsidRDefault="001240B6" w:rsidP="001240B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Operativni novčani tok</w:t>
      </w:r>
      <w:r w:rsidRPr="001240B6">
        <w:rPr>
          <w:rFonts w:ascii="Calibri" w:hAnsi="Calibri" w:cs="Calibri"/>
          <w:bCs/>
        </w:rPr>
        <w:t xml:space="preserve"> </w:t>
      </w:r>
      <w:r w:rsidR="00D14EF6">
        <w:rPr>
          <w:rFonts w:ascii="Calibri" w:hAnsi="Calibri" w:cs="Calibri"/>
          <w:bCs/>
        </w:rPr>
        <w:t>i dalje je snažan te iznosi</w:t>
      </w:r>
      <w:r w:rsidRPr="001240B6">
        <w:rPr>
          <w:rFonts w:ascii="Calibri" w:hAnsi="Calibri" w:cs="Calibri"/>
          <w:bCs/>
        </w:rPr>
        <w:t xml:space="preserve"> 1,184 milijarde kuna</w:t>
      </w:r>
    </w:p>
    <w:p w:rsidR="00224E24" w:rsidRPr="001240B6" w:rsidRDefault="001240B6" w:rsidP="001240B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Cs/>
        </w:rPr>
      </w:pPr>
      <w:r w:rsidRPr="001240B6">
        <w:rPr>
          <w:rFonts w:ascii="Calibri" w:hAnsi="Calibri" w:cs="Calibri"/>
          <w:bCs/>
        </w:rPr>
        <w:t xml:space="preserve">Došlo je do daljnjeg smanjenja omjera duga i kapitala; </w:t>
      </w:r>
      <w:r>
        <w:rPr>
          <w:rFonts w:ascii="Calibri" w:hAnsi="Calibri" w:cs="Calibri"/>
          <w:bCs/>
        </w:rPr>
        <w:t>sa 25.8% na 24.</w:t>
      </w:r>
      <w:r w:rsidR="00F004EB">
        <w:rPr>
          <w:rFonts w:ascii="Calibri" w:hAnsi="Calibri" w:cs="Calibri"/>
          <w:bCs/>
        </w:rPr>
        <w:t>3</w:t>
      </w:r>
      <w:r>
        <w:rPr>
          <w:rFonts w:ascii="Calibri" w:hAnsi="Calibri" w:cs="Calibri"/>
          <w:bCs/>
        </w:rPr>
        <w:t xml:space="preserve">%, a neto </w:t>
      </w:r>
      <w:r w:rsidRPr="001240B6">
        <w:rPr>
          <w:rFonts w:ascii="Calibri" w:hAnsi="Calibri" w:cs="Calibri"/>
          <w:bCs/>
        </w:rPr>
        <w:t>zaduženost pala je za 18%</w:t>
      </w:r>
      <w:r w:rsidR="00D1253E">
        <w:rPr>
          <w:rFonts w:ascii="Calibri" w:hAnsi="Calibri" w:cs="Calibri"/>
          <w:bCs/>
        </w:rPr>
        <w:t>,</w:t>
      </w:r>
      <w:r w:rsidRPr="001240B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čime je osiguran </w:t>
      </w:r>
      <w:r w:rsidR="00224E24" w:rsidRPr="001240B6">
        <w:rPr>
          <w:rFonts w:ascii="Calibri" w:hAnsi="Calibri" w:cs="Calibri"/>
          <w:bCs/>
        </w:rPr>
        <w:t>snažan financijski položaj i fleksibilnost za budući rast</w:t>
      </w:r>
    </w:p>
    <w:p w:rsidR="00224E24" w:rsidRPr="008D2850" w:rsidRDefault="00224E24" w:rsidP="001240B6">
      <w:pPr>
        <w:pStyle w:val="ListParagraph"/>
        <w:spacing w:line="276" w:lineRule="auto"/>
        <w:jc w:val="both"/>
        <w:rPr>
          <w:rFonts w:ascii="Calibri" w:hAnsi="Calibri" w:cs="Calibri"/>
          <w:bCs/>
        </w:rPr>
      </w:pPr>
    </w:p>
    <w:sectPr w:rsidR="00224E24" w:rsidRPr="008D2850" w:rsidSect="006D3CE1">
      <w:headerReference w:type="default" r:id="rId1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27" w:rsidRDefault="00936627" w:rsidP="0030681C">
      <w:r>
        <w:separator/>
      </w:r>
    </w:p>
  </w:endnote>
  <w:endnote w:type="continuationSeparator" w:id="0">
    <w:p w:rsidR="00936627" w:rsidRDefault="00936627" w:rsidP="003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Footer"/>
      <w:jc w:val="right"/>
      <w:rPr>
        <w:rFonts w:ascii="Arial" w:hAnsi="Arial" w:cs="Arial"/>
        <w:sz w:val="20"/>
      </w:rPr>
    </w:pPr>
  </w:p>
  <w:p w:rsidR="0030681C" w:rsidRPr="005B4643" w:rsidRDefault="0030681C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4B5B97">
      <w:rPr>
        <w:rFonts w:ascii="Arial" w:hAnsi="Arial" w:cs="Arial"/>
        <w:noProof/>
        <w:sz w:val="20"/>
      </w:rPr>
      <w:t>7</w:t>
    </w:r>
    <w:r w:rsidRPr="005B4643">
      <w:rPr>
        <w:rFonts w:ascii="Arial" w:hAnsi="Arial" w:cs="Arial"/>
        <w:noProof/>
        <w:sz w:val="20"/>
      </w:rPr>
      <w:fldChar w:fldCharType="end"/>
    </w:r>
  </w:p>
  <w:p w:rsidR="0030681C" w:rsidRDefault="0030681C">
    <w:pPr>
      <w:pStyle w:val="Footer"/>
    </w:pPr>
  </w:p>
  <w:p w:rsidR="0030681C" w:rsidRDefault="00306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27" w:rsidRDefault="00936627" w:rsidP="0030681C">
      <w:r>
        <w:separator/>
      </w:r>
    </w:p>
  </w:footnote>
  <w:footnote w:type="continuationSeparator" w:id="0">
    <w:p w:rsidR="00936627" w:rsidRDefault="00936627" w:rsidP="0030681C">
      <w:r>
        <w:continuationSeparator/>
      </w:r>
    </w:p>
  </w:footnote>
  <w:footnote w:id="1">
    <w:p w:rsidR="00224F74" w:rsidRDefault="00224F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49C">
        <w:rPr>
          <w:rFonts w:ascii="Arial Narrow" w:hAnsi="Arial Narrow" w:cs="Arial"/>
          <w:sz w:val="14"/>
          <w:szCs w:val="14"/>
        </w:rPr>
        <w:t xml:space="preserve">omjer duga i kapitala - udio duga (bankarskih kredita i </w:t>
      </w:r>
      <w:proofErr w:type="spellStart"/>
      <w:r w:rsidRPr="00D2149C">
        <w:rPr>
          <w:rFonts w:ascii="Arial Narrow" w:hAnsi="Arial Narrow" w:cs="Arial"/>
          <w:sz w:val="14"/>
          <w:szCs w:val="14"/>
        </w:rPr>
        <w:t>sl</w:t>
      </w:r>
      <w:proofErr w:type="spellEnd"/>
      <w:r w:rsidRPr="00D2149C">
        <w:rPr>
          <w:rFonts w:ascii="Arial Narrow" w:hAnsi="Arial Narrow" w:cs="Arial"/>
          <w:sz w:val="14"/>
          <w:szCs w:val="14"/>
        </w:rPr>
        <w:t>.)  u kapitalu</w:t>
      </w:r>
    </w:p>
  </w:footnote>
  <w:footnote w:id="2">
    <w:p w:rsidR="00224F74" w:rsidRDefault="00224F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49C">
        <w:rPr>
          <w:rFonts w:ascii="Arial Narrow" w:hAnsi="Arial Narrow" w:cs="Arial"/>
          <w:sz w:val="14"/>
          <w:szCs w:val="14"/>
        </w:rPr>
        <w:t>EBITDA = EBIT +amortizacija + vrijednosno usklađenje + rezerviranja</w:t>
      </w:r>
    </w:p>
  </w:footnote>
  <w:footnote w:id="3">
    <w:p w:rsidR="002E5DFD" w:rsidRPr="0095206B" w:rsidRDefault="002E5DFD" w:rsidP="002E5DFD">
      <w:pPr>
        <w:pStyle w:val="FootnoteText"/>
        <w:rPr>
          <w:rFonts w:asciiTheme="minorHAnsi" w:hAnsiTheme="minorHAnsi" w:cstheme="minorHAnsi"/>
          <w:i/>
          <w:sz w:val="18"/>
          <w:szCs w:val="18"/>
          <w:u w:color="FFFFFF"/>
        </w:rPr>
      </w:pPr>
      <w:r w:rsidRPr="0095206B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95206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CCS (</w:t>
      </w:r>
      <w:proofErr w:type="spellStart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current</w:t>
      </w:r>
      <w:proofErr w:type="spellEnd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cost</w:t>
      </w:r>
      <w:proofErr w:type="spellEnd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of</w:t>
      </w:r>
      <w:proofErr w:type="spellEnd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supplies</w:t>
      </w:r>
      <w:proofErr w:type="spellEnd"/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) je rezultat prilagođen za promjene u cijeni ulaznih sirovina na način da se ti troškovi obračunavaju po jedinstvenoj cijeni na kraju izvještajnog razdoblja (bez obzira na promjene cijene tijekom razdoblja).</w:t>
      </w:r>
    </w:p>
    <w:p w:rsidR="002E5DFD" w:rsidRPr="0095206B" w:rsidRDefault="002E5DFD" w:rsidP="002E5DFD">
      <w:pPr>
        <w:pStyle w:val="FootnoteText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5E86215" wp14:editId="6F07BD82">
          <wp:simplePos x="0" y="0"/>
          <wp:positionH relativeFrom="column">
            <wp:posOffset>304800</wp:posOffset>
          </wp:positionH>
          <wp:positionV relativeFrom="paragraph">
            <wp:posOffset>304800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81C" w:rsidRDefault="00306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E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849E40F" wp14:editId="45BF0CC2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C9"/>
    <w:multiLevelType w:val="hybridMultilevel"/>
    <w:tmpl w:val="7A70AAC8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201"/>
    <w:multiLevelType w:val="hybridMultilevel"/>
    <w:tmpl w:val="1F2A02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5C0"/>
    <w:multiLevelType w:val="hybridMultilevel"/>
    <w:tmpl w:val="45E025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B08BA"/>
    <w:multiLevelType w:val="hybridMultilevel"/>
    <w:tmpl w:val="F210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1409E"/>
    <w:multiLevelType w:val="hybridMultilevel"/>
    <w:tmpl w:val="5F50D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04E6"/>
    <w:multiLevelType w:val="hybridMultilevel"/>
    <w:tmpl w:val="013E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5821"/>
    <w:multiLevelType w:val="hybridMultilevel"/>
    <w:tmpl w:val="975C38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12DC9"/>
    <w:multiLevelType w:val="hybridMultilevel"/>
    <w:tmpl w:val="38F0B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476E7"/>
    <w:multiLevelType w:val="hybridMultilevel"/>
    <w:tmpl w:val="ABFA2D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B3F9F"/>
    <w:multiLevelType w:val="hybridMultilevel"/>
    <w:tmpl w:val="6094A4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B6CA8"/>
    <w:multiLevelType w:val="hybridMultilevel"/>
    <w:tmpl w:val="E1AE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21846"/>
    <w:multiLevelType w:val="hybridMultilevel"/>
    <w:tmpl w:val="7250C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2C21"/>
    <w:rsid w:val="00017CBB"/>
    <w:rsid w:val="0002126C"/>
    <w:rsid w:val="00023BB7"/>
    <w:rsid w:val="00025986"/>
    <w:rsid w:val="00044D71"/>
    <w:rsid w:val="0007257D"/>
    <w:rsid w:val="00072B5B"/>
    <w:rsid w:val="00080339"/>
    <w:rsid w:val="000826FE"/>
    <w:rsid w:val="00090029"/>
    <w:rsid w:val="00091811"/>
    <w:rsid w:val="00092E43"/>
    <w:rsid w:val="00096BC1"/>
    <w:rsid w:val="000A388F"/>
    <w:rsid w:val="000A56D3"/>
    <w:rsid w:val="000A5B0B"/>
    <w:rsid w:val="000B327E"/>
    <w:rsid w:val="000B6218"/>
    <w:rsid w:val="000B77F4"/>
    <w:rsid w:val="000E44A2"/>
    <w:rsid w:val="000F3667"/>
    <w:rsid w:val="00100EF1"/>
    <w:rsid w:val="001033F8"/>
    <w:rsid w:val="001240B6"/>
    <w:rsid w:val="0012659A"/>
    <w:rsid w:val="00136D92"/>
    <w:rsid w:val="00137583"/>
    <w:rsid w:val="001474D8"/>
    <w:rsid w:val="0016058C"/>
    <w:rsid w:val="00164B7A"/>
    <w:rsid w:val="00182070"/>
    <w:rsid w:val="00191574"/>
    <w:rsid w:val="00193316"/>
    <w:rsid w:val="001973DF"/>
    <w:rsid w:val="001977F0"/>
    <w:rsid w:val="001C061D"/>
    <w:rsid w:val="001C7D35"/>
    <w:rsid w:val="001E02F5"/>
    <w:rsid w:val="001E062E"/>
    <w:rsid w:val="001E7160"/>
    <w:rsid w:val="001F09CC"/>
    <w:rsid w:val="001F7DAE"/>
    <w:rsid w:val="00204796"/>
    <w:rsid w:val="002123F3"/>
    <w:rsid w:val="00213DDE"/>
    <w:rsid w:val="00224E24"/>
    <w:rsid w:val="00224F74"/>
    <w:rsid w:val="00230478"/>
    <w:rsid w:val="00232C26"/>
    <w:rsid w:val="002345AF"/>
    <w:rsid w:val="002379B9"/>
    <w:rsid w:val="002448DC"/>
    <w:rsid w:val="002470B8"/>
    <w:rsid w:val="0025217F"/>
    <w:rsid w:val="00281FCA"/>
    <w:rsid w:val="00291667"/>
    <w:rsid w:val="002A319D"/>
    <w:rsid w:val="002B5C3E"/>
    <w:rsid w:val="002C08BB"/>
    <w:rsid w:val="002C461D"/>
    <w:rsid w:val="002E5DFD"/>
    <w:rsid w:val="0030681C"/>
    <w:rsid w:val="00311570"/>
    <w:rsid w:val="00324B77"/>
    <w:rsid w:val="00327037"/>
    <w:rsid w:val="0033386D"/>
    <w:rsid w:val="00334F88"/>
    <w:rsid w:val="003350B8"/>
    <w:rsid w:val="00345092"/>
    <w:rsid w:val="003450C6"/>
    <w:rsid w:val="00351C52"/>
    <w:rsid w:val="003578D0"/>
    <w:rsid w:val="003701C8"/>
    <w:rsid w:val="00382A4D"/>
    <w:rsid w:val="00383A95"/>
    <w:rsid w:val="00383CEC"/>
    <w:rsid w:val="00384B8F"/>
    <w:rsid w:val="00396E6F"/>
    <w:rsid w:val="003A0563"/>
    <w:rsid w:val="003B2B54"/>
    <w:rsid w:val="003C5E90"/>
    <w:rsid w:val="003E349F"/>
    <w:rsid w:val="003F1102"/>
    <w:rsid w:val="003F4CE4"/>
    <w:rsid w:val="00402E92"/>
    <w:rsid w:val="004151DF"/>
    <w:rsid w:val="0041535F"/>
    <w:rsid w:val="00420474"/>
    <w:rsid w:val="00433E04"/>
    <w:rsid w:val="004449F1"/>
    <w:rsid w:val="00450D54"/>
    <w:rsid w:val="00454D5E"/>
    <w:rsid w:val="00457C45"/>
    <w:rsid w:val="00471C00"/>
    <w:rsid w:val="00474E12"/>
    <w:rsid w:val="004A07CA"/>
    <w:rsid w:val="004A31FD"/>
    <w:rsid w:val="004A5EAF"/>
    <w:rsid w:val="004A79BF"/>
    <w:rsid w:val="004B0742"/>
    <w:rsid w:val="004B26C3"/>
    <w:rsid w:val="004B43E5"/>
    <w:rsid w:val="004B4AD1"/>
    <w:rsid w:val="004B5B97"/>
    <w:rsid w:val="004B6427"/>
    <w:rsid w:val="004C2F1D"/>
    <w:rsid w:val="004D7732"/>
    <w:rsid w:val="004D7DA5"/>
    <w:rsid w:val="004E29DD"/>
    <w:rsid w:val="004E5749"/>
    <w:rsid w:val="004F779A"/>
    <w:rsid w:val="00504B81"/>
    <w:rsid w:val="00511D57"/>
    <w:rsid w:val="00531819"/>
    <w:rsid w:val="00533201"/>
    <w:rsid w:val="00540EF7"/>
    <w:rsid w:val="0054371D"/>
    <w:rsid w:val="00544DF7"/>
    <w:rsid w:val="0054573D"/>
    <w:rsid w:val="005479CB"/>
    <w:rsid w:val="00560847"/>
    <w:rsid w:val="00565133"/>
    <w:rsid w:val="00585C64"/>
    <w:rsid w:val="0058791F"/>
    <w:rsid w:val="00590C45"/>
    <w:rsid w:val="00594573"/>
    <w:rsid w:val="005953D7"/>
    <w:rsid w:val="005B5F83"/>
    <w:rsid w:val="005F4F57"/>
    <w:rsid w:val="00614776"/>
    <w:rsid w:val="00614EC8"/>
    <w:rsid w:val="00616C91"/>
    <w:rsid w:val="00617384"/>
    <w:rsid w:val="00622A65"/>
    <w:rsid w:val="0064025B"/>
    <w:rsid w:val="00650216"/>
    <w:rsid w:val="00656555"/>
    <w:rsid w:val="00673439"/>
    <w:rsid w:val="006858E6"/>
    <w:rsid w:val="006C5480"/>
    <w:rsid w:val="006D16D7"/>
    <w:rsid w:val="006E2ABC"/>
    <w:rsid w:val="006E770E"/>
    <w:rsid w:val="006F110E"/>
    <w:rsid w:val="007067CF"/>
    <w:rsid w:val="0071188A"/>
    <w:rsid w:val="0073193E"/>
    <w:rsid w:val="007367F7"/>
    <w:rsid w:val="00740D64"/>
    <w:rsid w:val="00760D1E"/>
    <w:rsid w:val="00764D28"/>
    <w:rsid w:val="00773489"/>
    <w:rsid w:val="007750CA"/>
    <w:rsid w:val="00776446"/>
    <w:rsid w:val="00791707"/>
    <w:rsid w:val="007A4BAD"/>
    <w:rsid w:val="007C4854"/>
    <w:rsid w:val="007D0037"/>
    <w:rsid w:val="007D12A0"/>
    <w:rsid w:val="007E2D1F"/>
    <w:rsid w:val="007F0613"/>
    <w:rsid w:val="007F1167"/>
    <w:rsid w:val="00804CDB"/>
    <w:rsid w:val="008055F8"/>
    <w:rsid w:val="0081357B"/>
    <w:rsid w:val="00813CA6"/>
    <w:rsid w:val="00832B51"/>
    <w:rsid w:val="00833335"/>
    <w:rsid w:val="00833465"/>
    <w:rsid w:val="008407F2"/>
    <w:rsid w:val="00844EBF"/>
    <w:rsid w:val="008568EA"/>
    <w:rsid w:val="0086015C"/>
    <w:rsid w:val="008608AF"/>
    <w:rsid w:val="00860E00"/>
    <w:rsid w:val="008661C2"/>
    <w:rsid w:val="00886A2D"/>
    <w:rsid w:val="00891744"/>
    <w:rsid w:val="008A17B9"/>
    <w:rsid w:val="008A4C0A"/>
    <w:rsid w:val="008C67C4"/>
    <w:rsid w:val="008D0D9A"/>
    <w:rsid w:val="008D2850"/>
    <w:rsid w:val="008D3142"/>
    <w:rsid w:val="008F467D"/>
    <w:rsid w:val="00900C9A"/>
    <w:rsid w:val="009269DF"/>
    <w:rsid w:val="00936627"/>
    <w:rsid w:val="0094132F"/>
    <w:rsid w:val="0094231C"/>
    <w:rsid w:val="0095206B"/>
    <w:rsid w:val="0096259C"/>
    <w:rsid w:val="00965E50"/>
    <w:rsid w:val="00966770"/>
    <w:rsid w:val="0097529A"/>
    <w:rsid w:val="00990F32"/>
    <w:rsid w:val="009C6DAD"/>
    <w:rsid w:val="009D1030"/>
    <w:rsid w:val="009E0B0E"/>
    <w:rsid w:val="00A01034"/>
    <w:rsid w:val="00A03FCD"/>
    <w:rsid w:val="00A044C5"/>
    <w:rsid w:val="00A06293"/>
    <w:rsid w:val="00A142D8"/>
    <w:rsid w:val="00A30305"/>
    <w:rsid w:val="00A333D4"/>
    <w:rsid w:val="00A34108"/>
    <w:rsid w:val="00A42C59"/>
    <w:rsid w:val="00A65E07"/>
    <w:rsid w:val="00AA5DA0"/>
    <w:rsid w:val="00AA6B9A"/>
    <w:rsid w:val="00AD0C4D"/>
    <w:rsid w:val="00AD5678"/>
    <w:rsid w:val="00AE205D"/>
    <w:rsid w:val="00AF137E"/>
    <w:rsid w:val="00B2559B"/>
    <w:rsid w:val="00B26511"/>
    <w:rsid w:val="00B37695"/>
    <w:rsid w:val="00B5745E"/>
    <w:rsid w:val="00B57A7C"/>
    <w:rsid w:val="00B63D21"/>
    <w:rsid w:val="00B65D09"/>
    <w:rsid w:val="00B800D6"/>
    <w:rsid w:val="00BC3116"/>
    <w:rsid w:val="00BD686A"/>
    <w:rsid w:val="00BD6B46"/>
    <w:rsid w:val="00BE01B3"/>
    <w:rsid w:val="00BE0F65"/>
    <w:rsid w:val="00BE359B"/>
    <w:rsid w:val="00BE3C13"/>
    <w:rsid w:val="00C01B2D"/>
    <w:rsid w:val="00C044ED"/>
    <w:rsid w:val="00C07081"/>
    <w:rsid w:val="00C36ED4"/>
    <w:rsid w:val="00C55BD3"/>
    <w:rsid w:val="00C56397"/>
    <w:rsid w:val="00C67DEB"/>
    <w:rsid w:val="00C83B13"/>
    <w:rsid w:val="00CA2A27"/>
    <w:rsid w:val="00CA5173"/>
    <w:rsid w:val="00CB16D5"/>
    <w:rsid w:val="00CB656D"/>
    <w:rsid w:val="00CE3FEE"/>
    <w:rsid w:val="00D007FC"/>
    <w:rsid w:val="00D03BD6"/>
    <w:rsid w:val="00D04122"/>
    <w:rsid w:val="00D06D31"/>
    <w:rsid w:val="00D07A08"/>
    <w:rsid w:val="00D1253E"/>
    <w:rsid w:val="00D1343E"/>
    <w:rsid w:val="00D146C3"/>
    <w:rsid w:val="00D14EF6"/>
    <w:rsid w:val="00D300A0"/>
    <w:rsid w:val="00D300B6"/>
    <w:rsid w:val="00D420B6"/>
    <w:rsid w:val="00D63454"/>
    <w:rsid w:val="00D66350"/>
    <w:rsid w:val="00D704F0"/>
    <w:rsid w:val="00D73EC4"/>
    <w:rsid w:val="00D74BFD"/>
    <w:rsid w:val="00D839F5"/>
    <w:rsid w:val="00D92DA1"/>
    <w:rsid w:val="00DA3120"/>
    <w:rsid w:val="00DA7809"/>
    <w:rsid w:val="00DC4290"/>
    <w:rsid w:val="00DC580A"/>
    <w:rsid w:val="00DD0A93"/>
    <w:rsid w:val="00DD59E9"/>
    <w:rsid w:val="00DD7B3C"/>
    <w:rsid w:val="00DD7F0F"/>
    <w:rsid w:val="00DE47D1"/>
    <w:rsid w:val="00DE6F55"/>
    <w:rsid w:val="00DF13EB"/>
    <w:rsid w:val="00E0796E"/>
    <w:rsid w:val="00E1131D"/>
    <w:rsid w:val="00E304DC"/>
    <w:rsid w:val="00E3295A"/>
    <w:rsid w:val="00E418F6"/>
    <w:rsid w:val="00E43491"/>
    <w:rsid w:val="00E545EB"/>
    <w:rsid w:val="00E562DC"/>
    <w:rsid w:val="00E65F1B"/>
    <w:rsid w:val="00E735BD"/>
    <w:rsid w:val="00E769A8"/>
    <w:rsid w:val="00E77786"/>
    <w:rsid w:val="00E868E3"/>
    <w:rsid w:val="00E908BA"/>
    <w:rsid w:val="00EA4675"/>
    <w:rsid w:val="00EA7331"/>
    <w:rsid w:val="00EA79A5"/>
    <w:rsid w:val="00EB02C6"/>
    <w:rsid w:val="00EC70EA"/>
    <w:rsid w:val="00EC7A57"/>
    <w:rsid w:val="00ED509E"/>
    <w:rsid w:val="00EE2482"/>
    <w:rsid w:val="00EF107E"/>
    <w:rsid w:val="00EF6E72"/>
    <w:rsid w:val="00F004EB"/>
    <w:rsid w:val="00F01D8C"/>
    <w:rsid w:val="00F34E11"/>
    <w:rsid w:val="00F40017"/>
    <w:rsid w:val="00F46F38"/>
    <w:rsid w:val="00F5206A"/>
    <w:rsid w:val="00F61D82"/>
    <w:rsid w:val="00F625A5"/>
    <w:rsid w:val="00F63C49"/>
    <w:rsid w:val="00F71197"/>
    <w:rsid w:val="00F77748"/>
    <w:rsid w:val="00F92A4A"/>
    <w:rsid w:val="00FB1522"/>
    <w:rsid w:val="00FB158E"/>
    <w:rsid w:val="00FC3C14"/>
    <w:rsid w:val="00FE21C1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www.ina.hr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R@ina.hr" TargetMode="Externa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dulovic\AppData\Local\Microsoft\Windows\Temporary%20Internet%20Files\Content.Outlook\FJK6ZV86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Hrv!$G$18</c:f>
              <c:strCache>
                <c:ptCount val="1"/>
                <c:pt idx="0">
                  <c:v>Kapitalna ulaganja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Hrv!$H$17:$I$17</c:f>
              <c:strCache>
                <c:ptCount val="2"/>
                <c:pt idx="0">
                  <c:v>I-VI 2013</c:v>
                </c:pt>
                <c:pt idx="1">
                  <c:v>I-VI 2014</c:v>
                </c:pt>
              </c:strCache>
            </c:strRef>
          </c:cat>
          <c:val>
            <c:numRef>
              <c:f>Hrv!$H$18:$I$18</c:f>
              <c:numCache>
                <c:formatCode>#,##0</c:formatCode>
                <c:ptCount val="2"/>
                <c:pt idx="0">
                  <c:v>500</c:v>
                </c:pt>
                <c:pt idx="1">
                  <c:v>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05856"/>
        <c:axId val="145285888"/>
      </c:barChart>
      <c:catAx>
        <c:axId val="14450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285888"/>
        <c:crosses val="autoZero"/>
        <c:auto val="1"/>
        <c:lblAlgn val="ctr"/>
        <c:lblOffset val="100"/>
        <c:noMultiLvlLbl val="0"/>
      </c:catAx>
      <c:valAx>
        <c:axId val="1452858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4505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rPr>
              <a:t>Ublažavanje prirodnog pada proizvodnje sirove nafte u Hrvatskoj</a:t>
            </a:r>
            <a:r>
              <a:rPr lang="hr-HR" sz="1400" b="1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rPr>
              <a:t> </a:t>
            </a:r>
            <a:endParaRPr lang="en-US" sz="1400" b="1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% promjene</c:v>
                </c:pt>
              </c:strCache>
            </c:strRef>
          </c:tx>
          <c:marker>
            <c:symbol val="square"/>
            <c:size val="5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Sheet1!$A$4:$A$9</c:f>
              <c:strCach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I-VI 2014</c:v>
                </c:pt>
              </c:strCache>
            </c:strRef>
          </c:cat>
          <c:val>
            <c:numRef>
              <c:f>Sheet1!$B$4:$B$9</c:f>
              <c:numCache>
                <c:formatCode>0%</c:formatCode>
                <c:ptCount val="6"/>
                <c:pt idx="0">
                  <c:v>-0.05</c:v>
                </c:pt>
                <c:pt idx="1">
                  <c:v>-0.09</c:v>
                </c:pt>
                <c:pt idx="2">
                  <c:v>-0.06</c:v>
                </c:pt>
                <c:pt idx="3">
                  <c:v>-0.03</c:v>
                </c:pt>
                <c:pt idx="4">
                  <c:v>-0.02</c:v>
                </c:pt>
                <c:pt idx="5">
                  <c:v>0.01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24800"/>
        <c:axId val="146126336"/>
      </c:lineChart>
      <c:catAx>
        <c:axId val="146124800"/>
        <c:scaling>
          <c:orientation val="minMax"/>
        </c:scaling>
        <c:delete val="0"/>
        <c:axPos val="b"/>
        <c:majorTickMark val="out"/>
        <c:minorTickMark val="none"/>
        <c:tickLblPos val="high"/>
        <c:crossAx val="146126336"/>
        <c:crosses val="autoZero"/>
        <c:auto val="1"/>
        <c:lblAlgn val="ctr"/>
        <c:lblOffset val="100"/>
        <c:noMultiLvlLbl val="0"/>
      </c:catAx>
      <c:valAx>
        <c:axId val="1461263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4612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Hrv!$G$34</c:f>
              <c:strCache>
                <c:ptCount val="1"/>
                <c:pt idx="0">
                  <c:v>kapitalna ulaganja Upstream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Hrv!$H$33:$I$33</c:f>
              <c:strCache>
                <c:ptCount val="2"/>
                <c:pt idx="0">
                  <c:v>I-VI 2013</c:v>
                </c:pt>
                <c:pt idx="1">
                  <c:v>I-VI 2014</c:v>
                </c:pt>
              </c:strCache>
            </c:strRef>
          </c:cat>
          <c:val>
            <c:numRef>
              <c:f>Hrv!$H$34:$I$34</c:f>
              <c:numCache>
                <c:formatCode>#,##0</c:formatCode>
                <c:ptCount val="2"/>
                <c:pt idx="0">
                  <c:v>364</c:v>
                </c:pt>
                <c:pt idx="1">
                  <c:v>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51456"/>
        <c:axId val="144452992"/>
      </c:barChart>
      <c:catAx>
        <c:axId val="14445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452992"/>
        <c:crosses val="autoZero"/>
        <c:auto val="1"/>
        <c:lblAlgn val="ctr"/>
        <c:lblOffset val="100"/>
        <c:noMultiLvlLbl val="0"/>
      </c:catAx>
      <c:valAx>
        <c:axId val="14445299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4451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Hrv!$G$48</c:f>
              <c:strCache>
                <c:ptCount val="1"/>
                <c:pt idx="0">
                  <c:v>kapitalna ulaganja R&amp;M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Hrv!$H$47:$I$47</c:f>
              <c:strCache>
                <c:ptCount val="2"/>
                <c:pt idx="0">
                  <c:v>I-VI 2013</c:v>
                </c:pt>
                <c:pt idx="1">
                  <c:v>I-VI 2014</c:v>
                </c:pt>
              </c:strCache>
            </c:strRef>
          </c:cat>
          <c:val>
            <c:numRef>
              <c:f>Hrv!$H$48:$I$48</c:f>
              <c:numCache>
                <c:formatCode>#,##0</c:formatCode>
                <c:ptCount val="2"/>
                <c:pt idx="0">
                  <c:v>117</c:v>
                </c:pt>
                <c:pt idx="1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09824"/>
        <c:axId val="152654976"/>
      </c:barChart>
      <c:catAx>
        <c:axId val="152509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654976"/>
        <c:crosses val="autoZero"/>
        <c:auto val="1"/>
        <c:lblAlgn val="ctr"/>
        <c:lblOffset val="100"/>
        <c:noMultiLvlLbl val="0"/>
      </c:catAx>
      <c:valAx>
        <c:axId val="1526549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5250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Hrv!$G$63</c:f>
              <c:strCache>
                <c:ptCount val="1"/>
                <c:pt idx="0">
                  <c:v>Neto zaduženost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Hrv!$H$62:$I$62</c:f>
              <c:strCache>
                <c:ptCount val="2"/>
                <c:pt idx="0">
                  <c:v>I-VI 2013</c:v>
                </c:pt>
                <c:pt idx="1">
                  <c:v>I-VI 2014</c:v>
                </c:pt>
              </c:strCache>
            </c:strRef>
          </c:cat>
          <c:val>
            <c:numRef>
              <c:f>Hrv!$H$63:$I$63</c:f>
              <c:numCache>
                <c:formatCode>#,##0</c:formatCode>
                <c:ptCount val="2"/>
                <c:pt idx="0">
                  <c:v>5200</c:v>
                </c:pt>
                <c:pt idx="1">
                  <c:v>4269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12000"/>
        <c:axId val="152513536"/>
      </c:barChart>
      <c:catAx>
        <c:axId val="152512000"/>
        <c:scaling>
          <c:orientation val="minMax"/>
          <c:max val="2"/>
          <c:min val="1"/>
        </c:scaling>
        <c:delete val="0"/>
        <c:axPos val="b"/>
        <c:numFmt formatCode="m/d/yyyy" sourceLinked="1"/>
        <c:majorTickMark val="out"/>
        <c:minorTickMark val="none"/>
        <c:tickLblPos val="nextTo"/>
        <c:crossAx val="152513536"/>
        <c:crosses val="autoZero"/>
        <c:auto val="0"/>
        <c:lblAlgn val="ctr"/>
        <c:lblOffset val="100"/>
        <c:noMultiLvlLbl val="0"/>
      </c:catAx>
      <c:valAx>
        <c:axId val="1525135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52512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Hrv!$G$79</c:f>
              <c:strCache>
                <c:ptCount val="1"/>
                <c:pt idx="0">
                  <c:v>Omjer duga i kapitala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Hrv!$H$78:$I$78</c:f>
              <c:strCache>
                <c:ptCount val="2"/>
                <c:pt idx="0">
                  <c:v>I-VI 2013</c:v>
                </c:pt>
                <c:pt idx="1">
                  <c:v>I-VI 2014</c:v>
                </c:pt>
              </c:strCache>
            </c:strRef>
          </c:cat>
          <c:val>
            <c:numRef>
              <c:f>Hrv!$H$79:$I$79</c:f>
              <c:numCache>
                <c:formatCode>#.##00</c:formatCode>
                <c:ptCount val="2"/>
                <c:pt idx="0">
                  <c:v>25.8</c:v>
                </c:pt>
                <c:pt idx="1">
                  <c:v>24.3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70016"/>
        <c:axId val="208900480"/>
      </c:barChart>
      <c:catAx>
        <c:axId val="208870016"/>
        <c:scaling>
          <c:orientation val="minMax"/>
          <c:max val="2"/>
          <c:min val="1"/>
        </c:scaling>
        <c:delete val="0"/>
        <c:axPos val="b"/>
        <c:numFmt formatCode="m/d/yyyy" sourceLinked="1"/>
        <c:majorTickMark val="out"/>
        <c:minorTickMark val="none"/>
        <c:tickLblPos val="nextTo"/>
        <c:crossAx val="208900480"/>
        <c:crosses val="autoZero"/>
        <c:auto val="0"/>
        <c:lblAlgn val="ctr"/>
        <c:lblOffset val="100"/>
        <c:noMultiLvlLbl val="0"/>
      </c:catAx>
      <c:valAx>
        <c:axId val="208900480"/>
        <c:scaling>
          <c:orientation val="minMax"/>
          <c:min val="0"/>
        </c:scaling>
        <c:delete val="1"/>
        <c:axPos val="l"/>
        <c:numFmt formatCode="#.##00" sourceLinked="1"/>
        <c:majorTickMark val="out"/>
        <c:minorTickMark val="none"/>
        <c:tickLblPos val="nextTo"/>
        <c:crossAx val="208870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4327-9E30-40FD-AAB0-91FC828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IDulovic</cp:lastModifiedBy>
  <cp:revision>5</cp:revision>
  <cp:lastPrinted>2014-07-30T08:32:00Z</cp:lastPrinted>
  <dcterms:created xsi:type="dcterms:W3CDTF">2014-07-30T07:21:00Z</dcterms:created>
  <dcterms:modified xsi:type="dcterms:W3CDTF">2014-07-30T09:34:00Z</dcterms:modified>
</cp:coreProperties>
</file>