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602AF4" w14:textId="77777777" w:rsidR="00E11167" w:rsidRPr="00C9084B" w:rsidRDefault="00E11167" w:rsidP="00E11167"/>
    <w:p w14:paraId="2A5CB433" w14:textId="77777777" w:rsidR="00E11167" w:rsidRPr="00C9084B" w:rsidRDefault="00E11167" w:rsidP="00E11167"/>
    <w:p w14:paraId="4179CF09" w14:textId="77777777" w:rsidR="00E11167" w:rsidRPr="00C9084B" w:rsidRDefault="00E11167" w:rsidP="00E11167"/>
    <w:p w14:paraId="7908632F" w14:textId="77777777" w:rsidR="00E11167" w:rsidRPr="00C9084B" w:rsidRDefault="00E11167" w:rsidP="00E11167"/>
    <w:p w14:paraId="51D1F6E3" w14:textId="77777777" w:rsidR="00E11167" w:rsidRPr="00C9084B" w:rsidRDefault="00E11167" w:rsidP="00E11167"/>
    <w:p w14:paraId="7EF94332" w14:textId="77777777" w:rsidR="00E11167" w:rsidRPr="00C9084B" w:rsidRDefault="00E11167" w:rsidP="00E11167"/>
    <w:p w14:paraId="3B93C21C" w14:textId="77777777" w:rsidR="00E11167" w:rsidRPr="00C9084B" w:rsidRDefault="00E11167" w:rsidP="00E11167">
      <w:pPr>
        <w:rPr>
          <w:rFonts w:asciiTheme="minorHAnsi" w:hAnsiTheme="minorHAnsi"/>
        </w:rPr>
      </w:pPr>
    </w:p>
    <w:p w14:paraId="2E8A8A35" w14:textId="77777777" w:rsidR="00E11167" w:rsidRPr="00C9084B" w:rsidRDefault="00E11167" w:rsidP="00E11167">
      <w:pPr>
        <w:jc w:val="center"/>
        <w:rPr>
          <w:rFonts w:asciiTheme="minorHAnsi" w:hAnsiTheme="minorHAnsi"/>
          <w:sz w:val="56"/>
          <w:szCs w:val="56"/>
        </w:rPr>
      </w:pPr>
      <w:r w:rsidRPr="00C9084B">
        <w:rPr>
          <w:rFonts w:asciiTheme="minorHAnsi" w:hAnsiTheme="minorHAnsi"/>
          <w:sz w:val="56"/>
          <w:szCs w:val="56"/>
        </w:rPr>
        <w:t>FINANCI</w:t>
      </w:r>
      <w:r w:rsidR="00D6588F" w:rsidRPr="00C9084B">
        <w:rPr>
          <w:rFonts w:asciiTheme="minorHAnsi" w:hAnsiTheme="minorHAnsi"/>
          <w:sz w:val="56"/>
          <w:szCs w:val="56"/>
        </w:rPr>
        <w:t>JSKI REZULTATI</w:t>
      </w:r>
      <w:r w:rsidR="00766726" w:rsidRPr="00C9084B">
        <w:rPr>
          <w:rFonts w:asciiTheme="minorHAnsi" w:hAnsiTheme="minorHAnsi"/>
          <w:sz w:val="56"/>
          <w:szCs w:val="56"/>
        </w:rPr>
        <w:t xml:space="preserve"> ZA</w:t>
      </w:r>
    </w:p>
    <w:p w14:paraId="13E4EB86" w14:textId="0DBB7704" w:rsidR="00E11167" w:rsidRPr="00C9084B" w:rsidRDefault="00E11167" w:rsidP="00E11167">
      <w:pPr>
        <w:jc w:val="center"/>
        <w:rPr>
          <w:rFonts w:asciiTheme="minorHAnsi" w:hAnsiTheme="minorHAnsi"/>
          <w:sz w:val="56"/>
          <w:szCs w:val="56"/>
        </w:rPr>
      </w:pPr>
      <w:r w:rsidRPr="00C9084B">
        <w:rPr>
          <w:rFonts w:asciiTheme="minorHAnsi" w:hAnsiTheme="minorHAnsi"/>
          <w:sz w:val="56"/>
          <w:szCs w:val="56"/>
        </w:rPr>
        <w:t>2015</w:t>
      </w:r>
      <w:r w:rsidR="00D6588F" w:rsidRPr="00C9084B">
        <w:rPr>
          <w:rFonts w:asciiTheme="minorHAnsi" w:hAnsiTheme="minorHAnsi"/>
          <w:sz w:val="56"/>
          <w:szCs w:val="56"/>
        </w:rPr>
        <w:t>.</w:t>
      </w:r>
      <w:r w:rsidR="00242ED9" w:rsidRPr="00C9084B">
        <w:rPr>
          <w:rFonts w:asciiTheme="minorHAnsi" w:hAnsiTheme="minorHAnsi"/>
          <w:sz w:val="56"/>
          <w:szCs w:val="56"/>
        </w:rPr>
        <w:t xml:space="preserve"> GODINU</w:t>
      </w:r>
    </w:p>
    <w:p w14:paraId="502C261B" w14:textId="77777777" w:rsidR="00E11167" w:rsidRPr="00C9084B" w:rsidRDefault="00E11167" w:rsidP="00E11167">
      <w:pPr>
        <w:jc w:val="center"/>
        <w:rPr>
          <w:rFonts w:asciiTheme="minorHAnsi" w:hAnsiTheme="minorHAnsi"/>
          <w:sz w:val="56"/>
          <w:szCs w:val="56"/>
        </w:rPr>
      </w:pPr>
    </w:p>
    <w:p w14:paraId="48BEBD03" w14:textId="77777777" w:rsidR="00E11167" w:rsidRPr="00C9084B" w:rsidRDefault="00E11167" w:rsidP="00E11167">
      <w:pPr>
        <w:rPr>
          <w:rFonts w:asciiTheme="minorHAnsi" w:hAnsiTheme="minorHAnsi"/>
        </w:rPr>
      </w:pPr>
    </w:p>
    <w:p w14:paraId="586608CF" w14:textId="77777777" w:rsidR="00E11167" w:rsidRPr="00C9084B" w:rsidRDefault="00E11167" w:rsidP="00E11167">
      <w:pPr>
        <w:rPr>
          <w:rFonts w:asciiTheme="minorHAnsi" w:hAnsiTheme="minorHAnsi"/>
        </w:rPr>
      </w:pPr>
    </w:p>
    <w:p w14:paraId="5D6CDC8B" w14:textId="77777777" w:rsidR="00E11167" w:rsidRPr="00C9084B" w:rsidRDefault="00E11167" w:rsidP="00E11167">
      <w:pPr>
        <w:rPr>
          <w:rFonts w:asciiTheme="minorHAnsi" w:hAnsiTheme="minorHAnsi"/>
        </w:rPr>
      </w:pPr>
    </w:p>
    <w:p w14:paraId="34559730" w14:textId="77777777" w:rsidR="00E11167" w:rsidRPr="00C9084B" w:rsidRDefault="00E11167" w:rsidP="00E11167">
      <w:pPr>
        <w:rPr>
          <w:rFonts w:asciiTheme="minorHAnsi" w:hAnsiTheme="minorHAnsi"/>
        </w:rPr>
      </w:pPr>
    </w:p>
    <w:p w14:paraId="5295EC58" w14:textId="77777777" w:rsidR="00E11167" w:rsidRPr="00C9084B" w:rsidRDefault="00E11167" w:rsidP="00E11167">
      <w:pPr>
        <w:rPr>
          <w:rFonts w:asciiTheme="minorHAnsi" w:hAnsiTheme="minorHAnsi"/>
        </w:rPr>
      </w:pPr>
    </w:p>
    <w:p w14:paraId="5C98D8FD" w14:textId="77777777" w:rsidR="00E11167" w:rsidRPr="00C9084B" w:rsidRDefault="00E11167" w:rsidP="00E11167">
      <w:pPr>
        <w:rPr>
          <w:rFonts w:asciiTheme="minorHAnsi" w:hAnsiTheme="minorHAnsi"/>
          <w:sz w:val="20"/>
          <w:szCs w:val="20"/>
        </w:rPr>
      </w:pPr>
    </w:p>
    <w:p w14:paraId="6EC946C3" w14:textId="77777777" w:rsidR="00E11167" w:rsidRPr="00C9084B" w:rsidRDefault="00E11167" w:rsidP="00E11167">
      <w:pPr>
        <w:rPr>
          <w:rFonts w:asciiTheme="minorHAnsi" w:hAnsiTheme="minorHAnsi"/>
          <w:sz w:val="20"/>
          <w:szCs w:val="20"/>
        </w:rPr>
      </w:pPr>
    </w:p>
    <w:p w14:paraId="3AAC9369" w14:textId="77777777" w:rsidR="00E11167" w:rsidRPr="00C9084B" w:rsidRDefault="00E11167" w:rsidP="00E11167">
      <w:pPr>
        <w:rPr>
          <w:rFonts w:asciiTheme="minorHAnsi" w:hAnsiTheme="minorHAnsi"/>
          <w:sz w:val="20"/>
          <w:szCs w:val="20"/>
        </w:rPr>
      </w:pPr>
    </w:p>
    <w:p w14:paraId="09A004A1" w14:textId="77777777" w:rsidR="00E11167" w:rsidRPr="00C9084B" w:rsidRDefault="00E11167" w:rsidP="00E11167">
      <w:pPr>
        <w:rPr>
          <w:rFonts w:asciiTheme="minorHAnsi" w:hAnsiTheme="minorHAnsi"/>
          <w:sz w:val="20"/>
          <w:szCs w:val="20"/>
        </w:rPr>
      </w:pPr>
    </w:p>
    <w:p w14:paraId="5ADE5407" w14:textId="77777777" w:rsidR="00E11167" w:rsidRPr="00C9084B" w:rsidRDefault="00E11167" w:rsidP="00E11167">
      <w:pPr>
        <w:rPr>
          <w:rFonts w:asciiTheme="minorHAnsi" w:hAnsiTheme="minorHAnsi"/>
          <w:sz w:val="20"/>
          <w:szCs w:val="20"/>
        </w:rPr>
      </w:pPr>
    </w:p>
    <w:p w14:paraId="1E4A6B95" w14:textId="77777777" w:rsidR="00E11167" w:rsidRPr="00C9084B" w:rsidRDefault="00E11167" w:rsidP="00E11167">
      <w:pPr>
        <w:rPr>
          <w:rFonts w:asciiTheme="minorHAnsi" w:hAnsiTheme="minorHAnsi"/>
          <w:sz w:val="20"/>
          <w:szCs w:val="20"/>
        </w:rPr>
      </w:pPr>
    </w:p>
    <w:p w14:paraId="280E0135" w14:textId="77777777" w:rsidR="00E11167" w:rsidRPr="00C9084B" w:rsidRDefault="00E11167" w:rsidP="00E11167">
      <w:pPr>
        <w:rPr>
          <w:rFonts w:asciiTheme="minorHAnsi" w:hAnsiTheme="minorHAnsi"/>
          <w:sz w:val="20"/>
          <w:szCs w:val="20"/>
        </w:rPr>
      </w:pPr>
    </w:p>
    <w:p w14:paraId="3C510C12" w14:textId="77777777" w:rsidR="00E11167" w:rsidRPr="00C9084B" w:rsidRDefault="00E11167" w:rsidP="00E11167">
      <w:pPr>
        <w:rPr>
          <w:rFonts w:asciiTheme="minorHAnsi" w:hAnsiTheme="minorHAnsi"/>
          <w:sz w:val="20"/>
          <w:szCs w:val="20"/>
        </w:rPr>
      </w:pPr>
    </w:p>
    <w:p w14:paraId="0C48E2C3" w14:textId="77777777" w:rsidR="00D6588F" w:rsidRPr="00C9084B" w:rsidRDefault="00D6588F" w:rsidP="00D6588F">
      <w:pPr>
        <w:jc w:val="both"/>
        <w:outlineLvl w:val="0"/>
        <w:rPr>
          <w:rFonts w:asciiTheme="minorHAnsi" w:hAnsiTheme="minorHAnsi" w:cs="Calibri"/>
          <w:color w:val="808080"/>
          <w:sz w:val="20"/>
          <w:szCs w:val="20"/>
        </w:rPr>
      </w:pPr>
      <w:r w:rsidRPr="00C9084B">
        <w:rPr>
          <w:rFonts w:asciiTheme="minorHAnsi" w:hAnsiTheme="minorHAnsi" w:cs="Calibri"/>
          <w:color w:val="808080"/>
          <w:sz w:val="20"/>
          <w:szCs w:val="20"/>
        </w:rPr>
        <w:t>Kontakt:</w:t>
      </w:r>
    </w:p>
    <w:p w14:paraId="63300C9C" w14:textId="77777777" w:rsidR="00D6588F" w:rsidRPr="00C9084B" w:rsidRDefault="00D6588F" w:rsidP="00D6588F">
      <w:pPr>
        <w:jc w:val="both"/>
        <w:rPr>
          <w:rFonts w:asciiTheme="minorHAnsi" w:hAnsiTheme="minorHAnsi" w:cs="Calibri"/>
          <w:sz w:val="20"/>
          <w:szCs w:val="20"/>
        </w:rPr>
      </w:pPr>
    </w:p>
    <w:p w14:paraId="4560983C" w14:textId="77777777" w:rsidR="00D6588F" w:rsidRPr="00C9084B" w:rsidRDefault="00D6588F" w:rsidP="00D6588F">
      <w:pPr>
        <w:jc w:val="both"/>
        <w:rPr>
          <w:rFonts w:asciiTheme="minorHAnsi" w:hAnsiTheme="minorHAnsi" w:cs="Calibri"/>
          <w:color w:val="999999"/>
          <w:sz w:val="20"/>
          <w:szCs w:val="20"/>
        </w:rPr>
      </w:pPr>
      <w:r w:rsidRPr="00C9084B">
        <w:rPr>
          <w:rFonts w:asciiTheme="minorHAnsi" w:hAnsiTheme="minorHAnsi" w:cs="Calibri"/>
          <w:color w:val="999999"/>
          <w:sz w:val="20"/>
          <w:szCs w:val="20"/>
        </w:rPr>
        <w:t>INA-Industrija nafte, d.d.</w:t>
      </w:r>
    </w:p>
    <w:p w14:paraId="25BD0E4A" w14:textId="77777777" w:rsidR="00D6588F" w:rsidRPr="00C9084B" w:rsidRDefault="00D6588F" w:rsidP="00D6588F">
      <w:pPr>
        <w:jc w:val="both"/>
        <w:rPr>
          <w:rFonts w:asciiTheme="minorHAnsi" w:hAnsiTheme="minorHAnsi" w:cs="Calibri"/>
          <w:color w:val="999999"/>
          <w:sz w:val="20"/>
          <w:szCs w:val="20"/>
        </w:rPr>
      </w:pPr>
      <w:r w:rsidRPr="00C9084B">
        <w:rPr>
          <w:rFonts w:asciiTheme="minorHAnsi" w:hAnsiTheme="minorHAnsi" w:cs="Calibri"/>
          <w:color w:val="999999"/>
          <w:sz w:val="20"/>
          <w:szCs w:val="20"/>
        </w:rPr>
        <w:t xml:space="preserve">Sektor korporativnih komunikacija </w:t>
      </w:r>
    </w:p>
    <w:p w14:paraId="60D9F436" w14:textId="77777777" w:rsidR="00D6588F" w:rsidRPr="00C9084B" w:rsidRDefault="00D6588F" w:rsidP="00D6588F">
      <w:pPr>
        <w:jc w:val="both"/>
        <w:rPr>
          <w:rFonts w:asciiTheme="minorHAnsi" w:hAnsiTheme="minorHAnsi" w:cs="Calibri"/>
          <w:color w:val="999999"/>
          <w:sz w:val="20"/>
          <w:szCs w:val="20"/>
        </w:rPr>
      </w:pPr>
      <w:r w:rsidRPr="00C9084B">
        <w:rPr>
          <w:rFonts w:asciiTheme="minorHAnsi" w:hAnsiTheme="minorHAnsi" w:cs="Calibri"/>
          <w:color w:val="999999"/>
          <w:sz w:val="20"/>
          <w:szCs w:val="20"/>
        </w:rPr>
        <w:t>Avenija Većeslava Holjevca 10, Zagreb</w:t>
      </w:r>
    </w:p>
    <w:p w14:paraId="247AB8D3" w14:textId="77777777" w:rsidR="00D6588F" w:rsidRPr="00C9084B" w:rsidRDefault="00D6588F" w:rsidP="00D6588F">
      <w:pPr>
        <w:jc w:val="both"/>
        <w:rPr>
          <w:rFonts w:asciiTheme="minorHAnsi" w:hAnsiTheme="minorHAnsi" w:cs="Calibri"/>
          <w:color w:val="999999"/>
          <w:sz w:val="20"/>
          <w:szCs w:val="20"/>
        </w:rPr>
      </w:pPr>
    </w:p>
    <w:p w14:paraId="13113E23" w14:textId="77777777" w:rsidR="00D6588F" w:rsidRPr="00C9084B" w:rsidRDefault="00D6588F" w:rsidP="00D6588F">
      <w:pPr>
        <w:jc w:val="both"/>
        <w:outlineLvl w:val="0"/>
        <w:rPr>
          <w:rFonts w:asciiTheme="minorHAnsi" w:hAnsiTheme="minorHAnsi" w:cs="Calibri"/>
          <w:color w:val="999999"/>
          <w:sz w:val="20"/>
          <w:szCs w:val="20"/>
        </w:rPr>
      </w:pPr>
      <w:r w:rsidRPr="00C9084B">
        <w:rPr>
          <w:rFonts w:asciiTheme="minorHAnsi" w:hAnsiTheme="minorHAnsi" w:cs="Calibri"/>
          <w:color w:val="999999"/>
          <w:sz w:val="20"/>
          <w:szCs w:val="20"/>
        </w:rPr>
        <w:t>Služba za odnose s javnošću</w:t>
      </w:r>
    </w:p>
    <w:p w14:paraId="17898322" w14:textId="77777777" w:rsidR="00D6588F" w:rsidRPr="00C9084B" w:rsidRDefault="00D6588F" w:rsidP="00D6588F">
      <w:pPr>
        <w:jc w:val="both"/>
        <w:rPr>
          <w:rFonts w:asciiTheme="minorHAnsi" w:hAnsiTheme="minorHAnsi" w:cs="Calibri"/>
          <w:color w:val="999999"/>
          <w:sz w:val="20"/>
          <w:szCs w:val="20"/>
        </w:rPr>
      </w:pPr>
      <w:r w:rsidRPr="00C9084B">
        <w:rPr>
          <w:rFonts w:asciiTheme="minorHAnsi" w:hAnsiTheme="minorHAnsi" w:cs="Calibri"/>
          <w:color w:val="999999"/>
          <w:sz w:val="20"/>
          <w:szCs w:val="20"/>
        </w:rPr>
        <w:t xml:space="preserve">E-mail:  </w:t>
      </w:r>
      <w:hyperlink r:id="rId8" w:history="1">
        <w:r w:rsidRPr="00C9084B">
          <w:rPr>
            <w:rStyle w:val="Hyperlink"/>
            <w:rFonts w:asciiTheme="minorHAnsi" w:hAnsiTheme="minorHAnsi" w:cs="Calibri"/>
            <w:color w:val="999999"/>
          </w:rPr>
          <w:t>PR@ina.hr</w:t>
        </w:r>
      </w:hyperlink>
    </w:p>
    <w:p w14:paraId="11786E98" w14:textId="77777777" w:rsidR="00E11167" w:rsidRPr="00C9084B" w:rsidRDefault="00D6588F" w:rsidP="00D6588F">
      <w:pPr>
        <w:jc w:val="both"/>
        <w:rPr>
          <w:rFonts w:asciiTheme="minorHAnsi" w:hAnsiTheme="minorHAnsi" w:cs="Calibri"/>
          <w:color w:val="999999"/>
          <w:sz w:val="20"/>
          <w:szCs w:val="20"/>
        </w:rPr>
      </w:pPr>
      <w:r w:rsidRPr="00C9084B">
        <w:rPr>
          <w:rFonts w:asciiTheme="minorHAnsi" w:hAnsiTheme="minorHAnsi" w:cs="Calibri"/>
          <w:color w:val="999999"/>
          <w:sz w:val="20"/>
          <w:szCs w:val="20"/>
        </w:rPr>
        <w:t xml:space="preserve">Press centar na </w:t>
      </w:r>
      <w:hyperlink r:id="rId9" w:history="1">
        <w:r w:rsidRPr="00C9084B">
          <w:rPr>
            <w:rStyle w:val="Hyperlink"/>
            <w:rFonts w:asciiTheme="minorHAnsi" w:hAnsiTheme="minorHAnsi" w:cs="Calibri"/>
            <w:color w:val="999999"/>
          </w:rPr>
          <w:t>www.ina.hr</w:t>
        </w:r>
      </w:hyperlink>
      <w:r w:rsidRPr="00C9084B">
        <w:rPr>
          <w:rFonts w:asciiTheme="minorHAnsi" w:hAnsiTheme="minorHAnsi" w:cs="Calibri"/>
          <w:color w:val="999999"/>
          <w:sz w:val="20"/>
          <w:szCs w:val="20"/>
        </w:rPr>
        <w:t xml:space="preserve"> </w:t>
      </w:r>
    </w:p>
    <w:p w14:paraId="54377C62" w14:textId="77777777" w:rsidR="00E11167" w:rsidRPr="00C9084B" w:rsidRDefault="00E11167" w:rsidP="00E11167">
      <w:pPr>
        <w:rPr>
          <w:rFonts w:asciiTheme="minorHAnsi" w:hAnsiTheme="minorHAnsi"/>
        </w:rPr>
        <w:sectPr w:rsidR="00E11167" w:rsidRPr="00C9084B" w:rsidSect="0039152A">
          <w:headerReference w:type="default" r:id="rId10"/>
          <w:footerReference w:type="default" r:id="rId11"/>
          <w:pgSz w:w="11906" w:h="16838" w:code="9"/>
          <w:pgMar w:top="3402" w:right="1134" w:bottom="1843" w:left="1418" w:header="851" w:footer="459" w:gutter="0"/>
          <w:cols w:space="708"/>
          <w:docGrid w:linePitch="360"/>
        </w:sectPr>
      </w:pPr>
    </w:p>
    <w:p w14:paraId="75563EF0" w14:textId="77777777" w:rsidR="006D22B0" w:rsidRDefault="006D22B0" w:rsidP="00E11167">
      <w:pPr>
        <w:jc w:val="center"/>
        <w:rPr>
          <w:rFonts w:asciiTheme="minorHAnsi" w:hAnsiTheme="minorHAnsi"/>
          <w:b/>
          <w:sz w:val="28"/>
          <w:szCs w:val="28"/>
        </w:rPr>
      </w:pPr>
      <w:bookmarkStart w:id="0" w:name="OLE_LINK1"/>
    </w:p>
    <w:p w14:paraId="2545F994" w14:textId="002A5B67" w:rsidR="00E11167" w:rsidRDefault="006D22B0" w:rsidP="00E11167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lastRenderedPageBreak/>
        <w:t>EBITDA raste, ulaganja stabilna</w:t>
      </w:r>
    </w:p>
    <w:p w14:paraId="08B97D78" w14:textId="77777777" w:rsidR="006D22B0" w:rsidRPr="00C9084B" w:rsidRDefault="006D22B0" w:rsidP="00E11167">
      <w:pPr>
        <w:jc w:val="center"/>
        <w:rPr>
          <w:rFonts w:asciiTheme="minorHAnsi" w:hAnsiTheme="minorHAnsi"/>
          <w:b/>
          <w:sz w:val="28"/>
          <w:szCs w:val="28"/>
        </w:rPr>
      </w:pPr>
    </w:p>
    <w:p w14:paraId="59350B73" w14:textId="77777777" w:rsidR="00E11167" w:rsidRPr="00C9084B" w:rsidRDefault="00E11167" w:rsidP="00E11167">
      <w:pPr>
        <w:spacing w:line="360" w:lineRule="auto"/>
        <w:rPr>
          <w:rFonts w:asciiTheme="minorHAnsi" w:hAnsiTheme="minorHAnsi"/>
          <w:b/>
        </w:rPr>
      </w:pPr>
      <w:r w:rsidRPr="00C9084B">
        <w:rPr>
          <w:rFonts w:asciiTheme="minorHAnsi" w:hAnsiTheme="minorHAnsi"/>
          <w:b/>
        </w:rPr>
        <w:t>K</w:t>
      </w:r>
      <w:r w:rsidR="00B55CFA" w:rsidRPr="00C9084B">
        <w:rPr>
          <w:rFonts w:asciiTheme="minorHAnsi" w:hAnsiTheme="minorHAnsi"/>
          <w:b/>
        </w:rPr>
        <w:t>ljučna postignuća</w:t>
      </w:r>
    </w:p>
    <w:p w14:paraId="15A657BB" w14:textId="001012A8" w:rsidR="00EF54B0" w:rsidRPr="00C9084B" w:rsidRDefault="00EF54B0" w:rsidP="00EF54B0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 w:rsidRPr="00C9084B">
        <w:rPr>
          <w:rFonts w:asciiTheme="minorHAnsi" w:hAnsiTheme="minorHAnsi"/>
        </w:rPr>
        <w:t>CCS</w:t>
      </w:r>
      <w:r w:rsidRPr="00C9084B">
        <w:rPr>
          <w:rFonts w:asciiTheme="minorHAnsi" w:hAnsiTheme="minorHAnsi"/>
          <w:b/>
          <w:vertAlign w:val="superscript"/>
        </w:rPr>
        <w:footnoteReference w:id="1"/>
      </w:r>
      <w:r w:rsidRPr="00C9084B">
        <w:rPr>
          <w:rFonts w:asciiTheme="minorHAnsi" w:hAnsiTheme="minorHAnsi"/>
        </w:rPr>
        <w:t xml:space="preserve"> EBITDA</w:t>
      </w:r>
      <w:r w:rsidRPr="00C9084B">
        <w:rPr>
          <w:rFonts w:asciiTheme="minorHAnsi" w:hAnsiTheme="minorHAnsi"/>
          <w:vertAlign w:val="superscript"/>
        </w:rPr>
        <w:footnoteReference w:id="2"/>
      </w:r>
      <w:r w:rsidR="00213062">
        <w:rPr>
          <w:rFonts w:asciiTheme="minorHAnsi" w:hAnsiTheme="minorHAnsi"/>
        </w:rPr>
        <w:t xml:space="preserve"> </w:t>
      </w:r>
      <w:r w:rsidRPr="00C9084B">
        <w:rPr>
          <w:rFonts w:asciiTheme="minorHAnsi" w:hAnsiTheme="minorHAnsi"/>
        </w:rPr>
        <w:t>INA Grupe iznosila je 3.669 milijuna kuna što je 9 posto više u odnosu na 2014., dok je neto dobit bez jednokratnih stavki iznosila 58 milijuna kuna</w:t>
      </w:r>
    </w:p>
    <w:p w14:paraId="29805B61" w14:textId="50FC1556" w:rsidR="00EF54B0" w:rsidRPr="00C9084B" w:rsidRDefault="00EF54B0" w:rsidP="00EF54B0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 w:rsidRPr="00C9084B">
        <w:rPr>
          <w:rFonts w:asciiTheme="minorHAnsi" w:hAnsiTheme="minorHAnsi"/>
        </w:rPr>
        <w:t>Trend rasta domaće proizvodnje sirove nafte se nastavlja: povećanje od 20 posto u usporedbi s 2014.</w:t>
      </w:r>
    </w:p>
    <w:p w14:paraId="3C3E65CA" w14:textId="71CB6127" w:rsidR="00EF54B0" w:rsidRPr="00C9084B" w:rsidRDefault="00EF54B0" w:rsidP="00EF54B0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 w:rsidRPr="00C9084B">
        <w:rPr>
          <w:rFonts w:asciiTheme="minorHAnsi" w:hAnsiTheme="minorHAnsi"/>
        </w:rPr>
        <w:t xml:space="preserve">Stabilan financijski položaj kompanije </w:t>
      </w:r>
    </w:p>
    <w:p w14:paraId="40D3D026" w14:textId="5EFFC5DE" w:rsidR="00EF54B0" w:rsidRPr="00C9084B" w:rsidRDefault="00EF54B0" w:rsidP="00EF54B0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 w:rsidRPr="00C9084B">
        <w:rPr>
          <w:rFonts w:asciiTheme="minorHAnsi" w:hAnsiTheme="minorHAnsi"/>
        </w:rPr>
        <w:t xml:space="preserve">Domaća ulaganja čine preko 84 posto CAPEX-a koji iznosi ukupno 1.650 milijuna kuna </w:t>
      </w:r>
    </w:p>
    <w:p w14:paraId="6774AEA1" w14:textId="22FBF336" w:rsidR="00EF54B0" w:rsidRPr="00C9084B" w:rsidRDefault="00EF54B0" w:rsidP="00EF54B0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 w:rsidRPr="00C9084B">
        <w:rPr>
          <w:rFonts w:asciiTheme="minorHAnsi" w:hAnsiTheme="minorHAnsi"/>
        </w:rPr>
        <w:t>Rafinerijs</w:t>
      </w:r>
      <w:r w:rsidR="006D22B0">
        <w:rPr>
          <w:rFonts w:asciiTheme="minorHAnsi" w:hAnsiTheme="minorHAnsi"/>
        </w:rPr>
        <w:t>ka proizvodnja porasla je za 13</w:t>
      </w:r>
      <w:r w:rsidRPr="00C9084B">
        <w:rPr>
          <w:rFonts w:asciiTheme="minorHAnsi" w:hAnsiTheme="minorHAnsi"/>
        </w:rPr>
        <w:t>, a prodaja rafinerijskih proizvoda za 10 posto</w:t>
      </w:r>
    </w:p>
    <w:p w14:paraId="2F346F83" w14:textId="77777777" w:rsidR="006D22B0" w:rsidRDefault="006D22B0" w:rsidP="00F22178">
      <w:pPr>
        <w:spacing w:line="360" w:lineRule="auto"/>
        <w:jc w:val="both"/>
        <w:rPr>
          <w:rFonts w:asciiTheme="minorHAnsi" w:hAnsiTheme="minorHAnsi"/>
          <w:b/>
        </w:rPr>
      </w:pPr>
    </w:p>
    <w:p w14:paraId="0F2D1F8D" w14:textId="56FC7C2B" w:rsidR="00F22178" w:rsidRDefault="00E11167" w:rsidP="00F22178">
      <w:pPr>
        <w:spacing w:line="360" w:lineRule="auto"/>
        <w:jc w:val="both"/>
        <w:rPr>
          <w:rFonts w:asciiTheme="minorHAnsi" w:hAnsiTheme="minorHAnsi"/>
          <w:b/>
        </w:rPr>
      </w:pPr>
      <w:r w:rsidRPr="00C9084B">
        <w:rPr>
          <w:rFonts w:asciiTheme="minorHAnsi" w:hAnsiTheme="minorHAnsi"/>
          <w:b/>
        </w:rPr>
        <w:t xml:space="preserve">Zagreb, </w:t>
      </w:r>
      <w:r w:rsidR="00242ED9" w:rsidRPr="00C9084B">
        <w:rPr>
          <w:rFonts w:asciiTheme="minorHAnsi" w:hAnsiTheme="minorHAnsi"/>
          <w:b/>
        </w:rPr>
        <w:t>2</w:t>
      </w:r>
      <w:r w:rsidR="006D22B0">
        <w:rPr>
          <w:rFonts w:asciiTheme="minorHAnsi" w:hAnsiTheme="minorHAnsi"/>
          <w:b/>
        </w:rPr>
        <w:t>3</w:t>
      </w:r>
      <w:r w:rsidR="0086576E" w:rsidRPr="00C9084B">
        <w:rPr>
          <w:rFonts w:asciiTheme="minorHAnsi" w:hAnsiTheme="minorHAnsi"/>
          <w:b/>
        </w:rPr>
        <w:t>.</w:t>
      </w:r>
      <w:r w:rsidR="00662295" w:rsidRPr="00C9084B">
        <w:rPr>
          <w:rFonts w:asciiTheme="minorHAnsi" w:hAnsiTheme="minorHAnsi"/>
          <w:b/>
        </w:rPr>
        <w:t xml:space="preserve"> </w:t>
      </w:r>
      <w:r w:rsidR="00242ED9" w:rsidRPr="00C9084B">
        <w:rPr>
          <w:rFonts w:asciiTheme="minorHAnsi" w:hAnsiTheme="minorHAnsi"/>
          <w:b/>
        </w:rPr>
        <w:t>veljače 2016</w:t>
      </w:r>
      <w:r w:rsidR="000E358E" w:rsidRPr="00C9084B">
        <w:rPr>
          <w:rFonts w:asciiTheme="minorHAnsi" w:hAnsiTheme="minorHAnsi"/>
          <w:b/>
        </w:rPr>
        <w:t>.</w:t>
      </w:r>
      <w:r w:rsidRPr="00C9084B">
        <w:rPr>
          <w:rFonts w:asciiTheme="minorHAnsi" w:hAnsiTheme="minorHAnsi"/>
          <w:b/>
        </w:rPr>
        <w:t xml:space="preserve"> – </w:t>
      </w:r>
      <w:r w:rsidR="00EF54B0" w:rsidRPr="00C9084B">
        <w:rPr>
          <w:rFonts w:asciiTheme="minorHAnsi" w:hAnsiTheme="minorHAnsi"/>
          <w:b/>
        </w:rPr>
        <w:t xml:space="preserve">U 2015. EBITDA INA Grupe bez jednokratnih stavki porasla je za 10 posto u odnosu na 2014. godinu te je dosegla 2.952 milijuna kuna. CCS EBITDA bez jednokratnih stavki iznosila je 3.669 milijuna kuna, što je 9 posto </w:t>
      </w:r>
      <w:r w:rsidR="00213B87">
        <w:rPr>
          <w:rFonts w:asciiTheme="minorHAnsi" w:hAnsiTheme="minorHAnsi"/>
          <w:b/>
        </w:rPr>
        <w:t>više u odnosu na</w:t>
      </w:r>
      <w:r w:rsidR="00EF54B0" w:rsidRPr="00C9084B">
        <w:rPr>
          <w:rFonts w:asciiTheme="minorHAnsi" w:hAnsiTheme="minorHAnsi"/>
          <w:b/>
        </w:rPr>
        <w:t xml:space="preserve"> 2014. Neto dobit bez jednokratnih stavki je iznosila 58 milijuna kuna. Kompanija je u navedenom razdoblju uložila ukupno 1.650 milijuna kuna, što je stabilno imajući u vidu ukupno pogoršanje vanjskog okruženja.  </w:t>
      </w:r>
    </w:p>
    <w:p w14:paraId="1A23EC0F" w14:textId="77777777" w:rsidR="006D22B0" w:rsidRDefault="006D22B0" w:rsidP="00F22178">
      <w:pPr>
        <w:spacing w:line="360" w:lineRule="auto"/>
        <w:jc w:val="both"/>
        <w:rPr>
          <w:rFonts w:asciiTheme="minorHAnsi" w:hAnsiTheme="minorHAnsi"/>
        </w:rPr>
      </w:pPr>
    </w:p>
    <w:p w14:paraId="51E24E62" w14:textId="36B7ADC6" w:rsidR="00EF54B0" w:rsidRDefault="006F2D96" w:rsidP="00F22178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 obzirom na niske cijene nafte, </w:t>
      </w:r>
      <w:r w:rsidR="00EF54B0" w:rsidRPr="00C9084B">
        <w:rPr>
          <w:rFonts w:asciiTheme="minorHAnsi" w:hAnsiTheme="minorHAnsi"/>
        </w:rPr>
        <w:t xml:space="preserve">INA je i u 2015. godini ostvarila stabilan rezultat u odnosu na prethodnu godinu, što </w:t>
      </w:r>
      <w:r>
        <w:rPr>
          <w:rFonts w:asciiTheme="minorHAnsi" w:hAnsiTheme="minorHAnsi"/>
        </w:rPr>
        <w:t>se može smatrati</w:t>
      </w:r>
      <w:r w:rsidR="00EF54B0" w:rsidRPr="00C9084B">
        <w:rPr>
          <w:rFonts w:asciiTheme="minorHAnsi" w:hAnsiTheme="minorHAnsi"/>
        </w:rPr>
        <w:t xml:space="preserve"> postignuće</w:t>
      </w:r>
      <w:r>
        <w:rPr>
          <w:rFonts w:asciiTheme="minorHAnsi" w:hAnsiTheme="minorHAnsi"/>
        </w:rPr>
        <w:t>m</w:t>
      </w:r>
      <w:r w:rsidR="00EF54B0" w:rsidRPr="00C9084B">
        <w:rPr>
          <w:rFonts w:asciiTheme="minorHAnsi" w:hAnsiTheme="minorHAnsi"/>
        </w:rPr>
        <w:t xml:space="preserve"> za kompaniju koja je orijentirana na istraživanje i proizvodnju. Prepolovljene cijene Brenta utjecale su na rezultat, ali je taj negativan učinak umanjen slabljenjem kune u odnosu na američki dolar, povoljnijim okruženjem za poslovanje rafinerija i povećanom proizvodnjom ugljikovodika. </w:t>
      </w:r>
      <w:r w:rsidR="00F219B2" w:rsidRPr="00C9084B">
        <w:rPr>
          <w:rFonts w:asciiTheme="minorHAnsi" w:hAnsiTheme="minorHAnsi"/>
        </w:rPr>
        <w:t xml:space="preserve">Neto dug ostao </w:t>
      </w:r>
      <w:r w:rsidR="00F219B2" w:rsidRPr="00C9084B">
        <w:rPr>
          <w:rFonts w:asciiTheme="minorHAnsi" w:hAnsiTheme="minorHAnsi"/>
        </w:rPr>
        <w:lastRenderedPageBreak/>
        <w:t>je stabilan u iznosu od 3.032 milijuna kuna, dok je odnos duga i kapitala zabilježio blagi porast, ali je i dalje vrlo stabilan te iznosi 22,3%.</w:t>
      </w:r>
    </w:p>
    <w:p w14:paraId="34F11040" w14:textId="77777777" w:rsidR="006D22B0" w:rsidRPr="00C9084B" w:rsidRDefault="006D22B0" w:rsidP="00F22178">
      <w:pPr>
        <w:spacing w:line="360" w:lineRule="auto"/>
        <w:jc w:val="both"/>
        <w:rPr>
          <w:rFonts w:asciiTheme="minorHAnsi" w:hAnsiTheme="minorHAnsi"/>
        </w:rPr>
      </w:pPr>
    </w:p>
    <w:p w14:paraId="6A786AB2" w14:textId="1F3B9DD4" w:rsidR="00F219B2" w:rsidRPr="00C9084B" w:rsidRDefault="00F219B2" w:rsidP="00F22178">
      <w:pPr>
        <w:spacing w:line="360" w:lineRule="auto"/>
        <w:jc w:val="both"/>
        <w:rPr>
          <w:rFonts w:asciiTheme="minorHAnsi" w:hAnsiTheme="minorHAnsi"/>
        </w:rPr>
      </w:pPr>
      <w:r w:rsidRPr="00C9084B">
        <w:rPr>
          <w:rFonts w:asciiTheme="minorHAnsi" w:hAnsiTheme="minorHAnsi"/>
        </w:rPr>
        <w:t xml:space="preserve">Neto </w:t>
      </w:r>
      <w:r w:rsidR="00C60F04">
        <w:rPr>
          <w:rFonts w:asciiTheme="minorHAnsi" w:hAnsiTheme="minorHAnsi"/>
        </w:rPr>
        <w:t>rezultat društva isključujući učinak jednokratnih stav</w:t>
      </w:r>
      <w:r w:rsidR="006F2D96">
        <w:rPr>
          <w:rFonts w:asciiTheme="minorHAnsi" w:hAnsiTheme="minorHAnsi"/>
        </w:rPr>
        <w:t>k</w:t>
      </w:r>
      <w:r w:rsidR="00C60F04">
        <w:rPr>
          <w:rFonts w:asciiTheme="minorHAnsi" w:hAnsiTheme="minorHAnsi"/>
        </w:rPr>
        <w:t>i iznosi 58 milijuna kuna. G</w:t>
      </w:r>
      <w:r w:rsidRPr="00C9084B">
        <w:rPr>
          <w:rFonts w:asciiTheme="minorHAnsi" w:hAnsiTheme="minorHAnsi"/>
        </w:rPr>
        <w:t xml:space="preserve">ubitak Društva, iako manji nego u 2014. godini, iznosio je (1.418) milijuna kuna, pod utjecajem posebnih stavki u ukupnom iznosu od 1.476 milijuna kuna. Najveći dio tih jednokratnih stavki odnosi se na umanjenje vrijednosti imovine u segmentu Istraživanja i proizvodnje, uslijed slabljenja cijene nafte i daljnjeg nastavka sirijske krize. </w:t>
      </w:r>
      <w:r w:rsidR="00C60F04">
        <w:rPr>
          <w:rFonts w:asciiTheme="minorHAnsi" w:hAnsiTheme="minorHAnsi"/>
        </w:rPr>
        <w:t xml:space="preserve">Dodatno umanjenje imovine u Siriji koje je utjecalo na konačni rezultat bilo je nužno i neizbježno zbog političke i sigurnosne situacije u toj zemlji, ali važno je naglasiti da je radi samo o računovodstvenoj prilagodbi koja nema novčani utjecaj. </w:t>
      </w:r>
      <w:r w:rsidR="0074484D">
        <w:rPr>
          <w:rFonts w:asciiTheme="minorHAnsi" w:hAnsiTheme="minorHAnsi" w:cstheme="minorHAnsi"/>
        </w:rPr>
        <w:t xml:space="preserve">Trošak umanjenja vrijednosti, međutim, u skladu sa Zakonom o porezu na dobit nije porezni odbitak. </w:t>
      </w:r>
      <w:r w:rsidR="00C60F04">
        <w:rPr>
          <w:rFonts w:asciiTheme="minorHAnsi" w:hAnsiTheme="minorHAnsi"/>
        </w:rPr>
        <w:t xml:space="preserve">Kompanija je zadržala manji dio imovine za slučaj da se geopolitičke okolnosti promijene i omoguće povratak u Siriju. </w:t>
      </w:r>
    </w:p>
    <w:p w14:paraId="5AAD457E" w14:textId="77777777" w:rsidR="00F219B2" w:rsidRPr="00C9084B" w:rsidRDefault="00F219B2" w:rsidP="00F22178">
      <w:pPr>
        <w:spacing w:line="360" w:lineRule="auto"/>
        <w:jc w:val="both"/>
        <w:rPr>
          <w:rFonts w:asciiTheme="minorHAnsi" w:hAnsiTheme="minorHAnsi"/>
        </w:rPr>
      </w:pPr>
    </w:p>
    <w:p w14:paraId="18E4FC20" w14:textId="6BCA1416" w:rsidR="00F22178" w:rsidRPr="00C9084B" w:rsidRDefault="00F219B2" w:rsidP="00F22178">
      <w:pPr>
        <w:spacing w:line="360" w:lineRule="auto"/>
        <w:jc w:val="both"/>
        <w:rPr>
          <w:rFonts w:asciiTheme="minorHAnsi" w:hAnsiTheme="minorHAnsi"/>
        </w:rPr>
      </w:pPr>
      <w:r w:rsidRPr="00C9084B">
        <w:rPr>
          <w:rFonts w:asciiTheme="minorHAnsi" w:hAnsiTheme="minorHAnsi"/>
        </w:rPr>
        <w:t xml:space="preserve">Stalni napori segmenta djelatnosti Istraživanje i proizvodnja u remonte bušotina i optimizaciju proizvodnje, kao i </w:t>
      </w:r>
      <w:r w:rsidR="004639A8">
        <w:rPr>
          <w:rFonts w:asciiTheme="minorHAnsi" w:hAnsiTheme="minorHAnsi"/>
        </w:rPr>
        <w:t>privođenje</w:t>
      </w:r>
      <w:r w:rsidRPr="00C9084B">
        <w:rPr>
          <w:rFonts w:asciiTheme="minorHAnsi" w:hAnsiTheme="minorHAnsi"/>
        </w:rPr>
        <w:t xml:space="preserve"> proizvodnj</w:t>
      </w:r>
      <w:r w:rsidR="004639A8">
        <w:rPr>
          <w:rFonts w:asciiTheme="minorHAnsi" w:hAnsiTheme="minorHAnsi"/>
        </w:rPr>
        <w:t>i</w:t>
      </w:r>
      <w:r w:rsidR="004639A8" w:rsidRPr="004639A8">
        <w:rPr>
          <w:rFonts w:asciiTheme="minorHAnsi" w:hAnsiTheme="minorHAnsi"/>
        </w:rPr>
        <w:t xml:space="preserve"> </w:t>
      </w:r>
      <w:r w:rsidR="004639A8" w:rsidRPr="00C9084B">
        <w:rPr>
          <w:rFonts w:asciiTheme="minorHAnsi" w:hAnsiTheme="minorHAnsi"/>
        </w:rPr>
        <w:t>novih polja</w:t>
      </w:r>
      <w:r w:rsidRPr="00C9084B">
        <w:rPr>
          <w:rFonts w:asciiTheme="minorHAnsi" w:hAnsiTheme="minorHAnsi"/>
        </w:rPr>
        <w:t xml:space="preserve">, rezultirali su promjenom trenda prirodnog pada proizvodnje iz prethodnih godina: ukupna proizvodnja ugljikovodika porasla je za 6 posto, a domaća proizvodnja nafte veća je za 20 posto. </w:t>
      </w:r>
      <w:r w:rsidR="00C9084B" w:rsidRPr="00C9084B">
        <w:rPr>
          <w:rFonts w:asciiTheme="minorHAnsi" w:hAnsiTheme="minorHAnsi"/>
        </w:rPr>
        <w:t>Operativna dobit u Segmentu ostala je pozitivna i iznosila je 372 milijuna kuna, bez obzira na utjecaj jednokratnih stavki od 1.004 milijuna kuna – najznačajnije stavke se odnose na umanjen</w:t>
      </w:r>
      <w:r w:rsidR="001A3A4C">
        <w:rPr>
          <w:rFonts w:asciiTheme="minorHAnsi" w:hAnsiTheme="minorHAnsi"/>
        </w:rPr>
        <w:t>je imovine. Kapitalna ulaganja S</w:t>
      </w:r>
      <w:r w:rsidR="00C9084B" w:rsidRPr="00C9084B">
        <w:rPr>
          <w:rFonts w:asciiTheme="minorHAnsi" w:hAnsiTheme="minorHAnsi"/>
        </w:rPr>
        <w:t>egmenta u 2015. iznosila su 840 milijuna kuna. Kapitalna ulaganja u Hrvatskoj iznosila su 678 milijuna kuna, dok su ulaganja u inozemstvu iznosila 162 milijuna kuna.</w:t>
      </w:r>
    </w:p>
    <w:p w14:paraId="23A90F39" w14:textId="77777777" w:rsidR="00F22178" w:rsidRPr="00C9084B" w:rsidRDefault="00F22178" w:rsidP="00F22178">
      <w:pPr>
        <w:spacing w:line="360" w:lineRule="auto"/>
        <w:jc w:val="both"/>
        <w:rPr>
          <w:rFonts w:asciiTheme="minorHAnsi" w:hAnsiTheme="minorHAnsi"/>
        </w:rPr>
      </w:pPr>
    </w:p>
    <w:p w14:paraId="27B9CF02" w14:textId="1A8E460A" w:rsidR="00F22178" w:rsidRPr="00C9084B" w:rsidRDefault="00C9084B" w:rsidP="00C9084B">
      <w:pPr>
        <w:spacing w:line="360" w:lineRule="auto"/>
        <w:jc w:val="both"/>
        <w:rPr>
          <w:rFonts w:asciiTheme="minorHAnsi" w:hAnsiTheme="minorHAnsi"/>
        </w:rPr>
      </w:pPr>
      <w:r w:rsidRPr="00C9084B">
        <w:rPr>
          <w:rFonts w:asciiTheme="minorHAnsi" w:hAnsiTheme="minorHAnsi"/>
        </w:rPr>
        <w:t xml:space="preserve">CCS EBITDA segmenta Rafinerije i marketing (uključujući Trgovinu na malo) bez jednokratnih stavki zabilježila je pozitivan rezultat u iznosu od 307 milijuna kuna po prvi put nakon više od pet godina, dok je EBITDA iznosila (575) milijuna kuna, što je značajno poboljšanje u odnosu </w:t>
      </w:r>
      <w:r w:rsidRPr="00C9084B">
        <w:rPr>
          <w:rFonts w:asciiTheme="minorHAnsi" w:hAnsiTheme="minorHAnsi"/>
        </w:rPr>
        <w:lastRenderedPageBreak/>
        <w:t>na prethodnu godinu. Među ostalim mjerama, promjena operativnog modela u Trgovini na malo svakako je snažan korak naprijed u cilju osiguravanja konkurentnije pozicije za Inu.</w:t>
      </w:r>
      <w:r>
        <w:rPr>
          <w:rFonts w:asciiTheme="minorHAnsi" w:hAnsiTheme="minorHAnsi"/>
        </w:rPr>
        <w:t xml:space="preserve"> </w:t>
      </w:r>
      <w:r w:rsidRPr="00C9084B">
        <w:rPr>
          <w:rFonts w:asciiTheme="minorHAnsi" w:hAnsiTheme="minorHAnsi"/>
        </w:rPr>
        <w:t>Ukupna kapitalna ulaganja u 2015. godini iznosila su 613 milijuna kuna, 138 milijuna kuna više nego 2014. godine. Kapitalna ulaganja segmenta Rafinerije i marketing iznosila su 451 milijun kuna i uglavnom se odnose na logističke projekte, dok su ulaganja segmenta Trgovina na malo iznosila 161 milijun kuna, 5 milijuna kuna iznad razine 2014. godine.</w:t>
      </w:r>
      <w:r w:rsidR="00F22178" w:rsidRPr="00C9084B">
        <w:rPr>
          <w:rFonts w:asciiTheme="minorHAnsi" w:hAnsiTheme="minorHAnsi"/>
        </w:rPr>
        <w:t xml:space="preserve"> </w:t>
      </w:r>
    </w:p>
    <w:p w14:paraId="1E473647" w14:textId="77777777" w:rsidR="00F22178" w:rsidRPr="00C9084B" w:rsidRDefault="00F22178" w:rsidP="00F22178">
      <w:pPr>
        <w:spacing w:line="360" w:lineRule="auto"/>
        <w:jc w:val="both"/>
        <w:rPr>
          <w:rFonts w:asciiTheme="minorHAnsi" w:hAnsiTheme="minorHAnsi"/>
        </w:rPr>
      </w:pPr>
    </w:p>
    <w:p w14:paraId="07C5D33B" w14:textId="0CACFA42" w:rsidR="006D22B0" w:rsidRPr="006D22B0" w:rsidRDefault="00F22178" w:rsidP="006D22B0">
      <w:pPr>
        <w:spacing w:line="360" w:lineRule="auto"/>
        <w:jc w:val="both"/>
        <w:rPr>
          <w:rFonts w:asciiTheme="minorHAnsi" w:hAnsiTheme="minorHAnsi"/>
        </w:rPr>
      </w:pPr>
      <w:r w:rsidRPr="00C9084B">
        <w:rPr>
          <w:rFonts w:asciiTheme="minorHAnsi" w:hAnsiTheme="minorHAnsi"/>
        </w:rPr>
        <w:t>“</w:t>
      </w:r>
      <w:r w:rsidR="006D22B0" w:rsidRPr="006D22B0">
        <w:rPr>
          <w:rFonts w:asciiTheme="minorHAnsi" w:hAnsiTheme="minorHAnsi"/>
        </w:rPr>
        <w:t xml:space="preserve">2015. bila je godina izazova za cijelu naftnu industriju, no usprkos nepovoljnom okruženju INA je uspjela osigurati povećanje CCS EBITDA za 9%, </w:t>
      </w:r>
      <w:r w:rsidR="006D22B0">
        <w:rPr>
          <w:rFonts w:asciiTheme="minorHAnsi" w:hAnsiTheme="minorHAnsi"/>
        </w:rPr>
        <w:t>na</w:t>
      </w:r>
      <w:r w:rsidR="006D22B0" w:rsidRPr="006D22B0">
        <w:rPr>
          <w:rFonts w:asciiTheme="minorHAnsi" w:hAnsiTheme="minorHAnsi"/>
        </w:rPr>
        <w:t xml:space="preserve"> iznos od 3.669 milijuna kuna. Neto rezultat, s druge strane, bio je pod velikim utjecajem umanjenja vrijednosti krajem godine u iznosu od 1,2 milijarde kuna. Većina umanjenja vrijednosti odnosi se na Segment Istraživanja i proizvodnje, osobito imovine u Siriji, što nema novčani utjecaj na Inino poslovanje.  </w:t>
      </w:r>
    </w:p>
    <w:p w14:paraId="388D09D6" w14:textId="79EEA685" w:rsidR="006D22B0" w:rsidRPr="006D22B0" w:rsidRDefault="006D22B0" w:rsidP="006D22B0">
      <w:pPr>
        <w:spacing w:line="360" w:lineRule="auto"/>
        <w:jc w:val="both"/>
        <w:rPr>
          <w:rFonts w:asciiTheme="minorHAnsi" w:hAnsiTheme="minorHAnsi"/>
        </w:rPr>
      </w:pPr>
      <w:r w:rsidRPr="006D22B0">
        <w:rPr>
          <w:rFonts w:asciiTheme="minorHAnsi" w:hAnsiTheme="minorHAnsi"/>
        </w:rPr>
        <w:t>Značajni napori u Segmentu djelatnosti Istraživanje i proizvodnja koji su rezultirali povećanjem proizvodnje ugljikovodika za 6%, kao i bolje rafinerijsko okruženje koje je rezultiralo povećanjem prosječne rafinerijske marže za 24%, nisu bili dovoljni da se nadoknadi učinak prepolovljene cijene Brenta na segment. Osim cijene Brenta, pad cijene plina za indust</w:t>
      </w:r>
      <w:r>
        <w:rPr>
          <w:rFonts w:asciiTheme="minorHAnsi" w:hAnsiTheme="minorHAnsi"/>
        </w:rPr>
        <w:t>rijske kupce također je utjecao</w:t>
      </w:r>
      <w:r w:rsidRPr="006D22B0">
        <w:rPr>
          <w:rFonts w:asciiTheme="minorHAnsi" w:hAnsiTheme="minorHAnsi"/>
        </w:rPr>
        <w:t xml:space="preserve"> na profitabilnost i razinu prodaje. Uz takve značajne vanjske čimbenike koji su van utjecaja Društva, interna optimizacija i mjere povećanja produktivnosti imaju dodatnu važnost. Restrukturiranje Trgovine na malo definitivno je jedan od glavnih koraka ostvarenih tijekom 2015. godine u smjeru povećanja produktivnosti, što je pomoglo kako bi se operativni troškovi segm</w:t>
      </w:r>
      <w:r>
        <w:rPr>
          <w:rFonts w:asciiTheme="minorHAnsi" w:hAnsiTheme="minorHAnsi"/>
        </w:rPr>
        <w:t xml:space="preserve">enta prilagodili konkurenciji. </w:t>
      </w:r>
    </w:p>
    <w:p w14:paraId="5DB728B0" w14:textId="5A036F71" w:rsidR="006E2701" w:rsidRDefault="006D22B0" w:rsidP="006D22B0">
      <w:pPr>
        <w:spacing w:line="360" w:lineRule="auto"/>
        <w:jc w:val="both"/>
        <w:rPr>
          <w:rFonts w:asciiTheme="minorHAnsi" w:hAnsiTheme="minorHAnsi"/>
        </w:rPr>
      </w:pPr>
      <w:r w:rsidRPr="006D22B0">
        <w:rPr>
          <w:rFonts w:asciiTheme="minorHAnsi" w:hAnsiTheme="minorHAnsi"/>
        </w:rPr>
        <w:t>Ipak, imajući u vidu stalne niske cijene nafte, Društvo će trebati napraviti dodatne korake, kroz kombinaciju smanjenja kapitalnih i operativnih troškova, kako bi se osigurala buduća financijska snaga i održivost poslovanja</w:t>
      </w:r>
      <w:r>
        <w:rPr>
          <w:rFonts w:asciiTheme="minorHAnsi" w:hAnsiTheme="minorHAnsi"/>
        </w:rPr>
        <w:t>.</w:t>
      </w:r>
      <w:r w:rsidR="00C9084B" w:rsidRPr="00C9084B">
        <w:rPr>
          <w:rFonts w:asciiTheme="minorHAnsi" w:hAnsiTheme="minorHAnsi"/>
        </w:rPr>
        <w:t>“, komentirao je ostvarene rezultate predsjednik Uprave Ine gospodin Zoltán Áldott.</w:t>
      </w:r>
    </w:p>
    <w:p w14:paraId="65C87DE6" w14:textId="77777777" w:rsidR="006D22B0" w:rsidRPr="00C9084B" w:rsidRDefault="006D22B0" w:rsidP="006D22B0">
      <w:pPr>
        <w:spacing w:line="360" w:lineRule="auto"/>
        <w:jc w:val="both"/>
        <w:rPr>
          <w:rFonts w:asciiTheme="minorHAnsi" w:hAnsiTheme="minorHAnsi"/>
        </w:rPr>
      </w:pPr>
    </w:p>
    <w:p w14:paraId="21D28AA5" w14:textId="77777777" w:rsidR="00E11167" w:rsidRPr="00C9084B" w:rsidRDefault="0081512A" w:rsidP="00E11167">
      <w:pPr>
        <w:spacing w:line="360" w:lineRule="auto"/>
        <w:jc w:val="center"/>
        <w:rPr>
          <w:rFonts w:asciiTheme="minorHAnsi" w:hAnsiTheme="minorHAnsi"/>
          <w:b/>
        </w:rPr>
      </w:pPr>
      <w:r w:rsidRPr="00C9084B">
        <w:rPr>
          <w:rFonts w:asciiTheme="minorHAnsi" w:hAnsiTheme="minorHAnsi"/>
          <w:b/>
        </w:rPr>
        <w:lastRenderedPageBreak/>
        <w:t>Pregled operativnih rezultata</w:t>
      </w:r>
    </w:p>
    <w:p w14:paraId="251DA1DA" w14:textId="77777777" w:rsidR="00E11167" w:rsidRPr="00C9084B" w:rsidRDefault="00E11167" w:rsidP="00E11167">
      <w:pPr>
        <w:spacing w:line="360" w:lineRule="auto"/>
        <w:rPr>
          <w:rFonts w:asciiTheme="minorHAnsi" w:hAnsiTheme="minorHAnsi"/>
        </w:rPr>
      </w:pPr>
    </w:p>
    <w:p w14:paraId="7CD6EDBA" w14:textId="43FF0FE4" w:rsidR="00E11167" w:rsidRPr="00C9084B" w:rsidRDefault="0081512A" w:rsidP="00F22178">
      <w:pPr>
        <w:pStyle w:val="ListParagraph"/>
        <w:numPr>
          <w:ilvl w:val="0"/>
          <w:numId w:val="2"/>
        </w:numPr>
        <w:spacing w:line="360" w:lineRule="auto"/>
        <w:rPr>
          <w:rFonts w:asciiTheme="minorHAnsi" w:hAnsiTheme="minorHAnsi"/>
        </w:rPr>
      </w:pPr>
      <w:r w:rsidRPr="00C9084B">
        <w:rPr>
          <w:rFonts w:asciiTheme="minorHAnsi" w:hAnsiTheme="minorHAnsi"/>
        </w:rPr>
        <w:t xml:space="preserve">EBITDA INA Grupe dosegnula je </w:t>
      </w:r>
      <w:r w:rsidR="00F22178" w:rsidRPr="00C9084B">
        <w:rPr>
          <w:rFonts w:asciiTheme="minorHAnsi" w:hAnsiTheme="minorHAnsi"/>
        </w:rPr>
        <w:t xml:space="preserve">2.664 </w:t>
      </w:r>
      <w:r w:rsidRPr="00C9084B">
        <w:rPr>
          <w:rFonts w:asciiTheme="minorHAnsi" w:hAnsiTheme="minorHAnsi"/>
        </w:rPr>
        <w:t>milij</w:t>
      </w:r>
      <w:r w:rsidR="00034329" w:rsidRPr="00C9084B">
        <w:rPr>
          <w:rFonts w:asciiTheme="minorHAnsi" w:hAnsiTheme="minorHAnsi"/>
        </w:rPr>
        <w:t>una</w:t>
      </w:r>
      <w:r w:rsidRPr="00C9084B">
        <w:rPr>
          <w:rFonts w:asciiTheme="minorHAnsi" w:hAnsiTheme="minorHAnsi"/>
        </w:rPr>
        <w:t xml:space="preserve"> kuna</w:t>
      </w:r>
    </w:p>
    <w:p w14:paraId="5C6AE7FD" w14:textId="1E5CB19C" w:rsidR="00E11167" w:rsidRPr="00C9084B" w:rsidRDefault="0081512A" w:rsidP="00E11167">
      <w:pPr>
        <w:pStyle w:val="ListParagraph"/>
        <w:numPr>
          <w:ilvl w:val="0"/>
          <w:numId w:val="2"/>
        </w:numPr>
        <w:spacing w:line="360" w:lineRule="auto"/>
        <w:rPr>
          <w:rFonts w:asciiTheme="minorHAnsi" w:hAnsiTheme="minorHAnsi"/>
        </w:rPr>
      </w:pPr>
      <w:r w:rsidRPr="00C9084B">
        <w:rPr>
          <w:rFonts w:asciiTheme="minorHAnsi" w:hAnsiTheme="minorHAnsi"/>
        </w:rPr>
        <w:t>Operativna dobit</w:t>
      </w:r>
      <w:r w:rsidR="00F22178" w:rsidRPr="00C9084B">
        <w:rPr>
          <w:rFonts w:asciiTheme="minorHAnsi" w:hAnsiTheme="minorHAnsi"/>
        </w:rPr>
        <w:t xml:space="preserve"> bez jednokratnih stavki</w:t>
      </w:r>
      <w:r w:rsidRPr="00C9084B">
        <w:rPr>
          <w:rFonts w:asciiTheme="minorHAnsi" w:hAnsiTheme="minorHAnsi"/>
        </w:rPr>
        <w:t xml:space="preserve"> iznosila je </w:t>
      </w:r>
      <w:r w:rsidR="00F22178" w:rsidRPr="00C9084B">
        <w:rPr>
          <w:rFonts w:asciiTheme="minorHAnsi" w:hAnsiTheme="minorHAnsi"/>
        </w:rPr>
        <w:t>138</w:t>
      </w:r>
      <w:r w:rsidR="00E11167" w:rsidRPr="00C9084B">
        <w:rPr>
          <w:rFonts w:asciiTheme="minorHAnsi" w:hAnsiTheme="minorHAnsi"/>
        </w:rPr>
        <w:t xml:space="preserve"> </w:t>
      </w:r>
      <w:r w:rsidRPr="00C9084B">
        <w:rPr>
          <w:rFonts w:asciiTheme="minorHAnsi" w:hAnsiTheme="minorHAnsi"/>
        </w:rPr>
        <w:t>milijuna kuna</w:t>
      </w:r>
    </w:p>
    <w:p w14:paraId="0C52B2A6" w14:textId="052375E6" w:rsidR="00E11167" w:rsidRPr="00C9084B" w:rsidRDefault="0081512A" w:rsidP="00E11167">
      <w:pPr>
        <w:pStyle w:val="ListParagraph"/>
        <w:numPr>
          <w:ilvl w:val="0"/>
          <w:numId w:val="2"/>
        </w:numPr>
        <w:spacing w:line="360" w:lineRule="auto"/>
        <w:rPr>
          <w:rFonts w:asciiTheme="minorHAnsi" w:hAnsiTheme="minorHAnsi"/>
        </w:rPr>
      </w:pPr>
      <w:r w:rsidRPr="00C9084B">
        <w:rPr>
          <w:rFonts w:asciiTheme="minorHAnsi" w:hAnsiTheme="minorHAnsi"/>
        </w:rPr>
        <w:t xml:space="preserve">Ostvarena je neto dobit </w:t>
      </w:r>
      <w:r w:rsidR="00F22178" w:rsidRPr="00C9084B">
        <w:rPr>
          <w:rFonts w:asciiTheme="minorHAnsi" w:hAnsiTheme="minorHAnsi"/>
        </w:rPr>
        <w:t xml:space="preserve">bez jednokratnih stavki u iznosu </w:t>
      </w:r>
      <w:r w:rsidRPr="00C9084B">
        <w:rPr>
          <w:rFonts w:asciiTheme="minorHAnsi" w:hAnsiTheme="minorHAnsi"/>
        </w:rPr>
        <w:t xml:space="preserve">od </w:t>
      </w:r>
      <w:r w:rsidR="00F22178" w:rsidRPr="00C9084B">
        <w:rPr>
          <w:rFonts w:asciiTheme="minorHAnsi" w:hAnsiTheme="minorHAnsi"/>
        </w:rPr>
        <w:t>58</w:t>
      </w:r>
      <w:r w:rsidRPr="00C9084B">
        <w:rPr>
          <w:rFonts w:asciiTheme="minorHAnsi" w:hAnsiTheme="minorHAnsi"/>
        </w:rPr>
        <w:t xml:space="preserve"> milijuna kuna</w:t>
      </w:r>
    </w:p>
    <w:p w14:paraId="5B9C46B2" w14:textId="777C655D" w:rsidR="00E11167" w:rsidRPr="00C9084B" w:rsidRDefault="008F2170" w:rsidP="00E11167">
      <w:pPr>
        <w:pStyle w:val="ListParagraph"/>
        <w:numPr>
          <w:ilvl w:val="0"/>
          <w:numId w:val="2"/>
        </w:numPr>
        <w:spacing w:line="360" w:lineRule="auto"/>
        <w:rPr>
          <w:rFonts w:asciiTheme="minorHAnsi" w:hAnsiTheme="minorHAnsi"/>
        </w:rPr>
      </w:pPr>
      <w:r w:rsidRPr="00C9084B">
        <w:rPr>
          <w:rFonts w:asciiTheme="minorHAnsi" w:hAnsiTheme="minorHAnsi"/>
        </w:rPr>
        <w:t xml:space="preserve">Kapitalna ulaganja iznosila su </w:t>
      </w:r>
      <w:r w:rsidR="0081512A" w:rsidRPr="00C9084B">
        <w:rPr>
          <w:rFonts w:asciiTheme="minorHAnsi" w:hAnsiTheme="minorHAnsi"/>
        </w:rPr>
        <w:t xml:space="preserve">ukupno </w:t>
      </w:r>
      <w:r w:rsidR="00F22178" w:rsidRPr="00C9084B">
        <w:rPr>
          <w:rFonts w:asciiTheme="minorHAnsi" w:hAnsiTheme="minorHAnsi"/>
        </w:rPr>
        <w:t>1.650</w:t>
      </w:r>
      <w:r w:rsidR="0081512A" w:rsidRPr="00C9084B">
        <w:rPr>
          <w:rFonts w:asciiTheme="minorHAnsi" w:hAnsiTheme="minorHAnsi"/>
        </w:rPr>
        <w:t xml:space="preserve"> milijuna kuna</w:t>
      </w:r>
    </w:p>
    <w:p w14:paraId="04CFF8A4" w14:textId="64CF0B1D" w:rsidR="006C666E" w:rsidRPr="00C9084B" w:rsidRDefault="0081512A" w:rsidP="00F22178">
      <w:pPr>
        <w:pStyle w:val="ListParagraph"/>
        <w:numPr>
          <w:ilvl w:val="0"/>
          <w:numId w:val="2"/>
        </w:numPr>
        <w:spacing w:line="360" w:lineRule="auto"/>
        <w:rPr>
          <w:rFonts w:asciiTheme="minorHAnsi" w:hAnsiTheme="minorHAnsi"/>
        </w:rPr>
      </w:pPr>
      <w:r w:rsidRPr="00C9084B">
        <w:rPr>
          <w:rFonts w:asciiTheme="minorHAnsi" w:hAnsiTheme="minorHAnsi"/>
        </w:rPr>
        <w:t xml:space="preserve">Zabilježeno je povećanje proizvodnje sirove nafte od </w:t>
      </w:r>
      <w:r w:rsidR="001F71F2" w:rsidRPr="00C9084B">
        <w:rPr>
          <w:rFonts w:asciiTheme="minorHAnsi" w:hAnsiTheme="minorHAnsi"/>
        </w:rPr>
        <w:t>1</w:t>
      </w:r>
      <w:r w:rsidR="00F22178" w:rsidRPr="00C9084B">
        <w:rPr>
          <w:rFonts w:asciiTheme="minorHAnsi" w:hAnsiTheme="minorHAnsi"/>
        </w:rPr>
        <w:t>5</w:t>
      </w:r>
      <w:r w:rsidRPr="00C9084B">
        <w:rPr>
          <w:rFonts w:asciiTheme="minorHAnsi" w:hAnsiTheme="minorHAnsi"/>
        </w:rPr>
        <w:t xml:space="preserve"> posto</w:t>
      </w:r>
    </w:p>
    <w:p w14:paraId="398253E4" w14:textId="5C70778C" w:rsidR="00E77F60" w:rsidRDefault="00242ED9" w:rsidP="00A25916">
      <w:pPr>
        <w:spacing w:line="360" w:lineRule="auto"/>
        <w:jc w:val="center"/>
        <w:rPr>
          <w:rFonts w:asciiTheme="minorHAnsi" w:hAnsiTheme="minorHAnsi"/>
        </w:rPr>
      </w:pPr>
      <w:r w:rsidRPr="00C9084B">
        <w:rPr>
          <w:noProof/>
          <w:lang w:eastAsia="hr-HR"/>
        </w:rPr>
        <w:drawing>
          <wp:inline distT="0" distB="0" distL="0" distR="0" wp14:anchorId="47726F73" wp14:editId="379EAB68">
            <wp:extent cx="3000375" cy="2314575"/>
            <wp:effectExtent l="0" t="0" r="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12CC595A" w14:textId="70173479" w:rsidR="00BD62FD" w:rsidRPr="00C9084B" w:rsidRDefault="00BD62FD" w:rsidP="00A25916">
      <w:pPr>
        <w:spacing w:line="360" w:lineRule="auto"/>
        <w:jc w:val="center"/>
        <w:rPr>
          <w:rFonts w:asciiTheme="minorHAnsi" w:hAnsiTheme="minorHAnsi"/>
        </w:rPr>
      </w:pPr>
      <w:r>
        <w:rPr>
          <w:noProof/>
          <w:lang w:eastAsia="hr-HR"/>
        </w:rPr>
        <w:drawing>
          <wp:inline distT="0" distB="0" distL="0" distR="0" wp14:anchorId="4544F3A7" wp14:editId="223A2865">
            <wp:extent cx="3000375" cy="2119313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3FA6907A" w14:textId="19B09BE1" w:rsidR="00242ED9" w:rsidRPr="00C9084B" w:rsidRDefault="00242ED9" w:rsidP="00A25916">
      <w:pPr>
        <w:spacing w:line="360" w:lineRule="auto"/>
        <w:jc w:val="center"/>
        <w:rPr>
          <w:rFonts w:asciiTheme="minorHAnsi" w:hAnsiTheme="minorHAnsi"/>
        </w:rPr>
      </w:pPr>
      <w:bookmarkStart w:id="1" w:name="_GoBack"/>
      <w:bookmarkEnd w:id="1"/>
    </w:p>
    <w:p w14:paraId="57D92107" w14:textId="5F9B3591" w:rsidR="007F5C60" w:rsidRPr="00C9084B" w:rsidRDefault="007F5C60" w:rsidP="00A25916">
      <w:pPr>
        <w:spacing w:line="360" w:lineRule="auto"/>
        <w:jc w:val="center"/>
        <w:rPr>
          <w:rFonts w:asciiTheme="minorHAnsi" w:hAnsiTheme="minorHAnsi"/>
        </w:rPr>
      </w:pPr>
    </w:p>
    <w:p w14:paraId="5EDB4BE8" w14:textId="4F8004CD" w:rsidR="00E11167" w:rsidRDefault="0081512A" w:rsidP="00657587">
      <w:pPr>
        <w:spacing w:line="360" w:lineRule="auto"/>
        <w:jc w:val="both"/>
        <w:rPr>
          <w:rFonts w:asciiTheme="minorHAnsi" w:hAnsiTheme="minorHAnsi"/>
        </w:rPr>
      </w:pPr>
      <w:r w:rsidRPr="00C9084B">
        <w:rPr>
          <w:rFonts w:asciiTheme="minorHAnsi" w:hAnsiTheme="minorHAnsi"/>
          <w:b/>
        </w:rPr>
        <w:lastRenderedPageBreak/>
        <w:t>Istraživanje i proizvodn</w:t>
      </w:r>
      <w:r w:rsidR="00E524BC" w:rsidRPr="00C9084B">
        <w:rPr>
          <w:rFonts w:asciiTheme="minorHAnsi" w:hAnsiTheme="minorHAnsi"/>
          <w:b/>
        </w:rPr>
        <w:t>j</w:t>
      </w:r>
      <w:r w:rsidRPr="00C9084B">
        <w:rPr>
          <w:rFonts w:asciiTheme="minorHAnsi" w:hAnsiTheme="minorHAnsi"/>
          <w:b/>
        </w:rPr>
        <w:t>a nafte i plina</w:t>
      </w:r>
      <w:r w:rsidR="00746587" w:rsidRPr="00C9084B">
        <w:rPr>
          <w:rFonts w:asciiTheme="minorHAnsi" w:hAnsiTheme="minorHAnsi"/>
          <w:b/>
        </w:rPr>
        <w:t xml:space="preserve"> –</w:t>
      </w:r>
      <w:r w:rsidR="00E11167" w:rsidRPr="00C9084B">
        <w:rPr>
          <w:rFonts w:asciiTheme="minorHAnsi" w:hAnsiTheme="minorHAnsi"/>
        </w:rPr>
        <w:t xml:space="preserve"> </w:t>
      </w:r>
      <w:r w:rsidR="0032776B" w:rsidRPr="0032776B">
        <w:rPr>
          <w:rFonts w:asciiTheme="minorHAnsi" w:hAnsiTheme="minorHAnsi"/>
        </w:rPr>
        <w:t>U 2015. godini EBITDA isključujući jednokratne stavke dosegla je 3.212 milijuna kuna, što predstavlja smanjenje od 527 milijuna kuna</w:t>
      </w:r>
      <w:r w:rsidR="0086427B">
        <w:rPr>
          <w:rFonts w:asciiTheme="minorHAnsi" w:hAnsiTheme="minorHAnsi"/>
        </w:rPr>
        <w:t>, odnosno 14 posto,</w:t>
      </w:r>
      <w:r w:rsidR="0032776B" w:rsidRPr="0032776B">
        <w:rPr>
          <w:rFonts w:asciiTheme="minorHAnsi" w:hAnsiTheme="minorHAnsi"/>
        </w:rPr>
        <w:t xml:space="preserve"> u odnosu na prethodnu godinu. Značajan negativan utjecaj proizlazi prvenstveno iz pada cijena Brenta i niže cijene prirodnog plina, što je posljedica smanjenja cijene plina za kućanstva i </w:t>
      </w:r>
      <w:r w:rsidR="00B8143E">
        <w:rPr>
          <w:rFonts w:asciiTheme="minorHAnsi" w:hAnsiTheme="minorHAnsi"/>
        </w:rPr>
        <w:t>jačanja</w:t>
      </w:r>
      <w:r w:rsidR="0032776B" w:rsidRPr="0032776B">
        <w:rPr>
          <w:rFonts w:asciiTheme="minorHAnsi" w:hAnsiTheme="minorHAnsi"/>
        </w:rPr>
        <w:t xml:space="preserve"> konkurencije koja stvara pritisak na </w:t>
      </w:r>
      <w:r w:rsidR="00B8143E" w:rsidRPr="0032776B">
        <w:rPr>
          <w:rFonts w:asciiTheme="minorHAnsi" w:hAnsiTheme="minorHAnsi"/>
        </w:rPr>
        <w:t>cijen</w:t>
      </w:r>
      <w:r w:rsidR="00B8143E">
        <w:rPr>
          <w:rFonts w:asciiTheme="minorHAnsi" w:hAnsiTheme="minorHAnsi"/>
        </w:rPr>
        <w:t>e</w:t>
      </w:r>
      <w:r w:rsidR="0086427B">
        <w:rPr>
          <w:rFonts w:asciiTheme="minorHAnsi" w:hAnsiTheme="minorHAnsi"/>
        </w:rPr>
        <w:t xml:space="preserve">, </w:t>
      </w:r>
      <w:r w:rsidR="0086427B" w:rsidRPr="0086427B">
        <w:rPr>
          <w:rFonts w:asciiTheme="minorHAnsi" w:hAnsiTheme="minorHAnsi"/>
        </w:rPr>
        <w:t>a djelomično je ublažen 19% slabijom kunom u odnosu na dolar, što je dovelo do 877 milijuna kuna pozitivnih tečajnih razlika</w:t>
      </w:r>
      <w:r w:rsidR="0032776B" w:rsidRPr="0032776B">
        <w:rPr>
          <w:rFonts w:asciiTheme="minorHAnsi" w:hAnsiTheme="minorHAnsi"/>
        </w:rPr>
        <w:t>. Osim toga, udvostručenje naknada za eksploataciju uslijed regulatornih odluka iz 2014. i dalje predstavlja teret na poslovanje Ine tijekom 2015. Međutim, povećanje domaće i međunarodne proizvodnje sirove nafte, zajedno s većom proizvodnjom prirodnog plina u podmorju djelomično su ublažili djelovanje negativnih čimbenika</w:t>
      </w:r>
      <w:r w:rsidR="00E524BC" w:rsidRPr="00C9084B">
        <w:rPr>
          <w:rFonts w:asciiTheme="minorHAnsi" w:hAnsiTheme="minorHAnsi"/>
        </w:rPr>
        <w:t xml:space="preserve">. </w:t>
      </w:r>
    </w:p>
    <w:p w14:paraId="58A5D684" w14:textId="77777777" w:rsidR="00EE111E" w:rsidRPr="00C9084B" w:rsidRDefault="00EE111E" w:rsidP="00657587">
      <w:pPr>
        <w:spacing w:line="360" w:lineRule="auto"/>
        <w:jc w:val="both"/>
        <w:rPr>
          <w:rFonts w:asciiTheme="minorHAnsi" w:hAnsiTheme="minorHAnsi"/>
        </w:rPr>
      </w:pPr>
    </w:p>
    <w:p w14:paraId="1DFBD99A" w14:textId="424280FF" w:rsidR="00E11167" w:rsidRPr="00C9084B" w:rsidRDefault="00F22178" w:rsidP="00E11167">
      <w:pPr>
        <w:pStyle w:val="ListParagraph"/>
        <w:numPr>
          <w:ilvl w:val="0"/>
          <w:numId w:val="3"/>
        </w:numPr>
        <w:spacing w:line="360" w:lineRule="auto"/>
        <w:rPr>
          <w:rFonts w:asciiTheme="minorHAnsi" w:hAnsiTheme="minorHAnsi"/>
        </w:rPr>
      </w:pPr>
      <w:r w:rsidRPr="00C9084B">
        <w:rPr>
          <w:rFonts w:asciiTheme="minorHAnsi" w:hAnsiTheme="minorHAnsi"/>
        </w:rPr>
        <w:t>6</w:t>
      </w:r>
      <w:r w:rsidR="00E11167" w:rsidRPr="00C9084B">
        <w:rPr>
          <w:rFonts w:asciiTheme="minorHAnsi" w:hAnsiTheme="minorHAnsi"/>
        </w:rPr>
        <w:t xml:space="preserve">% </w:t>
      </w:r>
      <w:r w:rsidR="00E524BC" w:rsidRPr="00C9084B">
        <w:rPr>
          <w:rFonts w:asciiTheme="minorHAnsi" w:hAnsiTheme="minorHAnsi"/>
        </w:rPr>
        <w:t xml:space="preserve">povećanje proizvodnje ugljikovodika, podržano osobito snažnim povećanjem domaće proizvodnje sirove nafte od </w:t>
      </w:r>
      <w:r w:rsidR="004D0E71" w:rsidRPr="00C9084B">
        <w:rPr>
          <w:rFonts w:asciiTheme="minorHAnsi" w:hAnsiTheme="minorHAnsi"/>
        </w:rPr>
        <w:t>2</w:t>
      </w:r>
      <w:r w:rsidRPr="00C9084B">
        <w:rPr>
          <w:rFonts w:asciiTheme="minorHAnsi" w:hAnsiTheme="minorHAnsi"/>
        </w:rPr>
        <w:t>0</w:t>
      </w:r>
      <w:r w:rsidR="00E524BC" w:rsidRPr="00C9084B">
        <w:rPr>
          <w:rFonts w:asciiTheme="minorHAnsi" w:hAnsiTheme="minorHAnsi"/>
        </w:rPr>
        <w:t xml:space="preserve"> posto u usporedbi s 2014. </w:t>
      </w:r>
    </w:p>
    <w:p w14:paraId="61D7A603" w14:textId="2DFE527F" w:rsidR="00E11167" w:rsidRPr="00C9084B" w:rsidRDefault="00E11167" w:rsidP="00E11167">
      <w:pPr>
        <w:pStyle w:val="ListParagraph"/>
        <w:numPr>
          <w:ilvl w:val="0"/>
          <w:numId w:val="3"/>
        </w:numPr>
        <w:spacing w:line="360" w:lineRule="auto"/>
        <w:rPr>
          <w:rFonts w:asciiTheme="minorHAnsi" w:hAnsiTheme="minorHAnsi"/>
        </w:rPr>
      </w:pPr>
      <w:r w:rsidRPr="00C9084B">
        <w:rPr>
          <w:rFonts w:asciiTheme="minorHAnsi" w:hAnsiTheme="minorHAnsi"/>
        </w:rPr>
        <w:t xml:space="preserve">CAPEX </w:t>
      </w:r>
      <w:r w:rsidR="00E524BC" w:rsidRPr="00C9084B">
        <w:rPr>
          <w:rFonts w:asciiTheme="minorHAnsi" w:hAnsiTheme="minorHAnsi"/>
        </w:rPr>
        <w:t xml:space="preserve">na razini </w:t>
      </w:r>
      <w:r w:rsidR="00F22178" w:rsidRPr="00C9084B">
        <w:rPr>
          <w:rFonts w:asciiTheme="minorHAnsi" w:hAnsiTheme="minorHAnsi"/>
        </w:rPr>
        <w:t>840</w:t>
      </w:r>
      <w:r w:rsidR="00E524BC" w:rsidRPr="00C9084B">
        <w:rPr>
          <w:rFonts w:asciiTheme="minorHAnsi" w:hAnsiTheme="minorHAnsi"/>
        </w:rPr>
        <w:t xml:space="preserve"> milijuna kuna</w:t>
      </w:r>
      <w:r w:rsidRPr="00C9084B">
        <w:rPr>
          <w:rFonts w:asciiTheme="minorHAnsi" w:hAnsiTheme="minorHAnsi"/>
        </w:rPr>
        <w:t>.</w:t>
      </w:r>
      <w:r w:rsidR="00E524BC" w:rsidRPr="00C9084B">
        <w:rPr>
          <w:rFonts w:asciiTheme="minorHAnsi" w:hAnsiTheme="minorHAnsi"/>
        </w:rPr>
        <w:t xml:space="preserve"> Kapitalna ulaganja u Hrvatskoj u iznosu od </w:t>
      </w:r>
      <w:r w:rsidR="00F22178" w:rsidRPr="00C9084B">
        <w:rPr>
          <w:rFonts w:asciiTheme="minorHAnsi" w:hAnsiTheme="minorHAnsi"/>
        </w:rPr>
        <w:t>678</w:t>
      </w:r>
      <w:r w:rsidR="00E524BC" w:rsidRPr="00C9084B">
        <w:rPr>
          <w:rFonts w:asciiTheme="minorHAnsi" w:hAnsiTheme="minorHAnsi"/>
        </w:rPr>
        <w:t xml:space="preserve"> milijuna kuna, a u inozemstv</w:t>
      </w:r>
      <w:r w:rsidR="004D0E71" w:rsidRPr="00C9084B">
        <w:rPr>
          <w:rFonts w:asciiTheme="minorHAnsi" w:hAnsiTheme="minorHAnsi"/>
        </w:rPr>
        <w:t>u</w:t>
      </w:r>
      <w:r w:rsidR="00E524BC" w:rsidRPr="00C9084B">
        <w:rPr>
          <w:rFonts w:asciiTheme="minorHAnsi" w:hAnsiTheme="minorHAnsi"/>
        </w:rPr>
        <w:t xml:space="preserve"> </w:t>
      </w:r>
      <w:r w:rsidR="004D0E71" w:rsidRPr="00C9084B">
        <w:rPr>
          <w:rFonts w:asciiTheme="minorHAnsi" w:hAnsiTheme="minorHAnsi"/>
        </w:rPr>
        <w:t>1</w:t>
      </w:r>
      <w:r w:rsidR="00F22178" w:rsidRPr="00C9084B">
        <w:rPr>
          <w:rFonts w:asciiTheme="minorHAnsi" w:hAnsiTheme="minorHAnsi"/>
        </w:rPr>
        <w:t>62</w:t>
      </w:r>
      <w:r w:rsidR="004D0E71" w:rsidRPr="00C9084B">
        <w:rPr>
          <w:rFonts w:asciiTheme="minorHAnsi" w:hAnsiTheme="minorHAnsi"/>
        </w:rPr>
        <w:t xml:space="preserve"> </w:t>
      </w:r>
      <w:r w:rsidR="00E524BC" w:rsidRPr="00C9084B">
        <w:rPr>
          <w:rFonts w:asciiTheme="minorHAnsi" w:hAnsiTheme="minorHAnsi"/>
        </w:rPr>
        <w:t>milijuna kuna</w:t>
      </w:r>
    </w:p>
    <w:p w14:paraId="468DD682" w14:textId="78E333CB" w:rsidR="00F22178" w:rsidRPr="00C9084B" w:rsidRDefault="00422B24" w:rsidP="00F22178">
      <w:pPr>
        <w:pStyle w:val="ListParagraph"/>
        <w:numPr>
          <w:ilvl w:val="0"/>
          <w:numId w:val="3"/>
        </w:numPr>
        <w:spacing w:line="360" w:lineRule="auto"/>
        <w:rPr>
          <w:rFonts w:asciiTheme="minorHAnsi" w:eastAsia="MS PGothic" w:hAnsiTheme="minorHAnsi"/>
        </w:rPr>
      </w:pPr>
      <w:r w:rsidRPr="00C9084B">
        <w:rPr>
          <w:rFonts w:asciiTheme="minorHAnsi" w:hAnsiTheme="minorHAnsi"/>
        </w:rPr>
        <w:t>U 2015. p</w:t>
      </w:r>
      <w:r w:rsidR="00E524BC" w:rsidRPr="00C9084B">
        <w:rPr>
          <w:rFonts w:asciiTheme="minorHAnsi" w:hAnsiTheme="minorHAnsi"/>
        </w:rPr>
        <w:t xml:space="preserve">orast ukupne proizvodnje prirodnog plina od </w:t>
      </w:r>
      <w:r w:rsidR="00F22178" w:rsidRPr="00C9084B">
        <w:rPr>
          <w:rFonts w:asciiTheme="minorHAnsi" w:hAnsiTheme="minorHAnsi"/>
        </w:rPr>
        <w:t>3</w:t>
      </w:r>
      <w:r w:rsidR="00E524BC" w:rsidRPr="00C9084B">
        <w:rPr>
          <w:rFonts w:asciiTheme="minorHAnsi" w:hAnsiTheme="minorHAnsi"/>
        </w:rPr>
        <w:t xml:space="preserve">% u odnosu na 2014. </w:t>
      </w:r>
    </w:p>
    <w:p w14:paraId="54C3C3AA" w14:textId="54969B3D" w:rsidR="00E77F60" w:rsidRPr="00C9084B" w:rsidRDefault="00E77F60" w:rsidP="00242ED9">
      <w:pPr>
        <w:spacing w:line="360" w:lineRule="auto"/>
        <w:rPr>
          <w:lang w:eastAsia="hr-HR"/>
        </w:rPr>
      </w:pPr>
    </w:p>
    <w:p w14:paraId="4CC5422F" w14:textId="1A18EBFC" w:rsidR="00242ED9" w:rsidRPr="00C9084B" w:rsidRDefault="00242ED9" w:rsidP="00E11167">
      <w:pPr>
        <w:spacing w:line="360" w:lineRule="auto"/>
        <w:jc w:val="center"/>
        <w:rPr>
          <w:lang w:eastAsia="hr-HR"/>
        </w:rPr>
      </w:pPr>
      <w:r w:rsidRPr="00C9084B">
        <w:rPr>
          <w:noProof/>
          <w:lang w:eastAsia="hr-HR"/>
        </w:rPr>
        <w:drawing>
          <wp:inline distT="0" distB="0" distL="0" distR="0" wp14:anchorId="4921E023" wp14:editId="1E30293B">
            <wp:extent cx="3000375" cy="2119313"/>
            <wp:effectExtent l="0" t="0" r="0" b="0"/>
            <wp:docPr id="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58C58385" w14:textId="4FC0D3A6" w:rsidR="00242ED9" w:rsidRPr="00C9084B" w:rsidRDefault="00242ED9" w:rsidP="00E11167">
      <w:pPr>
        <w:spacing w:line="360" w:lineRule="auto"/>
        <w:jc w:val="center"/>
        <w:rPr>
          <w:lang w:eastAsia="hr-HR"/>
        </w:rPr>
      </w:pPr>
      <w:r w:rsidRPr="00C9084B">
        <w:rPr>
          <w:noProof/>
          <w:lang w:eastAsia="hr-HR"/>
        </w:rPr>
        <w:lastRenderedPageBreak/>
        <w:drawing>
          <wp:inline distT="0" distB="0" distL="0" distR="0" wp14:anchorId="33846737" wp14:editId="2F1101C7">
            <wp:extent cx="3000375" cy="2319338"/>
            <wp:effectExtent l="0" t="0" r="0" b="5080"/>
            <wp:docPr id="12" name="Chart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75362619" w14:textId="3A7DF5F3" w:rsidR="00E77F60" w:rsidRPr="00C9084B" w:rsidRDefault="00E77F60" w:rsidP="00E11167">
      <w:pPr>
        <w:spacing w:line="360" w:lineRule="auto"/>
        <w:jc w:val="center"/>
        <w:rPr>
          <w:lang w:eastAsia="hr-HR"/>
        </w:rPr>
      </w:pPr>
    </w:p>
    <w:p w14:paraId="5F21B7E3" w14:textId="26197A0C" w:rsidR="0086427B" w:rsidRPr="00C9084B" w:rsidRDefault="00E524BC" w:rsidP="008E512B">
      <w:pPr>
        <w:spacing w:line="360" w:lineRule="auto"/>
        <w:jc w:val="both"/>
        <w:rPr>
          <w:rFonts w:asciiTheme="minorHAnsi" w:hAnsiTheme="minorHAnsi"/>
        </w:rPr>
      </w:pPr>
      <w:r w:rsidRPr="00C9084B">
        <w:rPr>
          <w:rFonts w:asciiTheme="minorHAnsi" w:hAnsiTheme="minorHAnsi"/>
          <w:b/>
        </w:rPr>
        <w:t>Rafinerije i marketing, uključujući Trgovinu na malo</w:t>
      </w:r>
      <w:r w:rsidR="00746587" w:rsidRPr="00C9084B">
        <w:rPr>
          <w:rFonts w:asciiTheme="minorHAnsi" w:hAnsiTheme="minorHAnsi"/>
          <w:b/>
        </w:rPr>
        <w:t xml:space="preserve"> –</w:t>
      </w:r>
      <w:r w:rsidR="00E11167" w:rsidRPr="00C9084B">
        <w:rPr>
          <w:rFonts w:asciiTheme="minorHAnsi" w:hAnsiTheme="minorHAnsi"/>
          <w:b/>
        </w:rPr>
        <w:t xml:space="preserve"> </w:t>
      </w:r>
      <w:r w:rsidR="0032776B" w:rsidRPr="0032776B">
        <w:rPr>
          <w:rFonts w:asciiTheme="minorHAnsi" w:hAnsiTheme="minorHAnsi"/>
        </w:rPr>
        <w:t xml:space="preserve">U 2015. CCS EBITDA isključujući jednokratne stavke iznosila je 307 milijuna kuna, dok je EBITDA iznosila (575) milijuna kuna, što je značajno poboljšanje u odnosu na prethodnu godinu. </w:t>
      </w:r>
      <w:r w:rsidR="0086427B" w:rsidRPr="0086427B">
        <w:rPr>
          <w:rFonts w:asciiTheme="minorHAnsi" w:hAnsiTheme="minorHAnsi"/>
        </w:rPr>
        <w:t>Rezultat je bio potaknut kontinuiranim povoljnim vanjskim okruženjem uslijed pozitivnog učinka cijena sirove nafte, viša razina prerade poduprta oporavkom rafinerijskih marži i kontinuiranom optimizacijom strukture sirovina i visokom stopom iskoristivosti rafinerijskih postrojenja. Također, povećana je prodaja potaknuta povećanim domaćim količinama, kao i boljim izvozom motornih goriva na tržište Slovenije te su zabilježeni niži operativni troškovi uslijed poboljšanja učinkovitosti.</w:t>
      </w:r>
      <w:r w:rsidR="003B6230" w:rsidRPr="003B6230">
        <w:rPr>
          <w:rFonts w:asciiTheme="minorHAnsi" w:hAnsiTheme="minorHAnsi"/>
        </w:rPr>
        <w:t xml:space="preserve"> </w:t>
      </w:r>
      <w:r w:rsidR="003B6230">
        <w:rPr>
          <w:rFonts w:asciiTheme="minorHAnsi" w:hAnsiTheme="minorHAnsi"/>
        </w:rPr>
        <w:t>Rezultat je</w:t>
      </w:r>
      <w:r w:rsidR="003B6230" w:rsidRPr="0032776B">
        <w:rPr>
          <w:rFonts w:asciiTheme="minorHAnsi" w:hAnsiTheme="minorHAnsi"/>
        </w:rPr>
        <w:t xml:space="preserve"> dodatno podržan daljnjim nastavkom provedbe poboljšanog operativnog modela trgovine na malo.</w:t>
      </w:r>
      <w:r w:rsidR="003B6230" w:rsidRPr="00C9084B">
        <w:rPr>
          <w:rFonts w:asciiTheme="minorHAnsi" w:hAnsiTheme="minorHAnsi"/>
        </w:rPr>
        <w:t xml:space="preserve">  </w:t>
      </w:r>
    </w:p>
    <w:p w14:paraId="73C18C29" w14:textId="77777777" w:rsidR="007C3367" w:rsidRPr="00C9084B" w:rsidRDefault="007C3367" w:rsidP="008E512B">
      <w:pPr>
        <w:spacing w:line="360" w:lineRule="auto"/>
        <w:jc w:val="both"/>
        <w:rPr>
          <w:rFonts w:asciiTheme="minorHAnsi" w:hAnsiTheme="minorHAnsi"/>
        </w:rPr>
      </w:pPr>
    </w:p>
    <w:p w14:paraId="632AFE3F" w14:textId="1C4B6683" w:rsidR="00E11167" w:rsidRPr="00C9084B" w:rsidRDefault="004D0E71" w:rsidP="00E11167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Theme="minorHAnsi" w:hAnsiTheme="minorHAnsi"/>
        </w:rPr>
      </w:pPr>
      <w:r w:rsidRPr="00C9084B">
        <w:rPr>
          <w:rFonts w:asciiTheme="minorHAnsi" w:hAnsiTheme="minorHAnsi"/>
        </w:rPr>
        <w:t xml:space="preserve">Ukupni </w:t>
      </w:r>
      <w:r w:rsidR="00E11167" w:rsidRPr="00C9084B">
        <w:rPr>
          <w:rFonts w:asciiTheme="minorHAnsi" w:hAnsiTheme="minorHAnsi"/>
        </w:rPr>
        <w:t xml:space="preserve">CAPEX </w:t>
      </w:r>
      <w:r w:rsidRPr="00C9084B">
        <w:rPr>
          <w:rFonts w:asciiTheme="minorHAnsi" w:hAnsiTheme="minorHAnsi"/>
        </w:rPr>
        <w:t>iznosio je</w:t>
      </w:r>
      <w:r w:rsidR="00E524BC" w:rsidRPr="00C9084B">
        <w:rPr>
          <w:rFonts w:asciiTheme="minorHAnsi" w:hAnsiTheme="minorHAnsi"/>
        </w:rPr>
        <w:t xml:space="preserve"> </w:t>
      </w:r>
      <w:r w:rsidR="00F22178" w:rsidRPr="00C9084B">
        <w:rPr>
          <w:rFonts w:asciiTheme="minorHAnsi" w:hAnsiTheme="minorHAnsi"/>
        </w:rPr>
        <w:t>613</w:t>
      </w:r>
      <w:r w:rsidRPr="00C9084B">
        <w:rPr>
          <w:rFonts w:asciiTheme="minorHAnsi" w:hAnsiTheme="minorHAnsi"/>
        </w:rPr>
        <w:t xml:space="preserve"> </w:t>
      </w:r>
      <w:r w:rsidR="00E524BC" w:rsidRPr="00C9084B">
        <w:rPr>
          <w:rFonts w:asciiTheme="minorHAnsi" w:hAnsiTheme="minorHAnsi"/>
        </w:rPr>
        <w:t xml:space="preserve">milijuna kuna; </w:t>
      </w:r>
      <w:r w:rsidR="00F22178" w:rsidRPr="00C9084B">
        <w:rPr>
          <w:rFonts w:asciiTheme="minorHAnsi" w:hAnsiTheme="minorHAnsi"/>
        </w:rPr>
        <w:t>451</w:t>
      </w:r>
      <w:r w:rsidR="00E524BC" w:rsidRPr="00C9084B">
        <w:rPr>
          <w:rFonts w:asciiTheme="minorHAnsi" w:hAnsiTheme="minorHAnsi"/>
        </w:rPr>
        <w:t xml:space="preserve"> milijun kuna u segmentu Rafinerije i marketing te </w:t>
      </w:r>
      <w:r w:rsidR="00F22178" w:rsidRPr="00C9084B">
        <w:rPr>
          <w:rFonts w:asciiTheme="minorHAnsi" w:hAnsiTheme="minorHAnsi"/>
        </w:rPr>
        <w:t>161</w:t>
      </w:r>
      <w:r w:rsidR="00E524BC" w:rsidRPr="00C9084B">
        <w:rPr>
          <w:rFonts w:asciiTheme="minorHAnsi" w:hAnsiTheme="minorHAnsi"/>
        </w:rPr>
        <w:t xml:space="preserve"> milijun kuna u Trgovini na malo</w:t>
      </w:r>
      <w:r w:rsidR="00E11167" w:rsidRPr="00C9084B">
        <w:rPr>
          <w:rFonts w:asciiTheme="minorHAnsi" w:hAnsiTheme="minorHAnsi"/>
        </w:rPr>
        <w:t>.</w:t>
      </w:r>
    </w:p>
    <w:p w14:paraId="0368B2BF" w14:textId="61FAED1E" w:rsidR="00E11167" w:rsidRPr="00C9084B" w:rsidRDefault="00852ADB" w:rsidP="00E524BC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Theme="minorHAnsi" w:hAnsiTheme="minorHAnsi"/>
        </w:rPr>
      </w:pPr>
      <w:r w:rsidRPr="00C9084B">
        <w:rPr>
          <w:rFonts w:asciiTheme="minorHAnsi" w:hAnsiTheme="minorHAnsi"/>
        </w:rPr>
        <w:t>U 2015. p</w:t>
      </w:r>
      <w:r w:rsidR="00E524BC" w:rsidRPr="00C9084B">
        <w:rPr>
          <w:rFonts w:asciiTheme="minorHAnsi" w:hAnsiTheme="minorHAnsi"/>
        </w:rPr>
        <w:t>rihodi segmenta</w:t>
      </w:r>
      <w:r w:rsidR="00E524BC" w:rsidRPr="00C9084B">
        <w:t xml:space="preserve"> </w:t>
      </w:r>
      <w:r w:rsidR="00E524BC" w:rsidRPr="00C9084B">
        <w:rPr>
          <w:rFonts w:asciiTheme="minorHAnsi" w:hAnsiTheme="minorHAnsi"/>
        </w:rPr>
        <w:t>Rafinerije i marketing, uključujući Trgovinu na malo</w:t>
      </w:r>
      <w:r w:rsidR="00040ABD" w:rsidRPr="00C9084B">
        <w:rPr>
          <w:rFonts w:asciiTheme="minorHAnsi" w:hAnsiTheme="minorHAnsi"/>
        </w:rPr>
        <w:t xml:space="preserve">, iznosili su </w:t>
      </w:r>
      <w:r w:rsidRPr="00C9084B">
        <w:rPr>
          <w:rFonts w:asciiTheme="minorHAnsi" w:hAnsiTheme="minorHAnsi"/>
        </w:rPr>
        <w:t>1</w:t>
      </w:r>
      <w:r w:rsidR="00F22178" w:rsidRPr="00C9084B">
        <w:rPr>
          <w:rFonts w:asciiTheme="minorHAnsi" w:hAnsiTheme="minorHAnsi"/>
        </w:rPr>
        <w:t>4</w:t>
      </w:r>
      <w:r w:rsidRPr="00C9084B">
        <w:rPr>
          <w:rFonts w:asciiTheme="minorHAnsi" w:hAnsiTheme="minorHAnsi"/>
        </w:rPr>
        <w:t>.</w:t>
      </w:r>
      <w:r w:rsidR="00F22178" w:rsidRPr="00C9084B">
        <w:rPr>
          <w:rFonts w:asciiTheme="minorHAnsi" w:hAnsiTheme="minorHAnsi"/>
        </w:rPr>
        <w:t>831</w:t>
      </w:r>
      <w:r w:rsidR="00040ABD" w:rsidRPr="00C9084B">
        <w:rPr>
          <w:rFonts w:asciiTheme="minorHAnsi" w:hAnsiTheme="minorHAnsi"/>
        </w:rPr>
        <w:t xml:space="preserve"> </w:t>
      </w:r>
      <w:r w:rsidRPr="00C9084B">
        <w:rPr>
          <w:rFonts w:asciiTheme="minorHAnsi" w:hAnsiTheme="minorHAnsi"/>
        </w:rPr>
        <w:t xml:space="preserve">milijuna </w:t>
      </w:r>
      <w:r w:rsidR="00040ABD" w:rsidRPr="00C9084B">
        <w:rPr>
          <w:rFonts w:asciiTheme="minorHAnsi" w:hAnsiTheme="minorHAnsi"/>
        </w:rPr>
        <w:t>kuna</w:t>
      </w:r>
      <w:r w:rsidR="00E11167" w:rsidRPr="00C9084B">
        <w:rPr>
          <w:rFonts w:asciiTheme="minorHAnsi" w:hAnsiTheme="minorHAnsi"/>
        </w:rPr>
        <w:t>.</w:t>
      </w:r>
    </w:p>
    <w:p w14:paraId="629E0687" w14:textId="022FA8DD" w:rsidR="00E11167" w:rsidRPr="00C9084B" w:rsidRDefault="00040ABD" w:rsidP="00040ABD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Theme="minorHAnsi" w:hAnsiTheme="minorHAnsi"/>
        </w:rPr>
      </w:pPr>
      <w:r w:rsidRPr="00C9084B">
        <w:rPr>
          <w:rFonts w:asciiTheme="minorHAnsi" w:hAnsiTheme="minorHAnsi"/>
        </w:rPr>
        <w:lastRenderedPageBreak/>
        <w:t>Na dan 3</w:t>
      </w:r>
      <w:r w:rsidR="00F22178" w:rsidRPr="00C9084B">
        <w:rPr>
          <w:rFonts w:asciiTheme="minorHAnsi" w:hAnsiTheme="minorHAnsi"/>
        </w:rPr>
        <w:t>1</w:t>
      </w:r>
      <w:r w:rsidRPr="00C9084B">
        <w:rPr>
          <w:rFonts w:asciiTheme="minorHAnsi" w:hAnsiTheme="minorHAnsi"/>
        </w:rPr>
        <w:t>.</w:t>
      </w:r>
      <w:r w:rsidR="00F22178" w:rsidRPr="00C9084B">
        <w:rPr>
          <w:rFonts w:asciiTheme="minorHAnsi" w:hAnsiTheme="minorHAnsi"/>
        </w:rPr>
        <w:t xml:space="preserve"> prosinca</w:t>
      </w:r>
      <w:r w:rsidRPr="00C9084B">
        <w:rPr>
          <w:rFonts w:asciiTheme="minorHAnsi" w:hAnsiTheme="minorHAnsi"/>
        </w:rPr>
        <w:t xml:space="preserve"> 2015. INA Grupa upravljala je mrežom od </w:t>
      </w:r>
      <w:r w:rsidR="00852ADB" w:rsidRPr="00C9084B">
        <w:rPr>
          <w:rFonts w:asciiTheme="minorHAnsi" w:hAnsiTheme="minorHAnsi"/>
        </w:rPr>
        <w:t>438</w:t>
      </w:r>
      <w:r w:rsidRPr="00C9084B">
        <w:rPr>
          <w:rFonts w:asciiTheme="minorHAnsi" w:hAnsiTheme="minorHAnsi"/>
        </w:rPr>
        <w:t xml:space="preserve"> benzinsk</w:t>
      </w:r>
      <w:r w:rsidR="00852ADB" w:rsidRPr="00C9084B">
        <w:rPr>
          <w:rFonts w:asciiTheme="minorHAnsi" w:hAnsiTheme="minorHAnsi"/>
        </w:rPr>
        <w:t>ih</w:t>
      </w:r>
      <w:r w:rsidRPr="00C9084B">
        <w:rPr>
          <w:rFonts w:asciiTheme="minorHAnsi" w:hAnsiTheme="minorHAnsi"/>
        </w:rPr>
        <w:t xml:space="preserve"> postaj</w:t>
      </w:r>
      <w:r w:rsidR="00852ADB" w:rsidRPr="00C9084B">
        <w:rPr>
          <w:rFonts w:asciiTheme="minorHAnsi" w:hAnsiTheme="minorHAnsi"/>
        </w:rPr>
        <w:t>a</w:t>
      </w:r>
      <w:r w:rsidR="00746587" w:rsidRPr="00C9084B">
        <w:rPr>
          <w:rFonts w:asciiTheme="minorHAnsi" w:hAnsiTheme="minorHAnsi"/>
        </w:rPr>
        <w:t xml:space="preserve"> (3</w:t>
      </w:r>
      <w:r w:rsidR="00852ADB" w:rsidRPr="00C9084B">
        <w:rPr>
          <w:rFonts w:asciiTheme="minorHAnsi" w:hAnsiTheme="minorHAnsi"/>
        </w:rPr>
        <w:t>88</w:t>
      </w:r>
      <w:r w:rsidR="00746587" w:rsidRPr="00C9084B">
        <w:rPr>
          <w:rFonts w:asciiTheme="minorHAnsi" w:hAnsiTheme="minorHAnsi"/>
        </w:rPr>
        <w:t xml:space="preserve"> </w:t>
      </w:r>
      <w:r w:rsidRPr="00C9084B">
        <w:rPr>
          <w:rFonts w:asciiTheme="minorHAnsi" w:hAnsiTheme="minorHAnsi"/>
        </w:rPr>
        <w:t>u Hrvatskoj</w:t>
      </w:r>
      <w:r w:rsidR="00746587" w:rsidRPr="00C9084B">
        <w:rPr>
          <w:rFonts w:asciiTheme="minorHAnsi" w:hAnsiTheme="minorHAnsi"/>
        </w:rPr>
        <w:t>, 43</w:t>
      </w:r>
      <w:r w:rsidRPr="00C9084B">
        <w:rPr>
          <w:rFonts w:asciiTheme="minorHAnsi" w:hAnsiTheme="minorHAnsi"/>
        </w:rPr>
        <w:t xml:space="preserve"> u Bosni i Hercegovini</w:t>
      </w:r>
      <w:r w:rsidR="00746587" w:rsidRPr="00C9084B">
        <w:rPr>
          <w:rFonts w:asciiTheme="minorHAnsi" w:hAnsiTheme="minorHAnsi"/>
        </w:rPr>
        <w:t xml:space="preserve">, </w:t>
      </w:r>
      <w:r w:rsidRPr="00C9084B">
        <w:rPr>
          <w:rFonts w:asciiTheme="minorHAnsi" w:hAnsiTheme="minorHAnsi"/>
        </w:rPr>
        <w:t>šest u Sloveniji i jednom u Crnoj Gori)</w:t>
      </w:r>
      <w:r w:rsidR="00746587" w:rsidRPr="00C9084B">
        <w:rPr>
          <w:rFonts w:asciiTheme="minorHAnsi" w:hAnsiTheme="minorHAnsi"/>
        </w:rPr>
        <w:t xml:space="preserve">, </w:t>
      </w:r>
      <w:r w:rsidRPr="00C9084B">
        <w:rPr>
          <w:rFonts w:asciiTheme="minorHAnsi" w:hAnsiTheme="minorHAnsi"/>
        </w:rPr>
        <w:t xml:space="preserve">od čega </w:t>
      </w:r>
      <w:r w:rsidR="00F22178" w:rsidRPr="00C9084B">
        <w:rPr>
          <w:rFonts w:asciiTheme="minorHAnsi" w:hAnsiTheme="minorHAnsi"/>
        </w:rPr>
        <w:t>je</w:t>
      </w:r>
      <w:r w:rsidRPr="00C9084B">
        <w:rPr>
          <w:rFonts w:asciiTheme="minorHAnsi" w:hAnsiTheme="minorHAnsi"/>
        </w:rPr>
        <w:t xml:space="preserve"> </w:t>
      </w:r>
      <w:r w:rsidR="00F22178" w:rsidRPr="00C9084B">
        <w:rPr>
          <w:rFonts w:asciiTheme="minorHAnsi" w:hAnsiTheme="minorHAnsi"/>
        </w:rPr>
        <w:t>39</w:t>
      </w:r>
      <w:r w:rsidRPr="00C9084B">
        <w:rPr>
          <w:rFonts w:asciiTheme="minorHAnsi" w:hAnsiTheme="minorHAnsi"/>
        </w:rPr>
        <w:t xml:space="preserve"> benzinsk</w:t>
      </w:r>
      <w:r w:rsidR="00F22178" w:rsidRPr="00C9084B">
        <w:rPr>
          <w:rFonts w:asciiTheme="minorHAnsi" w:hAnsiTheme="minorHAnsi"/>
        </w:rPr>
        <w:t>ih</w:t>
      </w:r>
      <w:r w:rsidRPr="00C9084B">
        <w:rPr>
          <w:rFonts w:asciiTheme="minorHAnsi" w:hAnsiTheme="minorHAnsi"/>
        </w:rPr>
        <w:t xml:space="preserve"> postaj</w:t>
      </w:r>
      <w:r w:rsidR="00F22178" w:rsidRPr="00C9084B">
        <w:rPr>
          <w:rFonts w:asciiTheme="minorHAnsi" w:hAnsiTheme="minorHAnsi"/>
        </w:rPr>
        <w:t>a</w:t>
      </w:r>
      <w:r w:rsidRPr="00C9084B">
        <w:rPr>
          <w:rFonts w:asciiTheme="minorHAnsi" w:hAnsiTheme="minorHAnsi"/>
        </w:rPr>
        <w:t xml:space="preserve"> u Hrvatskoj uključen</w:t>
      </w:r>
      <w:r w:rsidR="00F22178" w:rsidRPr="00C9084B">
        <w:rPr>
          <w:rFonts w:asciiTheme="minorHAnsi" w:hAnsiTheme="minorHAnsi"/>
        </w:rPr>
        <w:t>o</w:t>
      </w:r>
      <w:r w:rsidRPr="00C9084B">
        <w:rPr>
          <w:rFonts w:asciiTheme="minorHAnsi" w:hAnsiTheme="minorHAnsi"/>
        </w:rPr>
        <w:t xml:space="preserve"> </w:t>
      </w:r>
      <w:r w:rsidR="00FD3977" w:rsidRPr="00C9084B">
        <w:rPr>
          <w:rFonts w:asciiTheme="minorHAnsi" w:hAnsiTheme="minorHAnsi"/>
        </w:rPr>
        <w:t xml:space="preserve">u model Poduzetnik čiji je cilj </w:t>
      </w:r>
      <w:r w:rsidRPr="00C9084B">
        <w:rPr>
          <w:rFonts w:asciiTheme="minorHAnsi" w:hAnsiTheme="minorHAnsi"/>
        </w:rPr>
        <w:t>povećanj</w:t>
      </w:r>
      <w:r w:rsidR="00FD3977" w:rsidRPr="00C9084B">
        <w:rPr>
          <w:rFonts w:asciiTheme="minorHAnsi" w:hAnsiTheme="minorHAnsi"/>
        </w:rPr>
        <w:t>e</w:t>
      </w:r>
      <w:r w:rsidRPr="00C9084B">
        <w:rPr>
          <w:rFonts w:asciiTheme="minorHAnsi" w:hAnsiTheme="minorHAnsi"/>
        </w:rPr>
        <w:t xml:space="preserve"> učinkovitosti. </w:t>
      </w:r>
    </w:p>
    <w:p w14:paraId="0D515022" w14:textId="642983CE" w:rsidR="00242ED9" w:rsidRPr="00C9084B" w:rsidRDefault="00242ED9" w:rsidP="00A25916">
      <w:pPr>
        <w:spacing w:line="360" w:lineRule="auto"/>
        <w:jc w:val="center"/>
        <w:rPr>
          <w:rFonts w:asciiTheme="minorHAnsi" w:hAnsiTheme="minorHAnsi"/>
        </w:rPr>
      </w:pPr>
      <w:r w:rsidRPr="00C9084B">
        <w:rPr>
          <w:noProof/>
          <w:lang w:eastAsia="hr-HR"/>
        </w:rPr>
        <w:drawing>
          <wp:inline distT="0" distB="0" distL="0" distR="0" wp14:anchorId="27B2566C" wp14:editId="485B0CF0">
            <wp:extent cx="3000375" cy="2581275"/>
            <wp:effectExtent l="0" t="0" r="0" b="0"/>
            <wp:docPr id="15" name="Chart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72ED9B49" w14:textId="7B244B9D" w:rsidR="00A25916" w:rsidRPr="00C9084B" w:rsidRDefault="00A25916" w:rsidP="00A25916">
      <w:pPr>
        <w:spacing w:line="360" w:lineRule="auto"/>
        <w:jc w:val="center"/>
        <w:rPr>
          <w:rFonts w:asciiTheme="minorHAnsi" w:hAnsiTheme="minorHAnsi"/>
        </w:rPr>
      </w:pPr>
    </w:p>
    <w:p w14:paraId="5AD0485E" w14:textId="21B63651" w:rsidR="00242ED9" w:rsidRPr="00C9084B" w:rsidRDefault="00242ED9" w:rsidP="00A25916">
      <w:pPr>
        <w:spacing w:line="360" w:lineRule="auto"/>
        <w:jc w:val="center"/>
        <w:rPr>
          <w:rFonts w:asciiTheme="minorHAnsi" w:hAnsiTheme="minorHAnsi"/>
        </w:rPr>
      </w:pPr>
      <w:r w:rsidRPr="00C9084B">
        <w:rPr>
          <w:noProof/>
          <w:lang w:eastAsia="hr-HR"/>
        </w:rPr>
        <w:drawing>
          <wp:inline distT="0" distB="0" distL="0" distR="0" wp14:anchorId="664E890F" wp14:editId="66EF0875">
            <wp:extent cx="3000375" cy="2319338"/>
            <wp:effectExtent l="0" t="0" r="0" b="5080"/>
            <wp:docPr id="16" name="Chart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206B3E13" w14:textId="77777777" w:rsidR="00A25916" w:rsidRPr="00C9084B" w:rsidRDefault="00A25916" w:rsidP="00A25916">
      <w:pPr>
        <w:spacing w:line="360" w:lineRule="auto"/>
        <w:jc w:val="center"/>
        <w:rPr>
          <w:rFonts w:asciiTheme="minorHAnsi" w:hAnsiTheme="minorHAnsi"/>
        </w:rPr>
      </w:pPr>
    </w:p>
    <w:p w14:paraId="4D3930CC" w14:textId="77777777" w:rsidR="00E11167" w:rsidRPr="00C9084B" w:rsidRDefault="00E11167" w:rsidP="00E11167">
      <w:pPr>
        <w:spacing w:line="360" w:lineRule="auto"/>
        <w:jc w:val="both"/>
        <w:rPr>
          <w:rFonts w:asciiTheme="minorHAnsi" w:hAnsiTheme="minorHAnsi"/>
          <w:b/>
        </w:rPr>
      </w:pPr>
    </w:p>
    <w:p w14:paraId="6C7E9D58" w14:textId="5255EB13" w:rsidR="00E11167" w:rsidRPr="00C9084B" w:rsidRDefault="00F22178" w:rsidP="00E11167">
      <w:pPr>
        <w:spacing w:line="360" w:lineRule="auto"/>
        <w:jc w:val="both"/>
        <w:rPr>
          <w:rFonts w:asciiTheme="minorHAnsi" w:hAnsiTheme="minorHAnsi"/>
        </w:rPr>
      </w:pPr>
      <w:r w:rsidRPr="00C9084B">
        <w:rPr>
          <w:rFonts w:asciiTheme="minorHAnsi" w:hAnsiTheme="minorHAnsi"/>
          <w:b/>
        </w:rPr>
        <w:lastRenderedPageBreak/>
        <w:t>N</w:t>
      </w:r>
      <w:r w:rsidR="00422B24" w:rsidRPr="00C9084B">
        <w:rPr>
          <w:rFonts w:asciiTheme="minorHAnsi" w:hAnsiTheme="minorHAnsi"/>
          <w:b/>
        </w:rPr>
        <w:t xml:space="preserve">eto dug </w:t>
      </w:r>
      <w:r w:rsidRPr="00C9084B">
        <w:rPr>
          <w:rFonts w:asciiTheme="minorHAnsi" w:hAnsiTheme="minorHAnsi"/>
        </w:rPr>
        <w:t>kompanije stabilan je te iznosi 3.032 milijuna kuna</w:t>
      </w:r>
      <w:r w:rsidR="00422B24" w:rsidRPr="00C9084B">
        <w:rPr>
          <w:rFonts w:asciiTheme="minorHAnsi" w:hAnsiTheme="minorHAnsi"/>
        </w:rPr>
        <w:t>, a</w:t>
      </w:r>
      <w:r w:rsidR="00040ABD" w:rsidRPr="00C9084B">
        <w:rPr>
          <w:rFonts w:asciiTheme="minorHAnsi" w:hAnsiTheme="minorHAnsi"/>
        </w:rPr>
        <w:t xml:space="preserve"> </w:t>
      </w:r>
      <w:r w:rsidR="00422B24" w:rsidRPr="00C9084B">
        <w:rPr>
          <w:rFonts w:asciiTheme="minorHAnsi" w:hAnsiTheme="minorHAnsi"/>
          <w:b/>
        </w:rPr>
        <w:t>o</w:t>
      </w:r>
      <w:r w:rsidR="00040ABD" w:rsidRPr="00C9084B">
        <w:rPr>
          <w:rFonts w:asciiTheme="minorHAnsi" w:hAnsiTheme="minorHAnsi"/>
          <w:b/>
        </w:rPr>
        <w:t>mjer duga i kapitala</w:t>
      </w:r>
      <w:r w:rsidR="00E11167" w:rsidRPr="00C9084B">
        <w:rPr>
          <w:rFonts w:asciiTheme="minorHAnsi" w:hAnsiTheme="minorHAnsi"/>
        </w:rPr>
        <w:t xml:space="preserve"> </w:t>
      </w:r>
      <w:r w:rsidRPr="00C9084B">
        <w:rPr>
          <w:rFonts w:asciiTheme="minorHAnsi" w:hAnsiTheme="minorHAnsi"/>
        </w:rPr>
        <w:t xml:space="preserve">blago je povećan te iznosi i dalje vrlo sigurnih 22,3 posto. </w:t>
      </w:r>
    </w:p>
    <w:bookmarkEnd w:id="0"/>
    <w:p w14:paraId="50672F0E" w14:textId="0D61245F" w:rsidR="00E11167" w:rsidRPr="00C9084B" w:rsidRDefault="00E11167" w:rsidP="00242ED9">
      <w:pPr>
        <w:spacing w:line="360" w:lineRule="auto"/>
        <w:rPr>
          <w:rFonts w:asciiTheme="minorHAnsi" w:hAnsiTheme="minorHAnsi"/>
        </w:rPr>
      </w:pPr>
    </w:p>
    <w:p w14:paraId="4BC8EC54" w14:textId="1717FA46" w:rsidR="00242ED9" w:rsidRPr="00C9084B" w:rsidRDefault="00242ED9" w:rsidP="00E11167">
      <w:pPr>
        <w:spacing w:line="360" w:lineRule="auto"/>
        <w:jc w:val="center"/>
        <w:rPr>
          <w:rFonts w:asciiTheme="minorHAnsi" w:hAnsiTheme="minorHAnsi"/>
        </w:rPr>
      </w:pPr>
      <w:r w:rsidRPr="00C9084B">
        <w:rPr>
          <w:noProof/>
          <w:lang w:eastAsia="hr-HR"/>
        </w:rPr>
        <w:drawing>
          <wp:inline distT="0" distB="0" distL="0" distR="0" wp14:anchorId="0DE90AED" wp14:editId="3F3C74FF">
            <wp:extent cx="3000375" cy="2309813"/>
            <wp:effectExtent l="0" t="0" r="0" b="0"/>
            <wp:docPr id="17" name="Chart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2185101E" w14:textId="362A3204" w:rsidR="00E11167" w:rsidRPr="00C9084B" w:rsidRDefault="00242ED9" w:rsidP="00242ED9">
      <w:pPr>
        <w:spacing w:line="360" w:lineRule="auto"/>
        <w:jc w:val="center"/>
        <w:rPr>
          <w:rFonts w:asciiTheme="minorHAnsi" w:hAnsiTheme="minorHAnsi"/>
        </w:rPr>
      </w:pPr>
      <w:r w:rsidRPr="00C9084B">
        <w:rPr>
          <w:noProof/>
          <w:lang w:eastAsia="hr-HR"/>
        </w:rPr>
        <w:drawing>
          <wp:inline distT="0" distB="0" distL="0" distR="0" wp14:anchorId="4ABC0FDA" wp14:editId="7D459357">
            <wp:extent cx="3000375" cy="2309813"/>
            <wp:effectExtent l="0" t="0" r="0" b="0"/>
            <wp:docPr id="18" name="Chart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08C8152F" w14:textId="77777777" w:rsidR="008055F8" w:rsidRPr="00C9084B" w:rsidRDefault="008055F8"/>
    <w:sectPr w:rsidR="008055F8" w:rsidRPr="00C9084B" w:rsidSect="004712BC">
      <w:headerReference w:type="default" r:id="rId20"/>
      <w:type w:val="continuous"/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6F23A1" w14:textId="77777777" w:rsidR="00F213C3" w:rsidRDefault="00F213C3" w:rsidP="00E11167">
      <w:r>
        <w:separator/>
      </w:r>
    </w:p>
  </w:endnote>
  <w:endnote w:type="continuationSeparator" w:id="0">
    <w:p w14:paraId="7D108EE7" w14:textId="77777777" w:rsidR="00F213C3" w:rsidRDefault="00F213C3" w:rsidP="00E11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9680"/>
    </w:tblGrid>
    <w:tr w:rsidR="00B0622A" w:rsidRPr="00CD53EE" w14:paraId="120BE4F1" w14:textId="77777777" w:rsidTr="002D2A8F">
      <w:trPr>
        <w:cantSplit/>
        <w:trHeight w:val="517"/>
      </w:trPr>
      <w:tc>
        <w:tcPr>
          <w:tcW w:w="9680" w:type="dxa"/>
          <w:vMerge w:val="restart"/>
          <w:tcBorders>
            <w:top w:val="single" w:sz="4" w:space="0" w:color="auto"/>
            <w:left w:val="nil"/>
            <w:right w:val="nil"/>
          </w:tcBorders>
        </w:tcPr>
        <w:tbl>
          <w:tblPr>
            <w:tblW w:w="9464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  <w:tblGrid>
            <w:gridCol w:w="1998"/>
            <w:gridCol w:w="1554"/>
            <w:gridCol w:w="2225"/>
            <w:gridCol w:w="1528"/>
            <w:gridCol w:w="2159"/>
          </w:tblGrid>
          <w:tr w:rsidR="00B0622A" w:rsidRPr="00CD53EE" w14:paraId="0B7964D1" w14:textId="77777777" w:rsidTr="002D2A8F">
            <w:trPr>
              <w:cantSplit/>
              <w:trHeight w:val="181"/>
            </w:trPr>
            <w:tc>
              <w:tcPr>
                <w:tcW w:w="1998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</w:tcPr>
              <w:p w14:paraId="4A433198" w14:textId="77777777" w:rsidR="00B0622A" w:rsidRPr="00E22D6A" w:rsidRDefault="00B0622A" w:rsidP="00B0622A">
                <w:pPr>
                  <w:pStyle w:val="Footer"/>
                  <w:spacing w:before="20" w:after="20"/>
                  <w:rPr>
                    <w:rFonts w:cs="Arial"/>
                    <w:b/>
                    <w:bCs/>
                    <w:sz w:val="14"/>
                    <w:szCs w:val="14"/>
                  </w:rPr>
                </w:pPr>
                <w:r w:rsidRPr="00E22D6A">
                  <w:rPr>
                    <w:rFonts w:cs="Arial"/>
                    <w:b/>
                    <w:bCs/>
                    <w:sz w:val="14"/>
                    <w:szCs w:val="14"/>
                  </w:rPr>
                  <w:t>INA, d.d.</w:t>
                </w:r>
              </w:p>
              <w:p w14:paraId="0ED27E78" w14:textId="77777777" w:rsidR="00B0622A" w:rsidRPr="00126238" w:rsidRDefault="00B0622A" w:rsidP="00B0622A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Avenija Većeslava Holjevca 10 </w:t>
                </w:r>
              </w:p>
              <w:p w14:paraId="3C4A8ACD" w14:textId="77777777" w:rsidR="00B0622A" w:rsidRPr="00126238" w:rsidRDefault="00B0622A" w:rsidP="00B0622A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>10 002 Zagreb    p.p. 555</w:t>
                </w:r>
              </w:p>
              <w:p w14:paraId="12BB9FB6" w14:textId="77777777" w:rsidR="00B0622A" w:rsidRPr="00126238" w:rsidRDefault="00B0622A" w:rsidP="00B0622A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Hrvatska - </w:t>
                </w:r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Croatia</w:t>
                </w:r>
              </w:p>
              <w:p w14:paraId="42EAB64D" w14:textId="77777777" w:rsidR="00B0622A" w:rsidRPr="00126238" w:rsidRDefault="00B0622A" w:rsidP="00B0622A">
                <w:pPr>
                  <w:pStyle w:val="Footer"/>
                  <w:ind w:right="-72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Telefon - </w:t>
                </w:r>
                <w:proofErr w:type="spellStart"/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Telephone</w:t>
                </w:r>
                <w:proofErr w:type="spellEnd"/>
                <w:r w:rsidRPr="00126238">
                  <w:rPr>
                    <w:rFonts w:cs="Arial"/>
                    <w:sz w:val="11"/>
                    <w:szCs w:val="11"/>
                  </w:rPr>
                  <w:t xml:space="preserve"> +385(1)6450000</w:t>
                </w:r>
              </w:p>
              <w:p w14:paraId="41606FC1" w14:textId="77777777" w:rsidR="00B0622A" w:rsidRPr="00CD53EE" w:rsidRDefault="00B0622A" w:rsidP="00B0622A">
                <w:pPr>
                  <w:pStyle w:val="Footer"/>
                  <w:rPr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Faks - </w:t>
                </w:r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Fax</w:t>
                </w:r>
                <w:r w:rsidRPr="00126238">
                  <w:rPr>
                    <w:rFonts w:cs="Arial"/>
                    <w:sz w:val="11"/>
                    <w:szCs w:val="11"/>
                  </w:rPr>
                  <w:t xml:space="preserve"> + 385(1)6452100</w:t>
                </w:r>
              </w:p>
            </w:tc>
            <w:tc>
              <w:tcPr>
                <w:tcW w:w="1554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2BAC1967" w14:textId="77777777" w:rsidR="00B0622A" w:rsidRPr="00E938AF" w:rsidRDefault="00B0622A" w:rsidP="00B0622A">
                <w:pPr>
                  <w:pStyle w:val="Footer"/>
                  <w:ind w:left="-108"/>
                  <w:rPr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Banka - </w:t>
                </w:r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>Bank</w:t>
                </w:r>
              </w:p>
            </w:tc>
            <w:tc>
              <w:tcPr>
                <w:tcW w:w="2225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0457598A" w14:textId="77777777" w:rsidR="00B0622A" w:rsidRPr="00E938AF" w:rsidRDefault="00B0622A" w:rsidP="00B0622A">
                <w:pPr>
                  <w:pStyle w:val="Footer"/>
                  <w:ind w:left="-108"/>
                  <w:rPr>
                    <w:rFonts w:cs="Arial"/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Adresa - </w:t>
                </w:r>
                <w:proofErr w:type="spellStart"/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>Address</w:t>
                </w:r>
                <w:proofErr w:type="spellEnd"/>
              </w:p>
            </w:tc>
            <w:tc>
              <w:tcPr>
                <w:tcW w:w="1528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2612C3CC" w14:textId="77777777" w:rsidR="00B0622A" w:rsidRPr="00E938AF" w:rsidRDefault="00B0622A" w:rsidP="00B0622A">
                <w:pPr>
                  <w:pStyle w:val="Footer"/>
                  <w:ind w:left="-108" w:right="-108"/>
                  <w:rPr>
                    <w:rFonts w:cs="Arial"/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IBAN </w:t>
                </w:r>
                <w:r>
                  <w:rPr>
                    <w:rFonts w:cs="Arial"/>
                    <w:sz w:val="10"/>
                    <w:szCs w:val="10"/>
                  </w:rPr>
                  <w:t>broj</w:t>
                </w:r>
                <w:r w:rsidRPr="00E938AF">
                  <w:rPr>
                    <w:rFonts w:cs="Arial"/>
                    <w:sz w:val="10"/>
                    <w:szCs w:val="10"/>
                  </w:rPr>
                  <w:t xml:space="preserve"> - </w:t>
                </w:r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 xml:space="preserve">IBAN </w:t>
                </w:r>
                <w:proofErr w:type="spellStart"/>
                <w:r>
                  <w:rPr>
                    <w:rFonts w:cs="Arial"/>
                    <w:i/>
                    <w:iCs/>
                    <w:sz w:val="10"/>
                    <w:szCs w:val="10"/>
                  </w:rPr>
                  <w:t>Number</w:t>
                </w:r>
                <w:proofErr w:type="spellEnd"/>
              </w:p>
            </w:tc>
            <w:tc>
              <w:tcPr>
                <w:tcW w:w="2159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  <w:tcMar>
                  <w:left w:w="57" w:type="dxa"/>
                  <w:right w:w="57" w:type="dxa"/>
                </w:tcMar>
              </w:tcPr>
              <w:p w14:paraId="38EE3995" w14:textId="77777777" w:rsidR="00B0622A" w:rsidRPr="00126238" w:rsidRDefault="00B0622A" w:rsidP="00B0622A">
                <w:pPr>
                  <w:pStyle w:val="Footer"/>
                  <w:spacing w:before="40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Trgovački sud u Zagrebu</w:t>
                </w:r>
              </w:p>
              <w:p w14:paraId="2623E61E" w14:textId="77777777" w:rsidR="00B0622A" w:rsidRPr="00126238" w:rsidRDefault="00B0622A" w:rsidP="00B0622A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Commercial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Court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in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smartTag w:uri="urn:schemas-microsoft-com:office:smarttags" w:element="place">
                  <w:smartTag w:uri="urn:schemas-microsoft-com:office:smarttags" w:element="City">
                    <w:r w:rsidRPr="00126238">
                      <w:rPr>
                        <w:rFonts w:ascii="Arial Narrow" w:hAnsi="Arial Narrow" w:cs="Arial"/>
                        <w:i/>
                        <w:iCs/>
                        <w:sz w:val="12"/>
                        <w:szCs w:val="12"/>
                        <w:lang w:val="en-US"/>
                      </w:rPr>
                      <w:t>Zagreb</w:t>
                    </w:r>
                  </w:smartTag>
                </w:smartTag>
              </w:p>
              <w:p w14:paraId="4A3FD055" w14:textId="77777777" w:rsidR="00B0622A" w:rsidRPr="00126238" w:rsidRDefault="00B0622A" w:rsidP="00B0622A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MBS: 080000604</w:t>
                </w:r>
              </w:p>
              <w:p w14:paraId="0D283901" w14:textId="77777777" w:rsidR="00B0622A" w:rsidRPr="00126238" w:rsidRDefault="00B0622A" w:rsidP="00B0622A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Uplaćen temeljni kapital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Paid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  <w:lang w:val="en-US"/>
                  </w:rPr>
                  <w:t>c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apital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stock</w:t>
                </w:r>
              </w:p>
              <w:p w14:paraId="5B1F92F5" w14:textId="77777777" w:rsidR="00B0622A" w:rsidRPr="00126238" w:rsidRDefault="00B0622A" w:rsidP="00B0622A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9.000.000.000,00 kn - HRK </w:t>
                </w:r>
              </w:p>
              <w:p w14:paraId="6555B8AA" w14:textId="77777777" w:rsidR="00B0622A" w:rsidRPr="00126238" w:rsidRDefault="00B0622A" w:rsidP="00B0622A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Broj izdanih dionica / Nominalna vrijednost</w:t>
                </w:r>
              </w:p>
              <w:p w14:paraId="249A2EAC" w14:textId="77777777" w:rsidR="00B0622A" w:rsidRPr="00126238" w:rsidRDefault="00B0622A" w:rsidP="00B0622A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No. of issued shares / Nominal value</w:t>
                </w:r>
              </w:p>
              <w:p w14:paraId="49FD38F4" w14:textId="77777777" w:rsidR="00B0622A" w:rsidRPr="00126238" w:rsidRDefault="00B0622A" w:rsidP="00B0622A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10.000.000 / 900,00 kn - HRK </w:t>
                </w:r>
              </w:p>
              <w:p w14:paraId="127EB286" w14:textId="77777777" w:rsidR="00B0622A" w:rsidRPr="00126238" w:rsidRDefault="00B0622A" w:rsidP="00B0622A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Matični broj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nl-NL"/>
                  </w:rPr>
                  <w:t>Reg. No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>.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3586243</w:t>
                </w:r>
              </w:p>
              <w:p w14:paraId="219375E7" w14:textId="77777777" w:rsidR="00B0622A" w:rsidRDefault="00B0622A" w:rsidP="00B0622A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OIB </w:t>
                </w:r>
                <w:r>
                  <w:rPr>
                    <w:rFonts w:ascii="Arial Narrow" w:hAnsi="Arial Narrow" w:cs="Arial"/>
                    <w:sz w:val="12"/>
                    <w:szCs w:val="12"/>
                  </w:rPr>
                  <w:t>–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27759560625</w:t>
                </w:r>
              </w:p>
              <w:p w14:paraId="311EF3BD" w14:textId="77777777" w:rsidR="00B0622A" w:rsidRPr="00721675" w:rsidRDefault="00B0622A" w:rsidP="00B0622A">
                <w:pPr>
                  <w:pStyle w:val="Footer"/>
                  <w:rPr>
                    <w:sz w:val="11"/>
                    <w:szCs w:val="11"/>
                  </w:rPr>
                </w:pPr>
                <w:r w:rsidRPr="00721675">
                  <w:rPr>
                    <w:rFonts w:ascii="Arial Narrow" w:hAnsi="Arial Narrow" w:cs="Arial"/>
                    <w:sz w:val="12"/>
                    <w:szCs w:val="12"/>
                  </w:rPr>
                  <w:t xml:space="preserve">PDV identifikacijski broj / </w:t>
                </w:r>
                <w:r w:rsidRPr="00721675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VAT </w:t>
                </w:r>
                <w:r w:rsidRPr="00721675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identification number</w:t>
                </w:r>
                <w:r w:rsidRPr="00721675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721675">
                  <w:rPr>
                    <w:sz w:val="11"/>
                    <w:szCs w:val="11"/>
                  </w:rPr>
                  <w:t>HR27759560625</w:t>
                </w:r>
              </w:p>
            </w:tc>
          </w:tr>
          <w:tr w:rsidR="00B0622A" w:rsidRPr="00CD53EE" w14:paraId="2A07551C" w14:textId="77777777" w:rsidTr="002D2A8F">
            <w:trPr>
              <w:cantSplit/>
              <w:trHeight w:val="1304"/>
            </w:trPr>
            <w:tc>
              <w:tcPr>
                <w:tcW w:w="1998" w:type="dxa"/>
                <w:vMerge/>
                <w:tcBorders>
                  <w:left w:val="nil"/>
                  <w:bottom w:val="nil"/>
                  <w:right w:val="nil"/>
                </w:tcBorders>
              </w:tcPr>
              <w:p w14:paraId="4B1D6085" w14:textId="77777777" w:rsidR="00B0622A" w:rsidRPr="00CD53EE" w:rsidRDefault="00B0622A" w:rsidP="00B0622A">
                <w:pPr>
                  <w:pStyle w:val="Footer"/>
                  <w:rPr>
                    <w:rFonts w:cs="Arial"/>
                    <w:b/>
                    <w:bCs/>
                    <w:sz w:val="11"/>
                    <w:szCs w:val="11"/>
                  </w:rPr>
                </w:pPr>
              </w:p>
            </w:tc>
            <w:tc>
              <w:tcPr>
                <w:tcW w:w="15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10CA9CE" w14:textId="77777777" w:rsidR="00B0622A" w:rsidRPr="00E938AF" w:rsidRDefault="00B0622A" w:rsidP="00B0622A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Privredna banka Zagreb d.d.</w:t>
                </w:r>
              </w:p>
              <w:p w14:paraId="1DDB155C" w14:textId="77777777" w:rsidR="00B0622A" w:rsidRPr="00E938AF" w:rsidRDefault="00B0622A" w:rsidP="00B0622A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Raiffeisenbank</w:t>
                </w:r>
                <w:proofErr w:type="spellEnd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 </w:t>
                </w:r>
                <w:proofErr w:type="spellStart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Austria</w:t>
                </w:r>
                <w:proofErr w:type="spellEnd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 d.d. </w:t>
                </w:r>
              </w:p>
              <w:p w14:paraId="78CF35DF" w14:textId="77777777" w:rsidR="00B0622A" w:rsidRPr="00E938AF" w:rsidRDefault="00B0622A" w:rsidP="00B0622A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Zagrebačka banka d.d.</w:t>
                </w:r>
              </w:p>
              <w:p w14:paraId="4052A8D8" w14:textId="77777777" w:rsidR="00B0622A" w:rsidRPr="00E938AF" w:rsidRDefault="00B0622A" w:rsidP="00B0622A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Societe Generale-Splitska banka d.d.</w:t>
                </w:r>
              </w:p>
              <w:p w14:paraId="3E24319F" w14:textId="77777777" w:rsidR="00B0622A" w:rsidRPr="00E938AF" w:rsidRDefault="00B0622A" w:rsidP="00B0622A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OTP banka Hrvatska d.d. </w:t>
                </w:r>
              </w:p>
              <w:p w14:paraId="0D9081B9" w14:textId="77777777" w:rsidR="00B0622A" w:rsidRPr="00AC0994" w:rsidRDefault="00B0622A" w:rsidP="00B0622A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AC0994">
                  <w:rPr>
                    <w:rFonts w:ascii="Arial Narrow" w:hAnsi="Arial Narrow"/>
                    <w:sz w:val="10"/>
                    <w:szCs w:val="10"/>
                  </w:rPr>
                  <w:t>Erste&amp;Steiermärkische</w:t>
                </w:r>
                <w:proofErr w:type="spellEnd"/>
                <w:r w:rsidRPr="00AC0994">
                  <w:rPr>
                    <w:rFonts w:ascii="Arial Narrow" w:hAnsi="Arial Narrow"/>
                    <w:sz w:val="10"/>
                    <w:szCs w:val="10"/>
                  </w:rPr>
                  <w:t xml:space="preserve"> Bank </w:t>
                </w: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 xml:space="preserve">d.d. </w:t>
                </w:r>
              </w:p>
              <w:p w14:paraId="7BCD4B54" w14:textId="77777777" w:rsidR="00B0622A" w:rsidRDefault="00B0622A" w:rsidP="00B0622A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</w:rPr>
                </w:pP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</w:rPr>
                  <w:t>Sberbank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</w:rPr>
                  <w:t xml:space="preserve"> d.d. </w:t>
                </w:r>
              </w:p>
              <w:p w14:paraId="0DCFCD67" w14:textId="77777777" w:rsidR="00B0622A" w:rsidRPr="00E938AF" w:rsidRDefault="00B0622A" w:rsidP="00B0622A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NATIXIS</w:t>
                </w:r>
              </w:p>
              <w:p w14:paraId="7807B3DE" w14:textId="77777777" w:rsidR="00B0622A" w:rsidRDefault="00B0622A" w:rsidP="00B0622A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UniCredit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Bank </w:t>
                </w: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Austria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AG</w:t>
                </w:r>
              </w:p>
              <w:p w14:paraId="5A8C487A" w14:textId="77777777" w:rsidR="00B0622A" w:rsidRPr="00E938AF" w:rsidRDefault="00B0622A" w:rsidP="00B0622A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52C561D6" w14:textId="77777777" w:rsidR="00B0622A" w:rsidRDefault="00B0622A" w:rsidP="00B0622A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BNP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Paribas (Suisse) SA</w:t>
                </w:r>
              </w:p>
              <w:p w14:paraId="79472FB2" w14:textId="77777777" w:rsidR="00B0622A" w:rsidRPr="00E938AF" w:rsidRDefault="00B0622A" w:rsidP="00B0622A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3AFDC184" w14:textId="77777777" w:rsidR="00B0622A" w:rsidRDefault="00B0622A" w:rsidP="00B0622A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ING Bank NV</w:t>
                </w:r>
              </w:p>
              <w:p w14:paraId="33F5B68D" w14:textId="77777777" w:rsidR="00B0622A" w:rsidRPr="00E938AF" w:rsidRDefault="00B0622A" w:rsidP="00B0622A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746911A4" w14:textId="77777777" w:rsidR="00B0622A" w:rsidRPr="00126238" w:rsidRDefault="00B0622A" w:rsidP="00B0622A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Credit Agricole (Suisse) SA</w:t>
                </w:r>
              </w:p>
            </w:tc>
            <w:tc>
              <w:tcPr>
                <w:tcW w:w="22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DD6B949" w14:textId="77777777" w:rsidR="00B0622A" w:rsidRPr="00E938AF" w:rsidRDefault="00B0622A" w:rsidP="00B0622A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>
                  <w:rPr>
                    <w:rFonts w:ascii="Arial Narrow" w:hAnsi="Arial Narrow" w:cs="Arial"/>
                    <w:sz w:val="10"/>
                    <w:szCs w:val="10"/>
                  </w:rPr>
                  <w:t>Radnička cesta 50</w:t>
                </w: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, 10000 Zagreb</w:t>
                </w:r>
              </w:p>
              <w:p w14:paraId="318F1756" w14:textId="77777777" w:rsidR="00B0622A" w:rsidRPr="00E938AF" w:rsidRDefault="00B0622A" w:rsidP="00B0622A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Petrinjska 59, 10000 Zagreb</w:t>
                </w:r>
              </w:p>
              <w:p w14:paraId="597F14C8" w14:textId="77777777" w:rsidR="00B0622A" w:rsidRPr="00E938AF" w:rsidRDefault="00B0622A" w:rsidP="00B0622A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Trg bana Josipa Jelačića 10, 10000 Zagreb</w:t>
                </w:r>
              </w:p>
              <w:p w14:paraId="7B4D34FD" w14:textId="77777777" w:rsidR="00B0622A" w:rsidRPr="00E938AF" w:rsidRDefault="00B0622A" w:rsidP="00B0622A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R. Boškovića 16, 21000 Split</w:t>
                </w:r>
              </w:p>
              <w:p w14:paraId="5BF6C32C" w14:textId="77777777" w:rsidR="00B0622A" w:rsidRPr="00E938AF" w:rsidRDefault="00B0622A" w:rsidP="00B0622A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Domovinskog rata 3, 23000 Zadar</w:t>
                </w:r>
              </w:p>
              <w:p w14:paraId="24AA532A" w14:textId="77777777" w:rsidR="00B0622A" w:rsidRPr="00AC0994" w:rsidRDefault="00B0622A" w:rsidP="00B0622A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>Jadranski trg 3a, 51000 Rijeka</w:t>
                </w:r>
              </w:p>
              <w:p w14:paraId="3545467A" w14:textId="77777777" w:rsidR="00B0622A" w:rsidRDefault="00B0622A" w:rsidP="00B0622A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Varšavska 9, </w:t>
                </w:r>
                <w:r>
                  <w:rPr>
                    <w:rFonts w:ascii="Arial Narrow" w:hAnsi="Arial Narrow" w:cs="Arial"/>
                    <w:sz w:val="10"/>
                    <w:szCs w:val="10"/>
                  </w:rPr>
                  <w:t xml:space="preserve">10000 </w:t>
                </w: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Zagreb</w:t>
                </w: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</w:p>
              <w:p w14:paraId="3DAD9674" w14:textId="77777777" w:rsidR="00B0622A" w:rsidRDefault="00B0622A" w:rsidP="00B0622A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Avenu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e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Pierre </w:t>
                </w: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Mendes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30, 75013 Paris</w:t>
                </w:r>
              </w:p>
              <w:p w14:paraId="4771BBB4" w14:textId="77777777" w:rsidR="00B0622A" w:rsidRDefault="00B0622A" w:rsidP="00B0622A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Schottengasse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6-8, A-1010 </w:t>
                </w: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Wien</w:t>
                </w:r>
                <w:proofErr w:type="spellEnd"/>
              </w:p>
              <w:p w14:paraId="713AC0E1" w14:textId="77777777" w:rsidR="00B0622A" w:rsidRDefault="00B0622A" w:rsidP="00B0622A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7606656E" w14:textId="77777777" w:rsidR="00B0622A" w:rsidRDefault="00B0622A" w:rsidP="00B0622A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Place de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Hollande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2,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Case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Postale 5060 1211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Geneve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11</w:t>
                </w:r>
              </w:p>
              <w:p w14:paraId="6E6E2A2A" w14:textId="77777777" w:rsidR="00B0622A" w:rsidRDefault="00B0622A" w:rsidP="00B0622A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13547B2E" w14:textId="77777777" w:rsidR="00B0622A" w:rsidRDefault="00B0622A" w:rsidP="00B0622A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PO BOX 1800, 1000 BV Amsterdam</w:t>
                </w:r>
              </w:p>
              <w:p w14:paraId="2B06592C" w14:textId="77777777" w:rsidR="00B0622A" w:rsidRDefault="00B0622A" w:rsidP="00B0622A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2D97AF13" w14:textId="77777777" w:rsidR="00B0622A" w:rsidRPr="00E938AF" w:rsidRDefault="00B0622A" w:rsidP="00B0622A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color w:val="FF0000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4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quai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General -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Guisan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, CH 1204</w:t>
                </w:r>
              </w:p>
            </w:tc>
            <w:tc>
              <w:tcPr>
                <w:tcW w:w="152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F242752" w14:textId="77777777" w:rsidR="00B0622A" w:rsidRPr="00126238" w:rsidRDefault="00B0622A" w:rsidP="00B0622A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HR92 2340 0091 1000 2290 2</w:t>
                </w:r>
              </w:p>
              <w:p w14:paraId="19055034" w14:textId="77777777" w:rsidR="00B0622A" w:rsidRPr="00126238" w:rsidRDefault="00B0622A" w:rsidP="00B0622A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HR70 2484 0081 1006 1948 3</w:t>
                </w:r>
              </w:p>
              <w:p w14:paraId="7BE2A571" w14:textId="77777777" w:rsidR="00B0622A" w:rsidRPr="00126238" w:rsidRDefault="00B0622A" w:rsidP="00B0622A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HR62 2360 0001 1013 0359 5</w:t>
                </w:r>
              </w:p>
              <w:p w14:paraId="40F1D5FD" w14:textId="77777777" w:rsidR="00B0622A" w:rsidRPr="00126238" w:rsidRDefault="00B0622A" w:rsidP="00B0622A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HR81 2330 0031 1002 0454 6</w:t>
                </w:r>
              </w:p>
              <w:p w14:paraId="18AB2128" w14:textId="77777777" w:rsidR="00B0622A" w:rsidRPr="00126238" w:rsidRDefault="00B0622A" w:rsidP="00B0622A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HR96 2407 0001 1001 5214 9</w:t>
                </w:r>
              </w:p>
              <w:p w14:paraId="7823B1A0" w14:textId="77777777" w:rsidR="00B0622A" w:rsidRPr="00AC0994" w:rsidRDefault="00B0622A" w:rsidP="00B0622A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 xml:space="preserve">HR34 </w:t>
                </w:r>
                <w:r w:rsidRPr="00AC0994">
                  <w:rPr>
                    <w:rFonts w:ascii="Arial Narrow" w:hAnsi="Arial Narrow"/>
                    <w:sz w:val="10"/>
                    <w:szCs w:val="10"/>
                  </w:rPr>
                  <w:t>2402 0061 1006 8111 4</w:t>
                </w:r>
              </w:p>
              <w:p w14:paraId="0C624CE0" w14:textId="77777777" w:rsidR="00B0622A" w:rsidRPr="00126238" w:rsidRDefault="00B0622A" w:rsidP="00B0622A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HR75 2503 0071 1000 6218 3</w:t>
                </w:r>
              </w:p>
              <w:p w14:paraId="322BE9B2" w14:textId="77777777" w:rsidR="00B0622A" w:rsidRPr="00126238" w:rsidRDefault="00B0622A" w:rsidP="00B0622A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FR76 30007 99999 27 021 672 000 59</w:t>
                </w:r>
              </w:p>
              <w:p w14:paraId="59B10D9B" w14:textId="77777777" w:rsidR="00B0622A" w:rsidRPr="00126238" w:rsidRDefault="00B0622A" w:rsidP="00B0622A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AT21 1200 0528 4400 3466     (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EUR) </w:t>
                </w:r>
              </w:p>
              <w:p w14:paraId="7863D922" w14:textId="77777777" w:rsidR="00B0622A" w:rsidRPr="00126238" w:rsidRDefault="00B0622A" w:rsidP="00B0622A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AT91 1200 0528 4400 3467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(USD)</w:t>
                </w:r>
              </w:p>
              <w:p w14:paraId="298DE7C9" w14:textId="77777777" w:rsidR="00B0622A" w:rsidRPr="00126238" w:rsidRDefault="00B0622A" w:rsidP="00B0622A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CH95 0868 6001 0887 4000 2 (EUR)</w:t>
                </w:r>
              </w:p>
              <w:p w14:paraId="4401DC5E" w14:textId="77777777" w:rsidR="00B0622A" w:rsidRPr="00126238" w:rsidRDefault="00B0622A" w:rsidP="00B0622A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CH25 0868 6001 0887 4000 1 (USD)</w:t>
                </w:r>
              </w:p>
              <w:p w14:paraId="166FCD87" w14:textId="77777777" w:rsidR="00B0622A" w:rsidRPr="00126238" w:rsidRDefault="00B0622A" w:rsidP="00B0622A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NL98 INGB 0650 7815 38  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(EUR)</w:t>
                </w:r>
              </w:p>
              <w:p w14:paraId="5A2C838A" w14:textId="77777777" w:rsidR="00B0622A" w:rsidRPr="00126238" w:rsidRDefault="00B0622A" w:rsidP="00B0622A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NL23 INGB 0020 0370 90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 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(USD)</w:t>
                </w:r>
              </w:p>
              <w:p w14:paraId="78BF3A9E" w14:textId="77777777" w:rsidR="00B0622A" w:rsidRPr="00126238" w:rsidRDefault="00B0622A" w:rsidP="00B0622A">
                <w:pPr>
                  <w:pStyle w:val="Footer"/>
                  <w:spacing w:line="216" w:lineRule="auto"/>
                  <w:ind w:left="-108" w:right="-108"/>
                  <w:rPr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CH36 0874 1016 2235 0000 1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right w:val="nil"/>
                </w:tcBorders>
              </w:tcPr>
              <w:p w14:paraId="5B38B868" w14:textId="77777777" w:rsidR="00B0622A" w:rsidRPr="00CD53EE" w:rsidRDefault="00B0622A" w:rsidP="00B0622A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  <w:tr w:rsidR="00B0622A" w:rsidRPr="00CD53EE" w14:paraId="2838A2C8" w14:textId="77777777" w:rsidTr="002D2A8F">
            <w:trPr>
              <w:cantSplit/>
              <w:trHeight w:val="300"/>
            </w:trPr>
            <w:tc>
              <w:tcPr>
                <w:tcW w:w="7305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7658D927" w14:textId="77777777" w:rsidR="00B0622A" w:rsidRPr="00A17F18" w:rsidRDefault="00B0622A" w:rsidP="00B0622A">
                <w:pPr>
                  <w:pStyle w:val="Footer"/>
                  <w:spacing w:line="216" w:lineRule="auto"/>
                  <w:ind w:right="-108"/>
                  <w:rPr>
                    <w:rFonts w:cs="Arial"/>
                    <w:i/>
                    <w:sz w:val="11"/>
                    <w:szCs w:val="11"/>
                  </w:rPr>
                </w:pPr>
                <w:r w:rsidRPr="00A17F18">
                  <w:rPr>
                    <w:rFonts w:cs="Arial"/>
                    <w:sz w:val="11"/>
                    <w:szCs w:val="11"/>
                  </w:rPr>
                  <w:t xml:space="preserve">Predsjednik i članovi Uprave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 and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 xml:space="preserve"> m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embers of the Management Board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>:</w:t>
                </w:r>
              </w:p>
              <w:p w14:paraId="498FA008" w14:textId="77777777" w:rsidR="00B0622A" w:rsidRPr="00A17F18" w:rsidRDefault="00B0622A" w:rsidP="00B0622A">
                <w:pPr>
                  <w:rPr>
                    <w:sz w:val="11"/>
                    <w:szCs w:val="11"/>
                  </w:rPr>
                </w:pPr>
                <w:r w:rsidRPr="00A17F18">
                  <w:rPr>
                    <w:sz w:val="11"/>
                    <w:szCs w:val="11"/>
                  </w:rPr>
                  <w:t>Zoltán Áldott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>
                  <w:rPr>
                    <w:sz w:val="11"/>
                    <w:szCs w:val="11"/>
                  </w:rPr>
                  <w:t>Niko Dalić</w:t>
                </w:r>
                <w:r w:rsidRPr="00A17F18">
                  <w:rPr>
                    <w:sz w:val="11"/>
                    <w:szCs w:val="11"/>
                  </w:rPr>
                  <w:t xml:space="preserve">, </w:t>
                </w:r>
                <w:r w:rsidRPr="007C6D72">
                  <w:rPr>
                    <w:bCs/>
                    <w:sz w:val="11"/>
                    <w:szCs w:val="11"/>
                  </w:rPr>
                  <w:t>G</w:t>
                </w:r>
                <w:r w:rsidRPr="007C6D72"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 w:rsidRPr="007C6D72">
                  <w:rPr>
                    <w:bCs/>
                    <w:sz w:val="11"/>
                    <w:szCs w:val="11"/>
                  </w:rPr>
                  <w:t>bor Horv</w:t>
                </w:r>
                <w:r w:rsidRPr="007C6D72"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 w:rsidRPr="007C6D72">
                  <w:rPr>
                    <w:bCs/>
                    <w:sz w:val="11"/>
                    <w:szCs w:val="11"/>
                  </w:rPr>
                  <w:t>th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 w:rsidRPr="002F2C0F">
                  <w:rPr>
                    <w:sz w:val="11"/>
                    <w:szCs w:val="11"/>
                  </w:rPr>
                  <w:t>Ivan</w:t>
                </w:r>
                <w:r w:rsidRPr="002762CD">
                  <w:rPr>
                    <w:sz w:val="11"/>
                    <w:szCs w:val="11"/>
                  </w:rPr>
                  <w:t xml:space="preserve"> </w:t>
                </w:r>
                <w:r w:rsidRPr="002F2C0F">
                  <w:rPr>
                    <w:sz w:val="11"/>
                    <w:szCs w:val="11"/>
                  </w:rPr>
                  <w:t>Kre</w:t>
                </w:r>
                <w:r w:rsidRPr="002762CD">
                  <w:rPr>
                    <w:sz w:val="11"/>
                    <w:szCs w:val="11"/>
                  </w:rPr>
                  <w:t>š</w:t>
                </w:r>
                <w:r w:rsidRPr="002F2C0F">
                  <w:rPr>
                    <w:sz w:val="11"/>
                    <w:szCs w:val="11"/>
                  </w:rPr>
                  <w:t>i</w:t>
                </w:r>
                <w:r w:rsidRPr="002762CD">
                  <w:rPr>
                    <w:sz w:val="11"/>
                    <w:szCs w:val="11"/>
                  </w:rPr>
                  <w:t>ć,</w:t>
                </w:r>
                <w:r>
                  <w:rPr>
                    <w:sz w:val="11"/>
                    <w:szCs w:val="11"/>
                  </w:rPr>
                  <w:t xml:space="preserve"> </w:t>
                </w:r>
                <w:r w:rsidRPr="00A17F18">
                  <w:rPr>
                    <w:sz w:val="11"/>
                    <w:szCs w:val="11"/>
                  </w:rPr>
                  <w:t>D</w:t>
                </w:r>
                <w:r>
                  <w:rPr>
                    <w:sz w:val="11"/>
                    <w:szCs w:val="11"/>
                  </w:rPr>
                  <w:t>avor</w:t>
                </w:r>
                <w:r w:rsidRPr="00A17F18">
                  <w:rPr>
                    <w:sz w:val="11"/>
                    <w:szCs w:val="11"/>
                  </w:rPr>
                  <w:t xml:space="preserve"> </w:t>
                </w:r>
                <w:proofErr w:type="spellStart"/>
                <w:r>
                  <w:rPr>
                    <w:sz w:val="11"/>
                    <w:szCs w:val="11"/>
                  </w:rPr>
                  <w:t>Mayer</w:t>
                </w:r>
                <w:proofErr w:type="spellEnd"/>
                <w:r>
                  <w:rPr>
                    <w:sz w:val="11"/>
                    <w:szCs w:val="11"/>
                  </w:rPr>
                  <w:t>, P</w:t>
                </w:r>
                <w:r>
                  <w:rPr>
                    <w:rFonts w:cs="Arial"/>
                    <w:sz w:val="11"/>
                    <w:szCs w:val="11"/>
                  </w:rPr>
                  <w:t>é</w:t>
                </w:r>
                <w:r>
                  <w:rPr>
                    <w:sz w:val="11"/>
                    <w:szCs w:val="11"/>
                  </w:rPr>
                  <w:t>ter Ratatics</w:t>
                </w:r>
              </w:p>
              <w:p w14:paraId="25FB3E48" w14:textId="77777777" w:rsidR="00B0622A" w:rsidRPr="009E4E6F" w:rsidRDefault="00B0622A" w:rsidP="00B0622A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4"/>
                    <w:szCs w:val="4"/>
                  </w:rPr>
                </w:pPr>
              </w:p>
              <w:p w14:paraId="32910ECC" w14:textId="77777777" w:rsidR="00B0622A" w:rsidRPr="00CD53EE" w:rsidRDefault="00B0622A" w:rsidP="00B0622A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11"/>
                    <w:szCs w:val="11"/>
                  </w:rPr>
                </w:pPr>
                <w:r w:rsidRPr="00A17F18">
                  <w:rPr>
                    <w:rFonts w:cs="Arial"/>
                    <w:sz w:val="11"/>
                    <w:szCs w:val="11"/>
                  </w:rPr>
                  <w:t xml:space="preserve">Predsjednik Nadzornog odbora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</w:t>
                </w:r>
                <w:r w:rsidRPr="00CD53EE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 xml:space="preserve"> of the Supervisory Board</w:t>
                </w:r>
                <w:r>
                  <w:rPr>
                    <w:rFonts w:cs="Arial"/>
                    <w:sz w:val="11"/>
                    <w:szCs w:val="11"/>
                  </w:rPr>
                  <w:t>:</w:t>
                </w:r>
                <w:r w:rsidRPr="00CD53EE">
                  <w:rPr>
                    <w:rFonts w:cs="Arial"/>
                    <w:sz w:val="11"/>
                    <w:szCs w:val="11"/>
                  </w:rPr>
                  <w:t xml:space="preserve"> </w:t>
                </w:r>
                <w:r>
                  <w:rPr>
                    <w:rFonts w:cs="Arial"/>
                    <w:sz w:val="11"/>
                    <w:szCs w:val="11"/>
                  </w:rPr>
                  <w:t>Siniša Petrović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bottom w:val="nil"/>
                  <w:right w:val="nil"/>
                </w:tcBorders>
              </w:tcPr>
              <w:p w14:paraId="01F17C42" w14:textId="77777777" w:rsidR="00B0622A" w:rsidRPr="00CD53EE" w:rsidRDefault="00B0622A" w:rsidP="00B0622A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</w:tbl>
        <w:p w14:paraId="1FC98BFB" w14:textId="77777777" w:rsidR="00B0622A" w:rsidRPr="00CD53EE" w:rsidRDefault="00B0622A" w:rsidP="00B0622A">
          <w:pPr>
            <w:pStyle w:val="Footer"/>
            <w:rPr>
              <w:sz w:val="11"/>
              <w:szCs w:val="11"/>
            </w:rPr>
          </w:pPr>
        </w:p>
      </w:tc>
    </w:tr>
    <w:tr w:rsidR="00B0622A" w:rsidRPr="00CD53EE" w14:paraId="4B9ED683" w14:textId="77777777" w:rsidTr="002D2A8F">
      <w:trPr>
        <w:cantSplit/>
        <w:trHeight w:val="710"/>
      </w:trPr>
      <w:tc>
        <w:tcPr>
          <w:tcW w:w="9680" w:type="dxa"/>
          <w:vMerge/>
          <w:tcBorders>
            <w:left w:val="nil"/>
            <w:bottom w:val="nil"/>
            <w:right w:val="nil"/>
          </w:tcBorders>
        </w:tcPr>
        <w:p w14:paraId="6D5AB356" w14:textId="77777777" w:rsidR="00B0622A" w:rsidRPr="00CD53EE" w:rsidRDefault="00B0622A" w:rsidP="00B0622A">
          <w:pPr>
            <w:pStyle w:val="Footer"/>
            <w:rPr>
              <w:rFonts w:cs="Arial"/>
              <w:b/>
              <w:bCs/>
              <w:sz w:val="11"/>
              <w:szCs w:val="11"/>
            </w:rPr>
          </w:pPr>
        </w:p>
      </w:tc>
    </w:tr>
  </w:tbl>
  <w:p w14:paraId="27984B90" w14:textId="77777777" w:rsidR="00B0622A" w:rsidRDefault="00B0622A" w:rsidP="00B0622A">
    <w:pPr>
      <w:rPr>
        <w:sz w:val="2"/>
        <w:szCs w:val="2"/>
      </w:rPr>
    </w:pPr>
  </w:p>
  <w:tbl>
    <w:tblPr>
      <w:tblW w:w="9464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2092"/>
      <w:gridCol w:w="4787"/>
      <w:gridCol w:w="317"/>
      <w:gridCol w:w="1202"/>
      <w:gridCol w:w="1066"/>
    </w:tblGrid>
    <w:tr w:rsidR="00B0622A" w:rsidRPr="00374688" w14:paraId="36E52733" w14:textId="77777777" w:rsidTr="002D2A8F">
      <w:trPr>
        <w:trHeight w:val="133"/>
        <w:hidden/>
      </w:trPr>
      <w:tc>
        <w:tcPr>
          <w:tcW w:w="2092" w:type="dxa"/>
          <w:tcBorders>
            <w:bottom w:val="nil"/>
          </w:tcBorders>
          <w:shd w:val="clear" w:color="auto" w:fill="auto"/>
          <w:tcMar>
            <w:right w:w="11" w:type="dxa"/>
          </w:tcMar>
        </w:tcPr>
        <w:p w14:paraId="1897A357" w14:textId="77777777" w:rsidR="00B0622A" w:rsidRPr="00374688" w:rsidRDefault="00B0622A" w:rsidP="00B0622A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POSLOVNA TAJNA - </w:t>
          </w:r>
          <w:r w:rsidRPr="00374688">
            <w:rPr>
              <w:rFonts w:cs="Arial"/>
              <w:i/>
              <w:vanish/>
              <w:sz w:val="11"/>
              <w:szCs w:val="11"/>
            </w:rPr>
            <w:t>Business secret</w:t>
          </w:r>
        </w:p>
      </w:tc>
      <w:tc>
        <w:tcPr>
          <w:tcW w:w="4787" w:type="dxa"/>
          <w:tcBorders>
            <w:bottom w:val="nil"/>
          </w:tcBorders>
          <w:shd w:val="clear" w:color="auto" w:fill="auto"/>
          <w:tcMar>
            <w:left w:w="11" w:type="dxa"/>
            <w:right w:w="11" w:type="dxa"/>
          </w:tcMar>
        </w:tcPr>
        <w:p w14:paraId="0C61F3C9" w14:textId="77777777" w:rsidR="00B0622A" w:rsidRPr="00374688" w:rsidRDefault="00B0622A" w:rsidP="00B0622A">
          <w:pPr>
            <w:spacing w:before="20"/>
            <w:rPr>
              <w:rFonts w:cs="Arial"/>
              <w:vanish/>
              <w:sz w:val="11"/>
              <w:szCs w:val="11"/>
            </w:rPr>
          </w:pPr>
        </w:p>
      </w:tc>
      <w:tc>
        <w:tcPr>
          <w:tcW w:w="1519" w:type="dxa"/>
          <w:gridSpan w:val="2"/>
          <w:tcBorders>
            <w:bottom w:val="nil"/>
          </w:tcBorders>
          <w:shd w:val="clear" w:color="auto" w:fill="auto"/>
          <w:tcMar>
            <w:left w:w="11" w:type="dxa"/>
            <w:right w:w="17" w:type="dxa"/>
          </w:tcMar>
          <w:vAlign w:val="center"/>
        </w:tcPr>
        <w:p w14:paraId="24D21BD2" w14:textId="77777777" w:rsidR="00B0622A" w:rsidRPr="00374688" w:rsidRDefault="00B0622A" w:rsidP="00B0622A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kopija br. - </w:t>
          </w:r>
          <w:r w:rsidRPr="00374688">
            <w:rPr>
              <w:rFonts w:cs="Arial"/>
              <w:i/>
              <w:vanish/>
              <w:sz w:val="11"/>
              <w:szCs w:val="11"/>
            </w:rPr>
            <w:t>copy no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  <w:tc>
        <w:tcPr>
          <w:tcW w:w="1066" w:type="dxa"/>
          <w:tcBorders>
            <w:bottom w:val="nil"/>
          </w:tcBorders>
          <w:shd w:val="clear" w:color="auto" w:fill="auto"/>
          <w:tcMar>
            <w:left w:w="11" w:type="dxa"/>
            <w:right w:w="11" w:type="dxa"/>
          </w:tcMar>
          <w:vAlign w:val="center"/>
        </w:tcPr>
        <w:p w14:paraId="2B820ACD" w14:textId="77777777" w:rsidR="00B0622A" w:rsidRPr="00374688" w:rsidRDefault="00B0622A" w:rsidP="00B0622A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B535BB">
            <w:rPr>
              <w:rFonts w:cs="Arial"/>
              <w:noProof/>
              <w:vanish/>
              <w:sz w:val="11"/>
              <w:szCs w:val="11"/>
            </w:rPr>
            <w:t>9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NUMPAGES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B535BB">
            <w:rPr>
              <w:rFonts w:cs="Arial"/>
              <w:noProof/>
              <w:vanish/>
              <w:sz w:val="11"/>
              <w:szCs w:val="11"/>
            </w:rPr>
            <w:t>9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  <w:tr w:rsidR="00B0622A" w:rsidRPr="00374688" w14:paraId="164AEDAE" w14:textId="77777777" w:rsidTr="002D2A8F">
      <w:trPr>
        <w:trHeight w:val="133"/>
        <w:hidden/>
      </w:trPr>
      <w:tc>
        <w:tcPr>
          <w:tcW w:w="7196" w:type="dxa"/>
          <w:gridSpan w:val="3"/>
          <w:tcBorders>
            <w:top w:val="nil"/>
          </w:tcBorders>
          <w:shd w:val="clear" w:color="auto" w:fill="auto"/>
          <w:tcMar>
            <w:right w:w="11" w:type="dxa"/>
          </w:tcMar>
        </w:tcPr>
        <w:p w14:paraId="101DA95F" w14:textId="77777777" w:rsidR="00B0622A" w:rsidRPr="00374688" w:rsidRDefault="00B0622A" w:rsidP="00B0622A">
          <w:pPr>
            <w:spacing w:before="20"/>
            <w:rPr>
              <w:rFonts w:cs="Arial"/>
              <w:vanish/>
              <w:sz w:val="10"/>
              <w:szCs w:val="10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>Ovaj dokument se ne smije dati na uvid ili upotrebu osobama izvan INA Grupe bez posebnog odobrenja</w:t>
          </w:r>
        </w:p>
      </w:tc>
      <w:tc>
        <w:tcPr>
          <w:tcW w:w="2268" w:type="dxa"/>
          <w:gridSpan w:val="2"/>
          <w:tcBorders>
            <w:top w:val="nil"/>
          </w:tcBorders>
          <w:shd w:val="clear" w:color="auto" w:fill="auto"/>
          <w:tcMar>
            <w:left w:w="11" w:type="dxa"/>
            <w:right w:w="11" w:type="dxa"/>
          </w:tcMar>
          <w:vAlign w:val="center"/>
        </w:tcPr>
        <w:p w14:paraId="5CF74CD2" w14:textId="77777777" w:rsidR="00B0622A" w:rsidRPr="00374688" w:rsidRDefault="00B0622A" w:rsidP="00B0622A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</w:p>
      </w:tc>
    </w:tr>
    <w:tr w:rsidR="00B0622A" w:rsidRPr="00374688" w14:paraId="0D16C908" w14:textId="77777777" w:rsidTr="002D2A8F">
      <w:trPr>
        <w:trHeight w:val="133"/>
        <w:hidden/>
      </w:trPr>
      <w:tc>
        <w:tcPr>
          <w:tcW w:w="7196" w:type="dxa"/>
          <w:gridSpan w:val="3"/>
          <w:shd w:val="clear" w:color="auto" w:fill="auto"/>
          <w:tcMar>
            <w:right w:w="11" w:type="dxa"/>
          </w:tcMar>
          <w:vAlign w:val="center"/>
        </w:tcPr>
        <w:p w14:paraId="538CFA6F" w14:textId="77777777" w:rsidR="00B0622A" w:rsidRPr="00374688" w:rsidRDefault="00B0622A" w:rsidP="00B0622A">
          <w:pPr>
            <w:spacing w:before="20"/>
            <w:rPr>
              <w:rFonts w:cs="Arial"/>
              <w:i/>
              <w:vanish/>
              <w:sz w:val="11"/>
              <w:szCs w:val="11"/>
            </w:rPr>
          </w:pPr>
          <w:r w:rsidRPr="00374688">
            <w:rPr>
              <w:rFonts w:cs="Arial"/>
              <w:i/>
              <w:vanish/>
              <w:color w:val="000000"/>
              <w:sz w:val="11"/>
              <w:szCs w:val="11"/>
              <w:lang w:eastAsia="hr-HR"/>
            </w:rPr>
            <w:t xml:space="preserve">This document should not be disclosed to or used by persons outside the INA Group without special approval </w:t>
          </w:r>
        </w:p>
      </w:tc>
      <w:tc>
        <w:tcPr>
          <w:tcW w:w="2268" w:type="dxa"/>
          <w:gridSpan w:val="2"/>
          <w:shd w:val="clear" w:color="auto" w:fill="auto"/>
          <w:tcMar>
            <w:left w:w="11" w:type="dxa"/>
            <w:right w:w="11" w:type="dxa"/>
          </w:tcMar>
          <w:vAlign w:val="center"/>
        </w:tcPr>
        <w:p w14:paraId="62706670" w14:textId="77777777" w:rsidR="00B0622A" w:rsidRPr="00374688" w:rsidRDefault="00B0622A" w:rsidP="00B0622A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B535BB">
            <w:rPr>
              <w:rFonts w:cs="Arial"/>
              <w:noProof/>
              <w:vanish/>
              <w:sz w:val="11"/>
              <w:szCs w:val="11"/>
            </w:rPr>
            <w:t>9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NUMPAGES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B535BB">
            <w:rPr>
              <w:rFonts w:cs="Arial"/>
              <w:noProof/>
              <w:vanish/>
              <w:sz w:val="11"/>
              <w:szCs w:val="11"/>
            </w:rPr>
            <w:t>9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</w:tbl>
  <w:p w14:paraId="3E2AF26D" w14:textId="77777777" w:rsidR="00E11167" w:rsidRPr="005B4643" w:rsidRDefault="00E11167">
    <w:pPr>
      <w:pStyle w:val="Footer"/>
      <w:jc w:val="right"/>
      <w:rPr>
        <w:rFonts w:ascii="Arial" w:hAnsi="Arial" w:cs="Arial"/>
        <w:sz w:val="20"/>
      </w:rPr>
    </w:pPr>
    <w:r w:rsidRPr="005B4643">
      <w:rPr>
        <w:rFonts w:ascii="Arial" w:hAnsi="Arial" w:cs="Arial"/>
        <w:sz w:val="20"/>
      </w:rPr>
      <w:fldChar w:fldCharType="begin"/>
    </w:r>
    <w:r w:rsidRPr="005B4643">
      <w:rPr>
        <w:rFonts w:ascii="Arial" w:hAnsi="Arial" w:cs="Arial"/>
        <w:sz w:val="20"/>
      </w:rPr>
      <w:instrText xml:space="preserve"> PAGE   \* MERGEFORMAT </w:instrText>
    </w:r>
    <w:r w:rsidRPr="005B4643">
      <w:rPr>
        <w:rFonts w:ascii="Arial" w:hAnsi="Arial" w:cs="Arial"/>
        <w:sz w:val="20"/>
      </w:rPr>
      <w:fldChar w:fldCharType="separate"/>
    </w:r>
    <w:r w:rsidR="00B535BB">
      <w:rPr>
        <w:rFonts w:ascii="Arial" w:hAnsi="Arial" w:cs="Arial"/>
        <w:noProof/>
        <w:sz w:val="20"/>
      </w:rPr>
      <w:t>9</w:t>
    </w:r>
    <w:r w:rsidRPr="005B4643">
      <w:rPr>
        <w:rFonts w:ascii="Arial" w:hAnsi="Arial" w:cs="Arial"/>
        <w:noProof/>
        <w:sz w:val="20"/>
      </w:rPr>
      <w:fldChar w:fldCharType="end"/>
    </w:r>
  </w:p>
  <w:p w14:paraId="5B47988A" w14:textId="77777777" w:rsidR="00E11167" w:rsidRDefault="00E1116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3F2BAB" w14:textId="77777777" w:rsidR="00F213C3" w:rsidRDefault="00F213C3" w:rsidP="00E11167">
      <w:r>
        <w:separator/>
      </w:r>
    </w:p>
  </w:footnote>
  <w:footnote w:type="continuationSeparator" w:id="0">
    <w:p w14:paraId="1FA3D710" w14:textId="77777777" w:rsidR="00F213C3" w:rsidRDefault="00F213C3" w:rsidP="00E11167">
      <w:r>
        <w:continuationSeparator/>
      </w:r>
    </w:p>
  </w:footnote>
  <w:footnote w:id="1">
    <w:p w14:paraId="206D971E" w14:textId="1E16A6E0" w:rsidR="00EF54B0" w:rsidRPr="00EF54B0" w:rsidRDefault="00EF54B0" w:rsidP="00EF54B0">
      <w:pPr>
        <w:pStyle w:val="FootnoteText"/>
      </w:pPr>
      <w:r w:rsidRPr="00EF54B0">
        <w:rPr>
          <w:rStyle w:val="FootnoteReference"/>
        </w:rPr>
        <w:footnoteRef/>
      </w:r>
      <w:r w:rsidRPr="00EF54B0">
        <w:t xml:space="preserve"> </w:t>
      </w:r>
      <w:r w:rsidRPr="00EF54B0">
        <w:rPr>
          <w:rFonts w:asciiTheme="minorHAnsi" w:hAnsiTheme="minorHAnsi"/>
          <w:sz w:val="16"/>
          <w:szCs w:val="16"/>
        </w:rPr>
        <w:t>CCS (</w:t>
      </w:r>
      <w:proofErr w:type="spellStart"/>
      <w:r w:rsidRPr="00EF54B0">
        <w:rPr>
          <w:rFonts w:asciiTheme="minorHAnsi" w:hAnsiTheme="minorHAnsi"/>
          <w:sz w:val="16"/>
          <w:szCs w:val="16"/>
        </w:rPr>
        <w:t>current</w:t>
      </w:r>
      <w:proofErr w:type="spellEnd"/>
      <w:r w:rsidRPr="00EF54B0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EF54B0">
        <w:rPr>
          <w:rFonts w:asciiTheme="minorHAnsi" w:hAnsiTheme="minorHAnsi"/>
          <w:sz w:val="16"/>
          <w:szCs w:val="16"/>
        </w:rPr>
        <w:t>cost</w:t>
      </w:r>
      <w:proofErr w:type="spellEnd"/>
      <w:r w:rsidRPr="00EF54B0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EF54B0">
        <w:rPr>
          <w:rFonts w:asciiTheme="minorHAnsi" w:hAnsiTheme="minorHAnsi"/>
          <w:sz w:val="16"/>
          <w:szCs w:val="16"/>
        </w:rPr>
        <w:t>of</w:t>
      </w:r>
      <w:proofErr w:type="spellEnd"/>
      <w:r w:rsidRPr="00EF54B0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EF54B0">
        <w:rPr>
          <w:rFonts w:asciiTheme="minorHAnsi" w:hAnsiTheme="minorHAnsi"/>
          <w:sz w:val="16"/>
          <w:szCs w:val="16"/>
        </w:rPr>
        <w:t>supplies</w:t>
      </w:r>
      <w:proofErr w:type="spellEnd"/>
      <w:r w:rsidRPr="00EF54B0">
        <w:rPr>
          <w:rFonts w:asciiTheme="minorHAnsi" w:hAnsiTheme="minorHAnsi"/>
          <w:sz w:val="16"/>
          <w:szCs w:val="16"/>
        </w:rPr>
        <w:t>) je rezultat prilagođen za promjene u cijeni ulaznih sirovina na način da se ti troškovi obračunavaju po jedinstvenoj cijeni na kraju izvještajnog razdoblja (bez obzira na promjene cijene tijekom razdoblja).</w:t>
      </w:r>
    </w:p>
  </w:footnote>
  <w:footnote w:id="2">
    <w:p w14:paraId="274B1D30" w14:textId="3517B612" w:rsidR="00EF54B0" w:rsidRDefault="00EF54B0" w:rsidP="00EF54B0">
      <w:pPr>
        <w:pStyle w:val="FootnoteText"/>
      </w:pPr>
      <w:r w:rsidRPr="00EF54B0">
        <w:rPr>
          <w:rStyle w:val="FootnoteReference"/>
        </w:rPr>
        <w:footnoteRef/>
      </w:r>
      <w:r w:rsidRPr="00EF54B0">
        <w:t xml:space="preserve"> </w:t>
      </w:r>
      <w:r w:rsidRPr="00EF54B0">
        <w:rPr>
          <w:rFonts w:asciiTheme="minorHAnsi" w:hAnsiTheme="minorHAnsi"/>
          <w:sz w:val="16"/>
          <w:szCs w:val="16"/>
        </w:rPr>
        <w:t>EBITDA = EBIT + amortizacija + vrijednosno usklađenje + rezerviranja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00BC57" w14:textId="77777777" w:rsidR="00E11167" w:rsidRDefault="00E11167">
    <w:pPr>
      <w:pStyle w:val="Header"/>
    </w:pPr>
    <w:r>
      <w:rPr>
        <w:noProof/>
        <w:lang w:eastAsia="hr-HR"/>
      </w:rPr>
      <w:drawing>
        <wp:inline distT="0" distB="0" distL="0" distR="0" wp14:anchorId="24DA3938" wp14:editId="62D1DE0D">
          <wp:extent cx="1213485" cy="451485"/>
          <wp:effectExtent l="0" t="0" r="5715" b="5715"/>
          <wp:docPr id="8" name="Picture 8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485" cy="451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4625B4" w14:textId="77777777" w:rsidR="00E11167" w:rsidRDefault="00E1116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61FC64" w14:textId="77777777" w:rsidR="002620FE" w:rsidRDefault="00860C04">
    <w:pPr>
      <w:pStyle w:val="Header"/>
    </w:pPr>
    <w:r>
      <w:rPr>
        <w:noProof/>
        <w:lang w:eastAsia="hr-HR"/>
      </w:rPr>
      <w:drawing>
        <wp:anchor distT="0" distB="0" distL="114300" distR="114300" simplePos="0" relativeHeight="251659264" behindDoc="0" locked="0" layoutInCell="1" allowOverlap="1" wp14:anchorId="28408838" wp14:editId="4EB68A9C">
          <wp:simplePos x="0" y="0"/>
          <wp:positionH relativeFrom="column">
            <wp:posOffset>153035</wp:posOffset>
          </wp:positionH>
          <wp:positionV relativeFrom="paragraph">
            <wp:posOffset>243205</wp:posOffset>
          </wp:positionV>
          <wp:extent cx="1213485" cy="451485"/>
          <wp:effectExtent l="0" t="0" r="5715" b="5715"/>
          <wp:wrapNone/>
          <wp:docPr id="7" name="Picture 7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485" cy="451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112A57"/>
    <w:multiLevelType w:val="hybridMultilevel"/>
    <w:tmpl w:val="EFECC79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BF36D7"/>
    <w:multiLevelType w:val="hybridMultilevel"/>
    <w:tmpl w:val="27FC5C44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555CB8"/>
    <w:multiLevelType w:val="hybridMultilevel"/>
    <w:tmpl w:val="8D5A1A4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656952"/>
    <w:multiLevelType w:val="hybridMultilevel"/>
    <w:tmpl w:val="65E47C4E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85A"/>
    <w:rsid w:val="000051E2"/>
    <w:rsid w:val="000145A6"/>
    <w:rsid w:val="00015C4D"/>
    <w:rsid w:val="000172B6"/>
    <w:rsid w:val="00022EA9"/>
    <w:rsid w:val="00027746"/>
    <w:rsid w:val="00034329"/>
    <w:rsid w:val="00040ABD"/>
    <w:rsid w:val="00044D71"/>
    <w:rsid w:val="000524F4"/>
    <w:rsid w:val="00065CB3"/>
    <w:rsid w:val="0008261A"/>
    <w:rsid w:val="000977E3"/>
    <w:rsid w:val="000A0BFF"/>
    <w:rsid w:val="000B085A"/>
    <w:rsid w:val="000B327E"/>
    <w:rsid w:val="000D4C52"/>
    <w:rsid w:val="000D5FAE"/>
    <w:rsid w:val="000D66DF"/>
    <w:rsid w:val="000E358E"/>
    <w:rsid w:val="000E49A0"/>
    <w:rsid w:val="000F07A3"/>
    <w:rsid w:val="00100EF1"/>
    <w:rsid w:val="0012477B"/>
    <w:rsid w:val="00132BFA"/>
    <w:rsid w:val="00134C2B"/>
    <w:rsid w:val="00147672"/>
    <w:rsid w:val="001637B1"/>
    <w:rsid w:val="0017036C"/>
    <w:rsid w:val="00173473"/>
    <w:rsid w:val="0018483C"/>
    <w:rsid w:val="001864ED"/>
    <w:rsid w:val="00191574"/>
    <w:rsid w:val="001A236B"/>
    <w:rsid w:val="001A25FD"/>
    <w:rsid w:val="001A34F1"/>
    <w:rsid w:val="001A3A4C"/>
    <w:rsid w:val="001A64CD"/>
    <w:rsid w:val="001B504C"/>
    <w:rsid w:val="001E7160"/>
    <w:rsid w:val="001F71F2"/>
    <w:rsid w:val="0020107F"/>
    <w:rsid w:val="00201F3E"/>
    <w:rsid w:val="00213062"/>
    <w:rsid w:val="00213B87"/>
    <w:rsid w:val="0022082F"/>
    <w:rsid w:val="0022311E"/>
    <w:rsid w:val="00223D53"/>
    <w:rsid w:val="00233A10"/>
    <w:rsid w:val="00234635"/>
    <w:rsid w:val="00236461"/>
    <w:rsid w:val="002379B9"/>
    <w:rsid w:val="00242ED9"/>
    <w:rsid w:val="00256E5C"/>
    <w:rsid w:val="00291889"/>
    <w:rsid w:val="002A01EB"/>
    <w:rsid w:val="002A3AA7"/>
    <w:rsid w:val="002B5522"/>
    <w:rsid w:val="002C08BB"/>
    <w:rsid w:val="002D3FE8"/>
    <w:rsid w:val="003064F6"/>
    <w:rsid w:val="00312674"/>
    <w:rsid w:val="003203D0"/>
    <w:rsid w:val="0032776B"/>
    <w:rsid w:val="00337898"/>
    <w:rsid w:val="0034119D"/>
    <w:rsid w:val="00343CB6"/>
    <w:rsid w:val="00345092"/>
    <w:rsid w:val="00346716"/>
    <w:rsid w:val="00377E51"/>
    <w:rsid w:val="003A4B6F"/>
    <w:rsid w:val="003B023F"/>
    <w:rsid w:val="003B2425"/>
    <w:rsid w:val="003B6230"/>
    <w:rsid w:val="003C144F"/>
    <w:rsid w:val="00403560"/>
    <w:rsid w:val="00420474"/>
    <w:rsid w:val="00422B24"/>
    <w:rsid w:val="00424221"/>
    <w:rsid w:val="00437FE2"/>
    <w:rsid w:val="00440FBB"/>
    <w:rsid w:val="00445122"/>
    <w:rsid w:val="00454D5E"/>
    <w:rsid w:val="0045635F"/>
    <w:rsid w:val="004639A8"/>
    <w:rsid w:val="00470234"/>
    <w:rsid w:val="00476777"/>
    <w:rsid w:val="004A2423"/>
    <w:rsid w:val="004A36FF"/>
    <w:rsid w:val="004B0AFD"/>
    <w:rsid w:val="004B22DE"/>
    <w:rsid w:val="004B6427"/>
    <w:rsid w:val="004C05F6"/>
    <w:rsid w:val="004C19C0"/>
    <w:rsid w:val="004C37BC"/>
    <w:rsid w:val="004C5849"/>
    <w:rsid w:val="004D0E71"/>
    <w:rsid w:val="004D2C5E"/>
    <w:rsid w:val="004D7DA5"/>
    <w:rsid w:val="004E29DD"/>
    <w:rsid w:val="004F75E9"/>
    <w:rsid w:val="004F779A"/>
    <w:rsid w:val="00505582"/>
    <w:rsid w:val="0052098B"/>
    <w:rsid w:val="00533201"/>
    <w:rsid w:val="0054365E"/>
    <w:rsid w:val="0055288C"/>
    <w:rsid w:val="00564017"/>
    <w:rsid w:val="005A2CFF"/>
    <w:rsid w:val="005C38B7"/>
    <w:rsid w:val="005D0188"/>
    <w:rsid w:val="005E706A"/>
    <w:rsid w:val="0060641A"/>
    <w:rsid w:val="00613575"/>
    <w:rsid w:val="00625798"/>
    <w:rsid w:val="00635A02"/>
    <w:rsid w:val="00641E5E"/>
    <w:rsid w:val="00652641"/>
    <w:rsid w:val="0065437F"/>
    <w:rsid w:val="00656555"/>
    <w:rsid w:val="00657587"/>
    <w:rsid w:val="00662295"/>
    <w:rsid w:val="00665AD9"/>
    <w:rsid w:val="00667230"/>
    <w:rsid w:val="00674B1D"/>
    <w:rsid w:val="00674DAB"/>
    <w:rsid w:val="00682C6F"/>
    <w:rsid w:val="006839F7"/>
    <w:rsid w:val="006B1B5A"/>
    <w:rsid w:val="006B3FDB"/>
    <w:rsid w:val="006B4AEC"/>
    <w:rsid w:val="006B7FBE"/>
    <w:rsid w:val="006C5480"/>
    <w:rsid w:val="006C666E"/>
    <w:rsid w:val="006D22B0"/>
    <w:rsid w:val="006D2E0C"/>
    <w:rsid w:val="006D52A1"/>
    <w:rsid w:val="006E2701"/>
    <w:rsid w:val="006F110E"/>
    <w:rsid w:val="006F2D96"/>
    <w:rsid w:val="00740D64"/>
    <w:rsid w:val="00741D32"/>
    <w:rsid w:val="0074484D"/>
    <w:rsid w:val="00746587"/>
    <w:rsid w:val="00760095"/>
    <w:rsid w:val="00766726"/>
    <w:rsid w:val="00776446"/>
    <w:rsid w:val="007B14BE"/>
    <w:rsid w:val="007B1D62"/>
    <w:rsid w:val="007C3367"/>
    <w:rsid w:val="007D2B00"/>
    <w:rsid w:val="007D6F34"/>
    <w:rsid w:val="007F5C60"/>
    <w:rsid w:val="007F7E5C"/>
    <w:rsid w:val="0080311E"/>
    <w:rsid w:val="00804CDB"/>
    <w:rsid w:val="008055F8"/>
    <w:rsid w:val="00811B68"/>
    <w:rsid w:val="0081512A"/>
    <w:rsid w:val="00817950"/>
    <w:rsid w:val="008347B6"/>
    <w:rsid w:val="008407F2"/>
    <w:rsid w:val="00844B80"/>
    <w:rsid w:val="008525D8"/>
    <w:rsid w:val="00852ADB"/>
    <w:rsid w:val="00857D23"/>
    <w:rsid w:val="008608AF"/>
    <w:rsid w:val="00860C04"/>
    <w:rsid w:val="0086427B"/>
    <w:rsid w:val="0086576E"/>
    <w:rsid w:val="0088215A"/>
    <w:rsid w:val="008869EC"/>
    <w:rsid w:val="0089733E"/>
    <w:rsid w:val="008A3E5B"/>
    <w:rsid w:val="008B5FD9"/>
    <w:rsid w:val="008C3B67"/>
    <w:rsid w:val="008E512B"/>
    <w:rsid w:val="008E51A9"/>
    <w:rsid w:val="008E6FAA"/>
    <w:rsid w:val="008F2170"/>
    <w:rsid w:val="00905F02"/>
    <w:rsid w:val="00922C22"/>
    <w:rsid w:val="009322ED"/>
    <w:rsid w:val="009423F3"/>
    <w:rsid w:val="009605EA"/>
    <w:rsid w:val="0096259C"/>
    <w:rsid w:val="00965E50"/>
    <w:rsid w:val="009762D1"/>
    <w:rsid w:val="00987F7A"/>
    <w:rsid w:val="009902B6"/>
    <w:rsid w:val="009C1542"/>
    <w:rsid w:val="009D307C"/>
    <w:rsid w:val="009D78B9"/>
    <w:rsid w:val="009E0B0E"/>
    <w:rsid w:val="009E1B40"/>
    <w:rsid w:val="009E4296"/>
    <w:rsid w:val="009F0513"/>
    <w:rsid w:val="009F3354"/>
    <w:rsid w:val="00A02E91"/>
    <w:rsid w:val="00A03FCD"/>
    <w:rsid w:val="00A044C5"/>
    <w:rsid w:val="00A25916"/>
    <w:rsid w:val="00A333D4"/>
    <w:rsid w:val="00A369BE"/>
    <w:rsid w:val="00A444F0"/>
    <w:rsid w:val="00A46E99"/>
    <w:rsid w:val="00A52CE0"/>
    <w:rsid w:val="00A819F4"/>
    <w:rsid w:val="00A91380"/>
    <w:rsid w:val="00AA110D"/>
    <w:rsid w:val="00AA198B"/>
    <w:rsid w:val="00AA1BC6"/>
    <w:rsid w:val="00AA6B9A"/>
    <w:rsid w:val="00AD0553"/>
    <w:rsid w:val="00AD19CE"/>
    <w:rsid w:val="00AE1DF2"/>
    <w:rsid w:val="00AF047B"/>
    <w:rsid w:val="00B0622A"/>
    <w:rsid w:val="00B10FBC"/>
    <w:rsid w:val="00B34D8A"/>
    <w:rsid w:val="00B45BCA"/>
    <w:rsid w:val="00B515FD"/>
    <w:rsid w:val="00B526AA"/>
    <w:rsid w:val="00B535BB"/>
    <w:rsid w:val="00B55CFA"/>
    <w:rsid w:val="00B6110C"/>
    <w:rsid w:val="00B64A28"/>
    <w:rsid w:val="00B64C55"/>
    <w:rsid w:val="00B72AA9"/>
    <w:rsid w:val="00B800D6"/>
    <w:rsid w:val="00B8143E"/>
    <w:rsid w:val="00B86C00"/>
    <w:rsid w:val="00B9291F"/>
    <w:rsid w:val="00B963BE"/>
    <w:rsid w:val="00BC17C1"/>
    <w:rsid w:val="00BC3116"/>
    <w:rsid w:val="00BC770F"/>
    <w:rsid w:val="00BD62FD"/>
    <w:rsid w:val="00BD6B46"/>
    <w:rsid w:val="00BF61DF"/>
    <w:rsid w:val="00C120CE"/>
    <w:rsid w:val="00C176E0"/>
    <w:rsid w:val="00C34536"/>
    <w:rsid w:val="00C44385"/>
    <w:rsid w:val="00C60F04"/>
    <w:rsid w:val="00C80A08"/>
    <w:rsid w:val="00C83B13"/>
    <w:rsid w:val="00C9084B"/>
    <w:rsid w:val="00C91307"/>
    <w:rsid w:val="00C96F23"/>
    <w:rsid w:val="00C97EFF"/>
    <w:rsid w:val="00CA2A27"/>
    <w:rsid w:val="00CC1889"/>
    <w:rsid w:val="00CF785A"/>
    <w:rsid w:val="00D0219A"/>
    <w:rsid w:val="00D07A08"/>
    <w:rsid w:val="00D1387C"/>
    <w:rsid w:val="00D146C3"/>
    <w:rsid w:val="00D23B4F"/>
    <w:rsid w:val="00D300A0"/>
    <w:rsid w:val="00D46074"/>
    <w:rsid w:val="00D526FE"/>
    <w:rsid w:val="00D53879"/>
    <w:rsid w:val="00D6588F"/>
    <w:rsid w:val="00D839F5"/>
    <w:rsid w:val="00D90601"/>
    <w:rsid w:val="00DA3120"/>
    <w:rsid w:val="00DA612F"/>
    <w:rsid w:val="00DB15A2"/>
    <w:rsid w:val="00DB7889"/>
    <w:rsid w:val="00E11167"/>
    <w:rsid w:val="00E2763D"/>
    <w:rsid w:val="00E3411F"/>
    <w:rsid w:val="00E34F0E"/>
    <w:rsid w:val="00E36988"/>
    <w:rsid w:val="00E411F8"/>
    <w:rsid w:val="00E43DE4"/>
    <w:rsid w:val="00E524BC"/>
    <w:rsid w:val="00E65F1B"/>
    <w:rsid w:val="00E67BE7"/>
    <w:rsid w:val="00E77F60"/>
    <w:rsid w:val="00E81039"/>
    <w:rsid w:val="00E8307E"/>
    <w:rsid w:val="00E871E4"/>
    <w:rsid w:val="00E96AA4"/>
    <w:rsid w:val="00EA40BB"/>
    <w:rsid w:val="00EA479D"/>
    <w:rsid w:val="00EE046A"/>
    <w:rsid w:val="00EE111E"/>
    <w:rsid w:val="00EE2482"/>
    <w:rsid w:val="00EE66EC"/>
    <w:rsid w:val="00EF1C2A"/>
    <w:rsid w:val="00EF54B0"/>
    <w:rsid w:val="00F01BFD"/>
    <w:rsid w:val="00F01D8C"/>
    <w:rsid w:val="00F021ED"/>
    <w:rsid w:val="00F17A6A"/>
    <w:rsid w:val="00F21047"/>
    <w:rsid w:val="00F213C3"/>
    <w:rsid w:val="00F219B2"/>
    <w:rsid w:val="00F22178"/>
    <w:rsid w:val="00F41B0B"/>
    <w:rsid w:val="00F56AB4"/>
    <w:rsid w:val="00F625A5"/>
    <w:rsid w:val="00F63C49"/>
    <w:rsid w:val="00F71197"/>
    <w:rsid w:val="00F80EA4"/>
    <w:rsid w:val="00F81F4A"/>
    <w:rsid w:val="00F8747E"/>
    <w:rsid w:val="00F93EDD"/>
    <w:rsid w:val="00FB5E97"/>
    <w:rsid w:val="00FB69CD"/>
    <w:rsid w:val="00FC0F17"/>
    <w:rsid w:val="00FC1049"/>
    <w:rsid w:val="00FC2D7E"/>
    <w:rsid w:val="00FC3C14"/>
    <w:rsid w:val="00FD3977"/>
    <w:rsid w:val="00FF2612"/>
    <w:rsid w:val="00FF5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  <w14:docId w14:val="0476B5D7"/>
  <w15:docId w15:val="{96704608-8388-4F7A-B5E5-D77907D21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1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1116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E1116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E111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1167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E11167"/>
    <w:rPr>
      <w:color w:val="0000FF"/>
      <w:u w:val="single"/>
    </w:rPr>
  </w:style>
  <w:style w:type="paragraph" w:styleId="FootnoteText">
    <w:name w:val="footnote text"/>
    <w:aliases w:val=" Char2"/>
    <w:basedOn w:val="Normal"/>
    <w:link w:val="FootnoteTextChar"/>
    <w:uiPriority w:val="99"/>
    <w:semiHidden/>
    <w:rsid w:val="00E11167"/>
    <w:rPr>
      <w:sz w:val="20"/>
      <w:szCs w:val="20"/>
    </w:rPr>
  </w:style>
  <w:style w:type="character" w:customStyle="1" w:styleId="FootnoteTextChar">
    <w:name w:val="Footnote Text Char"/>
    <w:aliases w:val=" Char2 Char"/>
    <w:basedOn w:val="DefaultParagraphFont"/>
    <w:link w:val="FootnoteText"/>
    <w:uiPriority w:val="99"/>
    <w:semiHidden/>
    <w:rsid w:val="00E11167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semiHidden/>
    <w:rsid w:val="00E11167"/>
    <w:rPr>
      <w:vertAlign w:val="superscript"/>
    </w:rPr>
  </w:style>
  <w:style w:type="paragraph" w:styleId="ListParagraph">
    <w:name w:val="List Paragraph"/>
    <w:basedOn w:val="Normal"/>
    <w:qFormat/>
    <w:rsid w:val="00E111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21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19A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E42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429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429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42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4296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A2CF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@ina.hr" TargetMode="External"/><Relationship Id="rId13" Type="http://schemas.openxmlformats.org/officeDocument/2006/relationships/chart" Target="charts/chart2.xml"/><Relationship Id="rId18" Type="http://schemas.openxmlformats.org/officeDocument/2006/relationships/chart" Target="charts/chart7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17" Type="http://schemas.openxmlformats.org/officeDocument/2006/relationships/chart" Target="charts/chart6.xml"/><Relationship Id="rId2" Type="http://schemas.openxmlformats.org/officeDocument/2006/relationships/numbering" Target="numbering.xml"/><Relationship Id="rId16" Type="http://schemas.openxmlformats.org/officeDocument/2006/relationships/chart" Target="charts/chart5.xm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hart" Target="charts/chart4.xml"/><Relationship Id="rId10" Type="http://schemas.openxmlformats.org/officeDocument/2006/relationships/header" Target="header1.xml"/><Relationship Id="rId19" Type="http://schemas.openxmlformats.org/officeDocument/2006/relationships/chart" Target="charts/chart8.xml"/><Relationship Id="rId4" Type="http://schemas.openxmlformats.org/officeDocument/2006/relationships/settings" Target="settings.xml"/><Relationship Id="rId9" Type="http://schemas.openxmlformats.org/officeDocument/2006/relationships/hyperlink" Target="http://www.ina.hr" TargetMode="External"/><Relationship Id="rId14" Type="http://schemas.openxmlformats.org/officeDocument/2006/relationships/chart" Target="charts/chart3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knezevi\AppData\Local\Microsoft\Windows\Temporary%20Internet%20Files\Content.Outlook\IMCHDM9S\Press_Q1-Q4_2015_pomo&#263;ni_grafovi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knezevi\AppData\Local\Microsoft\Windows\Temporary%20Internet%20Files\Content.Outlook\IMCHDM9S\Press_Q1-Q4_2015_pomo&#263;ni_grafovi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knezevi\AppData\Local\Microsoft\Windows\Temporary%20Internet%20Files\Content.Outlook\IMCHDM9S\Press_Q1-Q4_2015_pomo&#263;ni_grafovi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knezevi\AppData\Local\Microsoft\Windows\Temporary%20Internet%20Files\Content.Outlook\IMCHDM9S\Press_Q1-Q4_2015_pomo&#263;ni_grafovi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knezevi\AppData\Local\Microsoft\Windows\Temporary%20Internet%20Files\Content.Outlook\IMCHDM9S\Press_Q1-Q4_2015_pomo&#263;ni_grafovi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knezevi\AppData\Local\Microsoft\Windows\Temporary%20Internet%20Files\Content.Outlook\IMCHDM9S\Press_Q1-Q4_2015_pomo&#263;ni_grafovi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knezevi\AppData\Local\Microsoft\Windows\Temporary%20Internet%20Files\Content.Outlook\IMCHDM9S\Press_Q1-Q4_2015_pomo&#263;ni_grafovi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knezevi\AppData\Local\Microsoft\Windows\Temporary%20Internet%20Files\Content.Outlook\IMCHDM9S\Press_Q1-Q4_2015_pomo&#263;ni_grafovi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>
                <a:solidFill>
                  <a:schemeClr val="accent1"/>
                </a:solidFill>
              </a:defRPr>
            </a:pPr>
            <a:r>
              <a:rPr lang="hr-HR">
                <a:solidFill>
                  <a:schemeClr val="accent1"/>
                </a:solidFill>
              </a:rPr>
              <a:t>CCS Dobit iz osnovne djelatnosti</a:t>
            </a:r>
          </a:p>
          <a:p>
            <a:pPr>
              <a:defRPr>
                <a:solidFill>
                  <a:schemeClr val="accent1"/>
                </a:solidFill>
              </a:defRPr>
            </a:pPr>
            <a:r>
              <a:rPr lang="hr-HR" sz="1200" b="0">
                <a:solidFill>
                  <a:schemeClr val="accent1"/>
                </a:solidFill>
              </a:rPr>
              <a:t>bez jednokratnih stavki</a:t>
            </a:r>
          </a:p>
          <a:p>
            <a:pPr>
              <a:defRPr>
                <a:solidFill>
                  <a:schemeClr val="accent1"/>
                </a:solidFill>
              </a:defRPr>
            </a:pPr>
            <a:r>
              <a:rPr lang="hr-HR" sz="1200" b="0">
                <a:solidFill>
                  <a:schemeClr val="accent1"/>
                </a:solidFill>
              </a:rPr>
              <a:t>HRK mil</a:t>
            </a:r>
            <a:r>
              <a:rPr lang="hr-HR">
                <a:solidFill>
                  <a:schemeClr val="accent1"/>
                </a:solidFill>
              </a:rPr>
              <a:t> 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Hrv!$G$5</c:f>
              <c:strCache>
                <c:ptCount val="1"/>
                <c:pt idx="0">
                  <c:v>CCS Dobit iz osnovne djelatnosti 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50"/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Hrv!$H$4:$I$4</c:f>
              <c:numCache>
                <c:formatCode>General</c:formatCode>
                <c:ptCount val="2"/>
                <c:pt idx="0">
                  <c:v>2014</c:v>
                </c:pt>
                <c:pt idx="1">
                  <c:v>2015</c:v>
                </c:pt>
              </c:numCache>
            </c:numRef>
          </c:cat>
          <c:val>
            <c:numRef>
              <c:f>Hrv!$H$5:$I$5</c:f>
              <c:numCache>
                <c:formatCode>#,##0</c:formatCode>
                <c:ptCount val="2"/>
                <c:pt idx="0">
                  <c:v>1206</c:v>
                </c:pt>
                <c:pt idx="1">
                  <c:v>843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23707168"/>
        <c:axId val="223707560"/>
      </c:barChart>
      <c:catAx>
        <c:axId val="2237071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23707560"/>
        <c:crosses val="autoZero"/>
        <c:auto val="1"/>
        <c:lblAlgn val="ctr"/>
        <c:lblOffset val="100"/>
        <c:noMultiLvlLbl val="0"/>
      </c:catAx>
      <c:valAx>
        <c:axId val="223707560"/>
        <c:scaling>
          <c:orientation val="minMax"/>
          <c:min val="0"/>
        </c:scaling>
        <c:delete val="1"/>
        <c:axPos val="l"/>
        <c:numFmt formatCode="#,##0" sourceLinked="1"/>
        <c:majorTickMark val="out"/>
        <c:minorTickMark val="none"/>
        <c:tickLblPos val="nextTo"/>
        <c:crossAx val="223707168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hr-HR">
                <a:solidFill>
                  <a:schemeClr val="accent1"/>
                </a:solidFill>
              </a:rPr>
              <a:t>Kapitalna ulaganja</a:t>
            </a:r>
          </a:p>
          <a:p>
            <a:pPr>
              <a:defRPr/>
            </a:pPr>
            <a:r>
              <a:rPr lang="hr-HR" sz="1200" b="0">
                <a:solidFill>
                  <a:schemeClr val="accent1"/>
                </a:solidFill>
              </a:rPr>
              <a:t>2015.</a:t>
            </a:r>
          </a:p>
          <a:p>
            <a:pPr>
              <a:defRPr/>
            </a:pPr>
            <a:r>
              <a:rPr lang="hr-HR" sz="1200" b="0">
                <a:solidFill>
                  <a:schemeClr val="accent1"/>
                </a:solidFill>
              </a:rPr>
              <a:t>HRK mil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Hrv!$G$18</c:f>
              <c:strCache>
                <c:ptCount val="1"/>
                <c:pt idx="0">
                  <c:v>Kapitalna ulaganja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50"/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Hrv!$H$17:$I$17</c:f>
              <c:strCache>
                <c:ptCount val="2"/>
                <c:pt idx="0">
                  <c:v>Domaća </c:v>
                </c:pt>
                <c:pt idx="1">
                  <c:v>Međunarodna</c:v>
                </c:pt>
              </c:strCache>
            </c:strRef>
          </c:cat>
          <c:val>
            <c:numRef>
              <c:f>Hrv!$H$18:$I$18</c:f>
              <c:numCache>
                <c:formatCode>#,##0</c:formatCode>
                <c:ptCount val="2"/>
                <c:pt idx="0">
                  <c:v>1387</c:v>
                </c:pt>
                <c:pt idx="1">
                  <c:v>263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23708344"/>
        <c:axId val="227307200"/>
      </c:barChart>
      <c:catAx>
        <c:axId val="2237083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27307200"/>
        <c:crosses val="autoZero"/>
        <c:auto val="1"/>
        <c:lblAlgn val="ctr"/>
        <c:lblOffset val="100"/>
        <c:noMultiLvlLbl val="0"/>
      </c:catAx>
      <c:valAx>
        <c:axId val="227307200"/>
        <c:scaling>
          <c:orientation val="minMax"/>
          <c:min val="0"/>
        </c:scaling>
        <c:delete val="1"/>
        <c:axPos val="l"/>
        <c:numFmt formatCode="#,##0" sourceLinked="1"/>
        <c:majorTickMark val="out"/>
        <c:minorTickMark val="none"/>
        <c:tickLblPos val="nextTo"/>
        <c:crossAx val="223708344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>
                <a:solidFill>
                  <a:schemeClr val="accent1"/>
                </a:solidFill>
              </a:defRPr>
            </a:pPr>
            <a:r>
              <a:rPr lang="hr-HR">
                <a:solidFill>
                  <a:schemeClr val="accent1"/>
                </a:solidFill>
              </a:rPr>
              <a:t>CAPEX</a:t>
            </a:r>
            <a:r>
              <a:rPr lang="hr-HR" baseline="0">
                <a:solidFill>
                  <a:schemeClr val="accent1"/>
                </a:solidFill>
              </a:rPr>
              <a:t> Istraživanje i proizvodnja nafte i plina</a:t>
            </a:r>
            <a:endParaRPr lang="hr-HR">
              <a:solidFill>
                <a:schemeClr val="accent1"/>
              </a:solidFill>
            </a:endParaRPr>
          </a:p>
          <a:p>
            <a:pPr>
              <a:defRPr>
                <a:solidFill>
                  <a:schemeClr val="accent1"/>
                </a:solidFill>
              </a:defRPr>
            </a:pPr>
            <a:r>
              <a:rPr lang="hr-HR" sz="1200" b="0">
                <a:solidFill>
                  <a:schemeClr val="accent1"/>
                </a:solidFill>
              </a:rPr>
              <a:t>HRK mil</a:t>
            </a:r>
            <a:endParaRPr lang="en-US" sz="1200" b="0">
              <a:solidFill>
                <a:schemeClr val="accent1"/>
              </a:solidFill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Hrv!$G$34</c:f>
              <c:strCache>
                <c:ptCount val="1"/>
                <c:pt idx="0">
                  <c:v>kapitalna ulaganja Upstream 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50"/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Hrv!$H$33:$I$33</c:f>
              <c:numCache>
                <c:formatCode>General</c:formatCode>
                <c:ptCount val="2"/>
                <c:pt idx="0">
                  <c:v>2014</c:v>
                </c:pt>
                <c:pt idx="1">
                  <c:v>2015</c:v>
                </c:pt>
              </c:numCache>
            </c:numRef>
          </c:cat>
          <c:val>
            <c:numRef>
              <c:f>Hrv!$H$34:$I$34</c:f>
              <c:numCache>
                <c:formatCode>#,##0</c:formatCode>
                <c:ptCount val="2"/>
                <c:pt idx="0">
                  <c:v>1102</c:v>
                </c:pt>
                <c:pt idx="1">
                  <c:v>840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27307984"/>
        <c:axId val="227308376"/>
      </c:barChart>
      <c:catAx>
        <c:axId val="2273079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27308376"/>
        <c:crosses val="autoZero"/>
        <c:auto val="1"/>
        <c:lblAlgn val="ctr"/>
        <c:lblOffset val="100"/>
        <c:noMultiLvlLbl val="0"/>
      </c:catAx>
      <c:valAx>
        <c:axId val="227308376"/>
        <c:scaling>
          <c:orientation val="minMax"/>
        </c:scaling>
        <c:delete val="1"/>
        <c:axPos val="l"/>
        <c:numFmt formatCode="#,##0" sourceLinked="1"/>
        <c:majorTickMark val="out"/>
        <c:minorTickMark val="none"/>
        <c:tickLblPos val="nextTo"/>
        <c:crossAx val="227307984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>
                <a:solidFill>
                  <a:schemeClr val="accent1"/>
                </a:solidFill>
              </a:defRPr>
            </a:pPr>
            <a:r>
              <a:rPr lang="en-US">
                <a:solidFill>
                  <a:schemeClr val="accent1"/>
                </a:solidFill>
              </a:rPr>
              <a:t>Proizvodnja sirove nafte </a:t>
            </a:r>
            <a:r>
              <a:rPr lang="en-US" sz="1200" b="0">
                <a:solidFill>
                  <a:schemeClr val="accent1"/>
                </a:solidFill>
              </a:rPr>
              <a:t>(boe/d)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Hrv!$G$98</c:f>
              <c:strCache>
                <c:ptCount val="1"/>
                <c:pt idx="0">
                  <c:v>Proizvodnja sirove nafte (boe/d)</c:v>
                </c:pt>
              </c:strCache>
            </c:strRef>
          </c:tx>
          <c:invertIfNegative val="0"/>
          <c:dLbls>
            <c:numFmt formatCode="#,##0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50"/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Hrv!$H$97:$I$97</c:f>
              <c:numCache>
                <c:formatCode>General</c:formatCode>
                <c:ptCount val="2"/>
                <c:pt idx="0">
                  <c:v>2014</c:v>
                </c:pt>
                <c:pt idx="1">
                  <c:v>2015</c:v>
                </c:pt>
              </c:numCache>
            </c:numRef>
          </c:cat>
          <c:val>
            <c:numRef>
              <c:f>Hrv!$H$98:$I$98</c:f>
              <c:numCache>
                <c:formatCode>#,##0</c:formatCode>
                <c:ptCount val="2"/>
                <c:pt idx="0">
                  <c:v>12142</c:v>
                </c:pt>
                <c:pt idx="1">
                  <c:v>13974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27305152"/>
        <c:axId val="227305544"/>
      </c:barChart>
      <c:catAx>
        <c:axId val="227305152"/>
        <c:scaling>
          <c:orientation val="minMax"/>
          <c:max val="2"/>
          <c:min val="1"/>
        </c:scaling>
        <c:delete val="0"/>
        <c:axPos val="b"/>
        <c:numFmt formatCode="General" sourceLinked="1"/>
        <c:majorTickMark val="out"/>
        <c:minorTickMark val="none"/>
        <c:tickLblPos val="nextTo"/>
        <c:crossAx val="227305544"/>
        <c:crosses val="autoZero"/>
        <c:auto val="0"/>
        <c:lblAlgn val="ctr"/>
        <c:lblOffset val="100"/>
        <c:noMultiLvlLbl val="0"/>
      </c:catAx>
      <c:valAx>
        <c:axId val="227305544"/>
        <c:scaling>
          <c:orientation val="minMax"/>
          <c:min val="0"/>
        </c:scaling>
        <c:delete val="1"/>
        <c:axPos val="l"/>
        <c:numFmt formatCode="#,##0" sourceLinked="1"/>
        <c:majorTickMark val="out"/>
        <c:minorTickMark val="none"/>
        <c:tickLblPos val="nextTo"/>
        <c:crossAx val="227305152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>
                <a:solidFill>
                  <a:schemeClr val="accent1"/>
                </a:solidFill>
              </a:defRPr>
            </a:pPr>
            <a:r>
              <a:rPr lang="hr-HR">
                <a:solidFill>
                  <a:schemeClr val="accent1"/>
                </a:solidFill>
              </a:rPr>
              <a:t>CAPEX </a:t>
            </a:r>
            <a:r>
              <a:rPr lang="en-US">
                <a:solidFill>
                  <a:schemeClr val="accent1"/>
                </a:solidFill>
              </a:rPr>
              <a:t>R</a:t>
            </a:r>
            <a:r>
              <a:rPr lang="hr-HR">
                <a:solidFill>
                  <a:schemeClr val="accent1"/>
                </a:solidFill>
              </a:rPr>
              <a:t>afinerije</a:t>
            </a:r>
            <a:r>
              <a:rPr lang="hr-HR" baseline="0">
                <a:solidFill>
                  <a:schemeClr val="accent1"/>
                </a:solidFill>
              </a:rPr>
              <a:t> i marketing, uključujući Trgovinu na malo</a:t>
            </a:r>
            <a:endParaRPr lang="en-US">
              <a:solidFill>
                <a:schemeClr val="accent1"/>
              </a:solidFill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Hrv!$G$48</c:f>
              <c:strCache>
                <c:ptCount val="1"/>
                <c:pt idx="0">
                  <c:v>kapitalna ulaganja R&amp;M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50"/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Hrv!$H$47:$I$47</c:f>
              <c:numCache>
                <c:formatCode>General</c:formatCode>
                <c:ptCount val="2"/>
                <c:pt idx="0">
                  <c:v>2014</c:v>
                </c:pt>
                <c:pt idx="1">
                  <c:v>2015</c:v>
                </c:pt>
              </c:numCache>
            </c:numRef>
          </c:cat>
          <c:val>
            <c:numRef>
              <c:f>Hrv!$H$48:$I$48</c:f>
              <c:numCache>
                <c:formatCode>#,##0</c:formatCode>
                <c:ptCount val="2"/>
                <c:pt idx="0">
                  <c:v>474</c:v>
                </c:pt>
                <c:pt idx="1">
                  <c:v>613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27306328"/>
        <c:axId val="227306720"/>
      </c:barChart>
      <c:catAx>
        <c:axId val="2273063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27306720"/>
        <c:crosses val="autoZero"/>
        <c:auto val="1"/>
        <c:lblAlgn val="ctr"/>
        <c:lblOffset val="100"/>
        <c:noMultiLvlLbl val="0"/>
      </c:catAx>
      <c:valAx>
        <c:axId val="227306720"/>
        <c:scaling>
          <c:orientation val="minMax"/>
          <c:min val="0"/>
        </c:scaling>
        <c:delete val="1"/>
        <c:axPos val="l"/>
        <c:numFmt formatCode="#,##0" sourceLinked="1"/>
        <c:majorTickMark val="out"/>
        <c:minorTickMark val="none"/>
        <c:tickLblPos val="nextTo"/>
        <c:crossAx val="227306328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>
                <a:solidFill>
                  <a:schemeClr val="accent1"/>
                </a:solidFill>
              </a:defRPr>
            </a:pPr>
            <a:r>
              <a:rPr lang="hr-HR" sz="1800" b="1" i="0" baseline="0">
                <a:solidFill>
                  <a:schemeClr val="accent1"/>
                </a:solidFill>
                <a:effectLst/>
              </a:rPr>
              <a:t>Ukupno prodane količine u </a:t>
            </a:r>
            <a:r>
              <a:rPr lang="en-US" sz="1800" b="1" i="0" baseline="0">
                <a:solidFill>
                  <a:schemeClr val="accent1"/>
                </a:solidFill>
                <a:effectLst/>
              </a:rPr>
              <a:t>kt</a:t>
            </a:r>
            <a:endParaRPr lang="hr-HR">
              <a:solidFill>
                <a:schemeClr val="accent1"/>
              </a:solidFill>
              <a:effectLst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Eng!$G$116</c:f>
              <c:strCache>
                <c:ptCount val="1"/>
                <c:pt idx="0">
                  <c:v>Total sales  volume in kt</c:v>
                </c:pt>
              </c:strCache>
            </c:strRef>
          </c:tx>
          <c:invertIfNegative val="0"/>
          <c:dLbls>
            <c:numFmt formatCode="#,##0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50"/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Eng!$H$115:$I$115</c:f>
              <c:numCache>
                <c:formatCode>General</c:formatCode>
                <c:ptCount val="2"/>
                <c:pt idx="0">
                  <c:v>2014</c:v>
                </c:pt>
                <c:pt idx="1">
                  <c:v>2015</c:v>
                </c:pt>
              </c:numCache>
            </c:numRef>
          </c:cat>
          <c:val>
            <c:numRef>
              <c:f>Eng!$H$116:$I$116</c:f>
              <c:numCache>
                <c:formatCode>#,##0</c:formatCode>
                <c:ptCount val="2"/>
                <c:pt idx="0">
                  <c:v>3284</c:v>
                </c:pt>
                <c:pt idx="1">
                  <c:v>3622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26009648"/>
        <c:axId val="226010040"/>
      </c:barChart>
      <c:catAx>
        <c:axId val="226009648"/>
        <c:scaling>
          <c:orientation val="minMax"/>
          <c:max val="2"/>
          <c:min val="1"/>
        </c:scaling>
        <c:delete val="0"/>
        <c:axPos val="b"/>
        <c:numFmt formatCode="General" sourceLinked="1"/>
        <c:majorTickMark val="out"/>
        <c:minorTickMark val="none"/>
        <c:tickLblPos val="nextTo"/>
        <c:crossAx val="226010040"/>
        <c:crosses val="autoZero"/>
        <c:auto val="0"/>
        <c:lblAlgn val="ctr"/>
        <c:lblOffset val="100"/>
        <c:noMultiLvlLbl val="0"/>
      </c:catAx>
      <c:valAx>
        <c:axId val="226010040"/>
        <c:scaling>
          <c:orientation val="minMax"/>
          <c:min val="0"/>
        </c:scaling>
        <c:delete val="1"/>
        <c:axPos val="l"/>
        <c:numFmt formatCode="#,##0" sourceLinked="1"/>
        <c:majorTickMark val="out"/>
        <c:minorTickMark val="none"/>
        <c:tickLblPos val="nextTo"/>
        <c:crossAx val="226009648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>
                <a:solidFill>
                  <a:schemeClr val="accent1"/>
                </a:solidFill>
              </a:defRPr>
            </a:pPr>
            <a:r>
              <a:rPr lang="en-US">
                <a:solidFill>
                  <a:schemeClr val="accent1"/>
                </a:solidFill>
              </a:rPr>
              <a:t>Neto zaduženost</a:t>
            </a:r>
            <a:endParaRPr lang="hr-HR">
              <a:solidFill>
                <a:schemeClr val="accent1"/>
              </a:solidFill>
            </a:endParaRPr>
          </a:p>
          <a:p>
            <a:pPr>
              <a:defRPr>
                <a:solidFill>
                  <a:schemeClr val="accent1"/>
                </a:solidFill>
              </a:defRPr>
            </a:pPr>
            <a:r>
              <a:rPr lang="hr-HR" sz="1200" b="0">
                <a:solidFill>
                  <a:schemeClr val="accent1"/>
                </a:solidFill>
              </a:rPr>
              <a:t>HRK mil</a:t>
            </a:r>
            <a:endParaRPr lang="en-US" sz="1200" b="0">
              <a:solidFill>
                <a:schemeClr val="accent1"/>
              </a:solidFill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Hrv!$G$63</c:f>
              <c:strCache>
                <c:ptCount val="1"/>
                <c:pt idx="0">
                  <c:v>Neto zaduženost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50"/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Hrv!$H$62:$I$62</c:f>
              <c:numCache>
                <c:formatCode>General</c:formatCode>
                <c:ptCount val="2"/>
                <c:pt idx="0">
                  <c:v>2014</c:v>
                </c:pt>
                <c:pt idx="1">
                  <c:v>2015</c:v>
                </c:pt>
              </c:numCache>
            </c:numRef>
          </c:cat>
          <c:val>
            <c:numRef>
              <c:f>Hrv!$H$63:$I$63</c:f>
              <c:numCache>
                <c:formatCode>#,##0</c:formatCode>
                <c:ptCount val="2"/>
                <c:pt idx="0">
                  <c:v>2991</c:v>
                </c:pt>
                <c:pt idx="1">
                  <c:v>3032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26010824"/>
        <c:axId val="225356336"/>
      </c:barChart>
      <c:catAx>
        <c:axId val="226010824"/>
        <c:scaling>
          <c:orientation val="minMax"/>
          <c:max val="2"/>
          <c:min val="1"/>
        </c:scaling>
        <c:delete val="0"/>
        <c:axPos val="b"/>
        <c:numFmt formatCode="General" sourceLinked="1"/>
        <c:majorTickMark val="out"/>
        <c:minorTickMark val="none"/>
        <c:tickLblPos val="nextTo"/>
        <c:crossAx val="225356336"/>
        <c:crossesAt val="0"/>
        <c:auto val="0"/>
        <c:lblAlgn val="ctr"/>
        <c:lblOffset val="100"/>
        <c:noMultiLvlLbl val="0"/>
      </c:catAx>
      <c:valAx>
        <c:axId val="225356336"/>
        <c:scaling>
          <c:orientation val="minMax"/>
          <c:min val="0"/>
        </c:scaling>
        <c:delete val="1"/>
        <c:axPos val="l"/>
        <c:numFmt formatCode="#,##0" sourceLinked="1"/>
        <c:majorTickMark val="out"/>
        <c:minorTickMark val="none"/>
        <c:tickLblPos val="nextTo"/>
        <c:crossAx val="226010824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>
              <a:solidFill>
                <a:schemeClr val="accent1"/>
              </a:solidFill>
            </a:defRPr>
          </a:pPr>
          <a:endParaRPr lang="sr-Latn-R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Hrv!$G$79</c:f>
              <c:strCache>
                <c:ptCount val="1"/>
                <c:pt idx="0">
                  <c:v>Omjer duga i kapitala</c:v>
                </c:pt>
              </c:strCache>
            </c:strRef>
          </c:tx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50"/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Hrv!$H$78:$I$78</c:f>
              <c:numCache>
                <c:formatCode>General</c:formatCode>
                <c:ptCount val="2"/>
                <c:pt idx="0">
                  <c:v>2014</c:v>
                </c:pt>
                <c:pt idx="1">
                  <c:v>2015</c:v>
                </c:pt>
              </c:numCache>
            </c:numRef>
          </c:cat>
          <c:val>
            <c:numRef>
              <c:f>Hrv!$H$79:$I$79</c:f>
              <c:numCache>
                <c:formatCode>#,##0.0</c:formatCode>
                <c:ptCount val="2"/>
                <c:pt idx="0">
                  <c:v>20.399999999999999</c:v>
                </c:pt>
                <c:pt idx="1">
                  <c:v>22.3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25357120"/>
        <c:axId val="225357512"/>
      </c:barChart>
      <c:catAx>
        <c:axId val="225357120"/>
        <c:scaling>
          <c:orientation val="minMax"/>
          <c:max val="2"/>
          <c:min val="1"/>
        </c:scaling>
        <c:delete val="0"/>
        <c:axPos val="b"/>
        <c:numFmt formatCode="General" sourceLinked="1"/>
        <c:majorTickMark val="out"/>
        <c:minorTickMark val="none"/>
        <c:tickLblPos val="nextTo"/>
        <c:crossAx val="225357512"/>
        <c:crosses val="autoZero"/>
        <c:auto val="0"/>
        <c:lblAlgn val="ctr"/>
        <c:lblOffset val="100"/>
        <c:noMultiLvlLbl val="0"/>
      </c:catAx>
      <c:valAx>
        <c:axId val="225357512"/>
        <c:scaling>
          <c:orientation val="minMax"/>
          <c:min val="0"/>
        </c:scaling>
        <c:delete val="1"/>
        <c:axPos val="l"/>
        <c:numFmt formatCode="#,##0.0" sourceLinked="1"/>
        <c:majorTickMark val="out"/>
        <c:minorTickMark val="none"/>
        <c:tickLblPos val="nextTo"/>
        <c:crossAx val="225357120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4928F-6E33-4CB0-A680-4AE3150C3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1345</Words>
  <Characters>7672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INA d.d.</Company>
  <LinksUpToDate>false</LinksUpToDate>
  <CharactersWithSpaces>9000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Knežević Sandra</dc:creator>
  <cp:lastModifiedBy>Knežević Sandra</cp:lastModifiedBy>
  <cp:revision>6</cp:revision>
  <cp:lastPrinted>2016-02-23T19:02:00Z</cp:lastPrinted>
  <dcterms:created xsi:type="dcterms:W3CDTF">2016-02-23T18:13:00Z</dcterms:created>
  <dcterms:modified xsi:type="dcterms:W3CDTF">2016-02-23T19:03:00Z</dcterms:modified>
</cp:coreProperties>
</file>