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7" w:rsidRPr="006E2701" w:rsidRDefault="00E11167" w:rsidP="00E11167"/>
    <w:p w:rsidR="00E11167" w:rsidRPr="006E2701" w:rsidRDefault="00E11167" w:rsidP="00E11167"/>
    <w:p w:rsidR="00E11167" w:rsidRPr="006E2701" w:rsidRDefault="00E11167" w:rsidP="00E11167"/>
    <w:p w:rsidR="00E11167" w:rsidRPr="006E2701" w:rsidRDefault="00E11167" w:rsidP="00E11167"/>
    <w:p w:rsidR="00E11167" w:rsidRPr="006E2701" w:rsidRDefault="00E11167" w:rsidP="00E11167"/>
    <w:p w:rsidR="00E11167" w:rsidRPr="006E2701" w:rsidRDefault="00E11167" w:rsidP="00E11167"/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jc w:val="center"/>
        <w:rPr>
          <w:rFonts w:asciiTheme="minorHAnsi" w:hAnsiTheme="minorHAnsi"/>
          <w:sz w:val="56"/>
          <w:szCs w:val="56"/>
        </w:rPr>
      </w:pPr>
      <w:r w:rsidRPr="006E2701">
        <w:rPr>
          <w:rFonts w:asciiTheme="minorHAnsi" w:hAnsiTheme="minorHAnsi"/>
          <w:sz w:val="56"/>
          <w:szCs w:val="56"/>
        </w:rPr>
        <w:t>FINANCI</w:t>
      </w:r>
      <w:r w:rsidR="00D6588F" w:rsidRPr="006E2701">
        <w:rPr>
          <w:rFonts w:asciiTheme="minorHAnsi" w:hAnsiTheme="minorHAnsi"/>
          <w:sz w:val="56"/>
          <w:szCs w:val="56"/>
        </w:rPr>
        <w:t>JSKI REZULTATI</w:t>
      </w:r>
    </w:p>
    <w:p w:rsidR="00E11167" w:rsidRPr="006E2701" w:rsidRDefault="00D6588F" w:rsidP="00E11167">
      <w:pPr>
        <w:jc w:val="center"/>
        <w:rPr>
          <w:rFonts w:asciiTheme="minorHAnsi" w:hAnsiTheme="minorHAnsi"/>
          <w:sz w:val="56"/>
          <w:szCs w:val="56"/>
        </w:rPr>
      </w:pPr>
      <w:r w:rsidRPr="006E2701">
        <w:rPr>
          <w:rFonts w:asciiTheme="minorHAnsi" w:hAnsiTheme="minorHAnsi"/>
          <w:sz w:val="56"/>
          <w:szCs w:val="56"/>
        </w:rPr>
        <w:t xml:space="preserve">PRVO POLUGODIŠTE </w:t>
      </w:r>
      <w:r w:rsidR="00E11167" w:rsidRPr="006E2701">
        <w:rPr>
          <w:rFonts w:asciiTheme="minorHAnsi" w:hAnsiTheme="minorHAnsi"/>
          <w:sz w:val="56"/>
          <w:szCs w:val="56"/>
        </w:rPr>
        <w:t>2015</w:t>
      </w:r>
      <w:r w:rsidRPr="006E2701">
        <w:rPr>
          <w:rFonts w:asciiTheme="minorHAnsi" w:hAnsiTheme="minorHAnsi"/>
          <w:sz w:val="56"/>
          <w:szCs w:val="56"/>
        </w:rPr>
        <w:t>.</w:t>
      </w:r>
    </w:p>
    <w:p w:rsidR="00E11167" w:rsidRPr="006E2701" w:rsidRDefault="00E11167" w:rsidP="00E11167">
      <w:pPr>
        <w:jc w:val="center"/>
        <w:rPr>
          <w:rFonts w:asciiTheme="minorHAnsi" w:hAnsiTheme="minorHAnsi"/>
          <w:sz w:val="56"/>
          <w:szCs w:val="56"/>
        </w:rPr>
      </w:pPr>
    </w:p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E11167" w:rsidRPr="006E2701" w:rsidRDefault="00E11167" w:rsidP="00E11167">
      <w:pPr>
        <w:rPr>
          <w:rFonts w:asciiTheme="minorHAnsi" w:hAnsiTheme="minorHAnsi"/>
          <w:sz w:val="20"/>
          <w:szCs w:val="20"/>
        </w:rPr>
      </w:pPr>
    </w:p>
    <w:p w:rsidR="00D6588F" w:rsidRPr="006E2701" w:rsidRDefault="00D6588F" w:rsidP="00D6588F">
      <w:pPr>
        <w:jc w:val="both"/>
        <w:outlineLvl w:val="0"/>
        <w:rPr>
          <w:rFonts w:asciiTheme="minorHAnsi" w:hAnsiTheme="minorHAnsi" w:cs="Calibri"/>
          <w:color w:val="808080"/>
          <w:sz w:val="20"/>
          <w:szCs w:val="20"/>
        </w:rPr>
      </w:pPr>
      <w:r w:rsidRPr="006E2701">
        <w:rPr>
          <w:rFonts w:asciiTheme="minorHAnsi" w:hAnsiTheme="minorHAnsi" w:cs="Calibri"/>
          <w:color w:val="808080"/>
          <w:sz w:val="20"/>
          <w:szCs w:val="20"/>
        </w:rPr>
        <w:t>Kontakt:</w:t>
      </w:r>
    </w:p>
    <w:p w:rsidR="00D6588F" w:rsidRPr="006E2701" w:rsidRDefault="00D6588F" w:rsidP="00D6588F">
      <w:pPr>
        <w:jc w:val="both"/>
        <w:rPr>
          <w:rFonts w:asciiTheme="minorHAnsi" w:hAnsiTheme="minorHAnsi" w:cs="Calibri"/>
          <w:sz w:val="20"/>
          <w:szCs w:val="20"/>
        </w:rPr>
      </w:pPr>
    </w:p>
    <w:p w:rsidR="00D6588F" w:rsidRPr="006E2701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6E2701">
        <w:rPr>
          <w:rFonts w:asciiTheme="minorHAnsi" w:hAnsiTheme="minorHAnsi" w:cs="Calibri"/>
          <w:color w:val="999999"/>
          <w:sz w:val="20"/>
          <w:szCs w:val="20"/>
        </w:rPr>
        <w:t>INA-Industrija nafte, d.d.</w:t>
      </w:r>
    </w:p>
    <w:p w:rsidR="00D6588F" w:rsidRPr="006E2701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6E2701">
        <w:rPr>
          <w:rFonts w:asciiTheme="minorHAnsi" w:hAnsiTheme="minorHAnsi" w:cs="Calibri"/>
          <w:color w:val="999999"/>
          <w:sz w:val="20"/>
          <w:szCs w:val="20"/>
        </w:rPr>
        <w:t xml:space="preserve">Sektor korporativnih komunikacija </w:t>
      </w:r>
    </w:p>
    <w:p w:rsidR="00D6588F" w:rsidRPr="006E2701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6E2701">
        <w:rPr>
          <w:rFonts w:asciiTheme="minorHAnsi" w:hAnsiTheme="minorHAnsi" w:cs="Calibri"/>
          <w:color w:val="999999"/>
          <w:sz w:val="20"/>
          <w:szCs w:val="20"/>
        </w:rPr>
        <w:t>Avenija Većeslava Holjevca 10, Zagreb</w:t>
      </w:r>
    </w:p>
    <w:p w:rsidR="00D6588F" w:rsidRPr="006E2701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</w:p>
    <w:p w:rsidR="00D6588F" w:rsidRPr="006E2701" w:rsidRDefault="00D6588F" w:rsidP="00D6588F">
      <w:pPr>
        <w:jc w:val="both"/>
        <w:outlineLvl w:val="0"/>
        <w:rPr>
          <w:rFonts w:asciiTheme="minorHAnsi" w:hAnsiTheme="minorHAnsi" w:cs="Calibri"/>
          <w:color w:val="999999"/>
          <w:sz w:val="20"/>
          <w:szCs w:val="20"/>
        </w:rPr>
      </w:pPr>
      <w:r w:rsidRPr="006E2701">
        <w:rPr>
          <w:rFonts w:asciiTheme="minorHAnsi" w:hAnsiTheme="minorHAnsi" w:cs="Calibri"/>
          <w:color w:val="999999"/>
          <w:sz w:val="20"/>
          <w:szCs w:val="20"/>
        </w:rPr>
        <w:t>Služba za odnose s javnošću</w:t>
      </w:r>
    </w:p>
    <w:p w:rsidR="00D6588F" w:rsidRPr="006E2701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6E2701">
        <w:rPr>
          <w:rFonts w:asciiTheme="minorHAnsi" w:hAnsiTheme="minorHAnsi" w:cs="Calibri"/>
          <w:color w:val="999999"/>
          <w:sz w:val="20"/>
          <w:szCs w:val="20"/>
        </w:rPr>
        <w:t xml:space="preserve">E-mail:  </w:t>
      </w:r>
      <w:hyperlink r:id="rId8" w:history="1">
        <w:r w:rsidRPr="006E2701">
          <w:rPr>
            <w:rStyle w:val="Hyperlink"/>
            <w:rFonts w:asciiTheme="minorHAnsi" w:hAnsiTheme="minorHAnsi" w:cs="Calibri"/>
            <w:color w:val="999999"/>
          </w:rPr>
          <w:t>PR@ina.hr</w:t>
        </w:r>
      </w:hyperlink>
    </w:p>
    <w:p w:rsidR="00E11167" w:rsidRPr="006E2701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6E2701">
        <w:rPr>
          <w:rFonts w:asciiTheme="minorHAnsi" w:hAnsiTheme="minorHAnsi" w:cs="Calibri"/>
          <w:color w:val="999999"/>
          <w:sz w:val="20"/>
          <w:szCs w:val="20"/>
        </w:rPr>
        <w:t xml:space="preserve">Press centar na </w:t>
      </w:r>
      <w:hyperlink r:id="rId9" w:history="1">
        <w:r w:rsidRPr="006E2701">
          <w:rPr>
            <w:rStyle w:val="Hyperlink"/>
            <w:rFonts w:asciiTheme="minorHAnsi" w:hAnsiTheme="minorHAnsi" w:cs="Calibri"/>
            <w:color w:val="999999"/>
          </w:rPr>
          <w:t>www.ina.hr</w:t>
        </w:r>
      </w:hyperlink>
      <w:r w:rsidRPr="006E2701">
        <w:rPr>
          <w:rFonts w:asciiTheme="minorHAnsi" w:hAnsiTheme="minorHAnsi" w:cs="Calibri"/>
          <w:color w:val="999999"/>
          <w:sz w:val="20"/>
          <w:szCs w:val="20"/>
        </w:rPr>
        <w:t xml:space="preserve"> </w:t>
      </w:r>
    </w:p>
    <w:p w:rsidR="00E11167" w:rsidRPr="006E2701" w:rsidRDefault="00E11167" w:rsidP="00E11167">
      <w:pPr>
        <w:rPr>
          <w:rFonts w:asciiTheme="minorHAnsi" w:hAnsiTheme="minorHAnsi"/>
        </w:rPr>
        <w:sectPr w:rsidR="00E11167" w:rsidRPr="006E2701" w:rsidSect="0039152A">
          <w:headerReference w:type="default" r:id="rId10"/>
          <w:footerReference w:type="default" r:id="rId11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E512B" w:rsidRDefault="008E512B" w:rsidP="00E1116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</w:p>
    <w:p w:rsidR="00E11167" w:rsidRPr="006E2701" w:rsidRDefault="00E11167" w:rsidP="00E11167">
      <w:pPr>
        <w:jc w:val="center"/>
        <w:rPr>
          <w:rFonts w:asciiTheme="minorHAnsi" w:hAnsiTheme="minorHAnsi"/>
          <w:b/>
          <w:sz w:val="28"/>
          <w:szCs w:val="28"/>
        </w:rPr>
      </w:pPr>
      <w:r w:rsidRPr="006E2701">
        <w:rPr>
          <w:rFonts w:asciiTheme="minorHAnsi" w:hAnsiTheme="minorHAnsi"/>
          <w:b/>
          <w:sz w:val="28"/>
          <w:szCs w:val="28"/>
        </w:rPr>
        <w:t xml:space="preserve">INA </w:t>
      </w:r>
      <w:r w:rsidR="00D6588F" w:rsidRPr="006E2701">
        <w:rPr>
          <w:rFonts w:asciiTheme="minorHAnsi" w:hAnsiTheme="minorHAnsi"/>
          <w:b/>
          <w:sz w:val="28"/>
          <w:szCs w:val="28"/>
        </w:rPr>
        <w:t xml:space="preserve">objavila financijske rezultate za prvo polugodište </w:t>
      </w:r>
      <w:r w:rsidRPr="006E2701">
        <w:rPr>
          <w:rFonts w:asciiTheme="minorHAnsi" w:hAnsiTheme="minorHAnsi"/>
          <w:b/>
          <w:sz w:val="28"/>
          <w:szCs w:val="28"/>
        </w:rPr>
        <w:t>2015</w:t>
      </w:r>
      <w:r w:rsidR="00D6588F" w:rsidRPr="006E2701">
        <w:rPr>
          <w:rFonts w:asciiTheme="minorHAnsi" w:hAnsiTheme="minorHAnsi"/>
          <w:b/>
          <w:sz w:val="28"/>
          <w:szCs w:val="28"/>
        </w:rPr>
        <w:t>.</w:t>
      </w:r>
    </w:p>
    <w:p w:rsidR="00E11167" w:rsidRPr="006E2701" w:rsidRDefault="00E11167" w:rsidP="00E11167">
      <w:pPr>
        <w:rPr>
          <w:rFonts w:asciiTheme="minorHAnsi" w:hAnsiTheme="minorHAnsi"/>
        </w:rPr>
      </w:pPr>
    </w:p>
    <w:p w:rsidR="00E11167" w:rsidRPr="006E2701" w:rsidRDefault="00E11167" w:rsidP="00E11167">
      <w:pPr>
        <w:spacing w:line="360" w:lineRule="auto"/>
        <w:rPr>
          <w:rFonts w:asciiTheme="minorHAnsi" w:hAnsiTheme="minorHAnsi"/>
          <w:b/>
        </w:rPr>
      </w:pPr>
      <w:r w:rsidRPr="006E2701">
        <w:rPr>
          <w:rFonts w:asciiTheme="minorHAnsi" w:hAnsiTheme="minorHAnsi"/>
          <w:b/>
        </w:rPr>
        <w:t>K</w:t>
      </w:r>
      <w:r w:rsidR="00B55CFA" w:rsidRPr="006E2701">
        <w:rPr>
          <w:rFonts w:asciiTheme="minorHAnsi" w:hAnsiTheme="minorHAnsi"/>
          <w:b/>
        </w:rPr>
        <w:t>ljučna postignuća</w:t>
      </w:r>
    </w:p>
    <w:p w:rsidR="00E11167" w:rsidRPr="006E2701" w:rsidRDefault="00E11167" w:rsidP="00E11167">
      <w:pPr>
        <w:spacing w:line="360" w:lineRule="auto"/>
        <w:rPr>
          <w:rFonts w:asciiTheme="minorHAnsi" w:hAnsiTheme="minorHAnsi"/>
        </w:rPr>
      </w:pPr>
    </w:p>
    <w:p w:rsidR="00E11167" w:rsidRPr="006E2701" w:rsidRDefault="000E358E" w:rsidP="00E111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U prvih šest mjeseci 2015. </w:t>
      </w:r>
      <w:r w:rsidR="006839F7">
        <w:rPr>
          <w:rFonts w:asciiTheme="minorHAnsi" w:hAnsiTheme="minorHAnsi"/>
        </w:rPr>
        <w:t>dobit iz osnovne djelatnosti</w:t>
      </w:r>
      <w:r w:rsidR="00FF5E74" w:rsidRPr="006E2701">
        <w:rPr>
          <w:rFonts w:asciiTheme="minorHAnsi" w:hAnsiTheme="minorHAnsi"/>
        </w:rPr>
        <w:t xml:space="preserve"> </w:t>
      </w:r>
      <w:r w:rsidRPr="006E2701">
        <w:rPr>
          <w:rFonts w:asciiTheme="minorHAnsi" w:hAnsiTheme="minorHAnsi"/>
        </w:rPr>
        <w:t xml:space="preserve">INA Grupe </w:t>
      </w:r>
      <w:r w:rsidR="006839F7">
        <w:rPr>
          <w:rFonts w:asciiTheme="minorHAnsi" w:hAnsiTheme="minorHAnsi"/>
        </w:rPr>
        <w:t xml:space="preserve">povećana je za 33 posto u usporedbi s istim razdobljem 2014. i iznosi 714 </w:t>
      </w:r>
      <w:r w:rsidRPr="006E2701">
        <w:rPr>
          <w:rFonts w:asciiTheme="minorHAnsi" w:hAnsiTheme="minorHAnsi"/>
        </w:rPr>
        <w:t>milij</w:t>
      </w:r>
      <w:r w:rsidR="00034329">
        <w:rPr>
          <w:rFonts w:asciiTheme="minorHAnsi" w:hAnsiTheme="minorHAnsi"/>
        </w:rPr>
        <w:t>una</w:t>
      </w:r>
      <w:r w:rsidRPr="006E2701">
        <w:rPr>
          <w:rFonts w:asciiTheme="minorHAnsi" w:hAnsiTheme="minorHAnsi"/>
        </w:rPr>
        <w:t xml:space="preserve"> kuna</w:t>
      </w:r>
    </w:p>
    <w:p w:rsidR="00E11167" w:rsidRPr="006E2701" w:rsidRDefault="000E358E" w:rsidP="00E111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Nastavljen trend rasta domaće proizvodnje sirove nafte: povećanje od gotovo 20 posto u usporedbi s prvom polovicom </w:t>
      </w:r>
      <w:r w:rsidR="00E11167" w:rsidRPr="006E2701">
        <w:rPr>
          <w:rFonts w:asciiTheme="minorHAnsi" w:hAnsiTheme="minorHAnsi"/>
        </w:rPr>
        <w:t>2014</w:t>
      </w:r>
      <w:r w:rsidRPr="006E2701">
        <w:rPr>
          <w:rFonts w:asciiTheme="minorHAnsi" w:hAnsiTheme="minorHAnsi"/>
        </w:rPr>
        <w:t>.</w:t>
      </w:r>
    </w:p>
    <w:p w:rsidR="00E11167" w:rsidRPr="006E2701" w:rsidRDefault="000E358E" w:rsidP="00E111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Stabilan financijski položaj kompanije uz daljnje smanjenje neto duga od 14 posto u usporedbi s prvih polugodištem </w:t>
      </w:r>
      <w:r w:rsidR="00E11167" w:rsidRPr="006E2701">
        <w:rPr>
          <w:rFonts w:asciiTheme="minorHAnsi" w:hAnsiTheme="minorHAnsi"/>
        </w:rPr>
        <w:t>2014</w:t>
      </w:r>
      <w:r w:rsidRPr="006E2701">
        <w:rPr>
          <w:rFonts w:asciiTheme="minorHAnsi" w:hAnsiTheme="minorHAnsi"/>
        </w:rPr>
        <w:t>.</w:t>
      </w:r>
    </w:p>
    <w:p w:rsidR="00E11167" w:rsidRDefault="0086576E" w:rsidP="00E111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E358E" w:rsidRPr="006E2701">
        <w:rPr>
          <w:rFonts w:asciiTheme="minorHAnsi" w:hAnsiTheme="minorHAnsi"/>
        </w:rPr>
        <w:t xml:space="preserve">omaća ulaganja </w:t>
      </w:r>
      <w:r w:rsidR="00E67BE7">
        <w:rPr>
          <w:rFonts w:asciiTheme="minorHAnsi" w:hAnsiTheme="minorHAnsi"/>
        </w:rPr>
        <w:t xml:space="preserve">čine </w:t>
      </w:r>
      <w:r w:rsidR="000E358E" w:rsidRPr="006E2701">
        <w:rPr>
          <w:rFonts w:asciiTheme="minorHAnsi" w:hAnsiTheme="minorHAnsi"/>
        </w:rPr>
        <w:t xml:space="preserve">preko 82 posto </w:t>
      </w:r>
      <w:r w:rsidR="00E11167" w:rsidRPr="006E2701">
        <w:rPr>
          <w:rFonts w:asciiTheme="minorHAnsi" w:hAnsiTheme="minorHAnsi"/>
        </w:rPr>
        <w:t>CAPEX</w:t>
      </w:r>
      <w:r w:rsidR="000E358E" w:rsidRPr="006E2701">
        <w:rPr>
          <w:rFonts w:asciiTheme="minorHAnsi" w:hAnsiTheme="minorHAnsi"/>
        </w:rPr>
        <w:t>-a</w:t>
      </w:r>
      <w:r>
        <w:rPr>
          <w:rFonts w:asciiTheme="minorHAnsi" w:hAnsiTheme="minorHAnsi"/>
        </w:rPr>
        <w:t xml:space="preserve"> </w:t>
      </w:r>
      <w:r w:rsidR="00AD19CE">
        <w:rPr>
          <w:rFonts w:asciiTheme="minorHAnsi" w:hAnsiTheme="minorHAnsi"/>
        </w:rPr>
        <w:t>koji</w:t>
      </w:r>
      <w:r w:rsidR="000E358E" w:rsidRPr="006E2701">
        <w:rPr>
          <w:rFonts w:asciiTheme="minorHAnsi" w:hAnsiTheme="minorHAnsi"/>
        </w:rPr>
        <w:t xml:space="preserve"> iznos</w:t>
      </w:r>
      <w:r w:rsidR="00AD19CE">
        <w:rPr>
          <w:rFonts w:asciiTheme="minorHAnsi" w:hAnsiTheme="minorHAnsi"/>
        </w:rPr>
        <w:t>i</w:t>
      </w:r>
      <w:r w:rsidR="000E358E" w:rsidRPr="006E2701">
        <w:rPr>
          <w:rFonts w:asciiTheme="minorHAnsi" w:hAnsiTheme="minorHAnsi"/>
        </w:rPr>
        <w:t xml:space="preserve"> </w:t>
      </w:r>
      <w:r w:rsidR="00FF5E74" w:rsidRPr="006E2701">
        <w:rPr>
          <w:rFonts w:asciiTheme="minorHAnsi" w:hAnsiTheme="minorHAnsi"/>
        </w:rPr>
        <w:t>549</w:t>
      </w:r>
      <w:r w:rsidR="00E11167" w:rsidRPr="006E2701">
        <w:rPr>
          <w:rFonts w:asciiTheme="minorHAnsi" w:hAnsiTheme="minorHAnsi"/>
        </w:rPr>
        <w:t xml:space="preserve"> mil</w:t>
      </w:r>
      <w:r w:rsidR="000E358E" w:rsidRPr="006E2701">
        <w:rPr>
          <w:rFonts w:asciiTheme="minorHAnsi" w:hAnsiTheme="minorHAnsi"/>
        </w:rPr>
        <w:t>ijuna kuna</w:t>
      </w:r>
      <w:r w:rsidR="00FF5E74" w:rsidRPr="006E2701">
        <w:rPr>
          <w:rFonts w:asciiTheme="minorHAnsi" w:hAnsiTheme="minorHAnsi"/>
        </w:rPr>
        <w:t xml:space="preserve"> </w:t>
      </w:r>
    </w:p>
    <w:p w:rsidR="006839F7" w:rsidRPr="006E2701" w:rsidRDefault="006839F7" w:rsidP="00E111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Rafinerijska proizvodnja porasla je za 3 posto, a prodaja rafinerijskih proizvoda za 4 posto</w:t>
      </w:r>
    </w:p>
    <w:p w:rsidR="00E11167" w:rsidRPr="006E2701" w:rsidRDefault="00E11167" w:rsidP="00E11167">
      <w:pPr>
        <w:spacing w:line="360" w:lineRule="auto"/>
        <w:rPr>
          <w:rFonts w:asciiTheme="minorHAnsi" w:hAnsiTheme="minorHAnsi"/>
        </w:rPr>
      </w:pPr>
    </w:p>
    <w:p w:rsidR="00E11167" w:rsidRPr="006E2701" w:rsidRDefault="00E11167" w:rsidP="00E11167">
      <w:pPr>
        <w:spacing w:line="360" w:lineRule="auto"/>
        <w:jc w:val="both"/>
        <w:rPr>
          <w:rFonts w:asciiTheme="minorHAnsi" w:hAnsiTheme="minorHAnsi"/>
          <w:b/>
        </w:rPr>
      </w:pPr>
      <w:r w:rsidRPr="006E2701">
        <w:rPr>
          <w:rFonts w:asciiTheme="minorHAnsi" w:hAnsiTheme="minorHAnsi"/>
          <w:b/>
        </w:rPr>
        <w:t>Zagreb, 30</w:t>
      </w:r>
      <w:r w:rsidR="0086576E">
        <w:rPr>
          <w:rFonts w:asciiTheme="minorHAnsi" w:hAnsiTheme="minorHAnsi"/>
          <w:b/>
        </w:rPr>
        <w:t>.</w:t>
      </w:r>
      <w:r w:rsidR="000E358E" w:rsidRPr="006E2701">
        <w:rPr>
          <w:rFonts w:asciiTheme="minorHAnsi" w:hAnsiTheme="minorHAnsi"/>
          <w:b/>
        </w:rPr>
        <w:t xml:space="preserve"> srpnja</w:t>
      </w:r>
      <w:r w:rsidRPr="006E2701">
        <w:rPr>
          <w:rFonts w:asciiTheme="minorHAnsi" w:hAnsiTheme="minorHAnsi"/>
          <w:b/>
        </w:rPr>
        <w:t xml:space="preserve"> 2015</w:t>
      </w:r>
      <w:r w:rsidR="000E358E" w:rsidRPr="006E2701">
        <w:rPr>
          <w:rFonts w:asciiTheme="minorHAnsi" w:hAnsiTheme="minorHAnsi"/>
          <w:b/>
        </w:rPr>
        <w:t>.</w:t>
      </w:r>
      <w:r w:rsidRPr="006E2701">
        <w:rPr>
          <w:rFonts w:asciiTheme="minorHAnsi" w:hAnsiTheme="minorHAnsi"/>
          <w:b/>
        </w:rPr>
        <w:t xml:space="preserve"> – </w:t>
      </w:r>
      <w:r w:rsidR="006E2701" w:rsidRPr="006E2701">
        <w:rPr>
          <w:rFonts w:asciiTheme="minorHAnsi" w:hAnsiTheme="minorHAnsi"/>
          <w:b/>
        </w:rPr>
        <w:t>CCS</w:t>
      </w:r>
      <w:r w:rsidR="006839F7">
        <w:rPr>
          <w:rStyle w:val="FootnoteReference"/>
          <w:rFonts w:asciiTheme="minorHAnsi" w:hAnsiTheme="minorHAnsi"/>
          <w:b/>
        </w:rPr>
        <w:footnoteReference w:id="1"/>
      </w:r>
      <w:r w:rsidR="006E2701" w:rsidRPr="006E2701">
        <w:rPr>
          <w:rFonts w:asciiTheme="minorHAnsi" w:hAnsiTheme="minorHAnsi"/>
          <w:b/>
        </w:rPr>
        <w:t xml:space="preserve"> </w:t>
      </w:r>
      <w:r w:rsidR="000E358E" w:rsidRPr="006E2701">
        <w:rPr>
          <w:rFonts w:asciiTheme="minorHAnsi" w:hAnsiTheme="minorHAnsi"/>
          <w:b/>
        </w:rPr>
        <w:t>EBITDA</w:t>
      </w:r>
      <w:r w:rsidR="006839F7">
        <w:rPr>
          <w:rStyle w:val="FootnoteReference"/>
          <w:rFonts w:asciiTheme="minorHAnsi" w:hAnsiTheme="minorHAnsi"/>
          <w:b/>
        </w:rPr>
        <w:footnoteReference w:id="2"/>
      </w:r>
      <w:r w:rsidR="000E358E" w:rsidRPr="006E2701">
        <w:rPr>
          <w:rFonts w:asciiTheme="minorHAnsi" w:hAnsiTheme="minorHAnsi"/>
          <w:b/>
        </w:rPr>
        <w:t xml:space="preserve"> I</w:t>
      </w:r>
      <w:r w:rsidR="0086576E">
        <w:rPr>
          <w:rFonts w:asciiTheme="minorHAnsi" w:hAnsiTheme="minorHAnsi"/>
          <w:b/>
        </w:rPr>
        <w:t>NA</w:t>
      </w:r>
      <w:r w:rsidR="000E358E" w:rsidRPr="006E2701">
        <w:rPr>
          <w:rFonts w:asciiTheme="minorHAnsi" w:hAnsiTheme="minorHAnsi"/>
          <w:b/>
        </w:rPr>
        <w:t xml:space="preserve"> Grupe u prvih šest mjeseci 2015. iznosila je </w:t>
      </w:r>
      <w:r w:rsidR="00FF5E74" w:rsidRPr="006E2701">
        <w:rPr>
          <w:rFonts w:asciiTheme="minorHAnsi" w:hAnsiTheme="minorHAnsi"/>
          <w:b/>
        </w:rPr>
        <w:t>1</w:t>
      </w:r>
      <w:r w:rsidR="00034329">
        <w:rPr>
          <w:rFonts w:asciiTheme="minorHAnsi" w:hAnsiTheme="minorHAnsi"/>
          <w:b/>
        </w:rPr>
        <w:t>.</w:t>
      </w:r>
      <w:r w:rsidR="006E2701" w:rsidRPr="006E2701">
        <w:rPr>
          <w:rFonts w:asciiTheme="minorHAnsi" w:hAnsiTheme="minorHAnsi"/>
          <w:b/>
        </w:rPr>
        <w:t>636</w:t>
      </w:r>
      <w:r w:rsidRPr="006E2701">
        <w:rPr>
          <w:rFonts w:asciiTheme="minorHAnsi" w:hAnsiTheme="minorHAnsi"/>
          <w:b/>
        </w:rPr>
        <w:t xml:space="preserve"> </w:t>
      </w:r>
      <w:r w:rsidR="000E358E" w:rsidRPr="006E2701">
        <w:rPr>
          <w:rFonts w:asciiTheme="minorHAnsi" w:hAnsiTheme="minorHAnsi"/>
          <w:b/>
        </w:rPr>
        <w:t>milij</w:t>
      </w:r>
      <w:r w:rsidR="00034329">
        <w:rPr>
          <w:rFonts w:asciiTheme="minorHAnsi" w:hAnsiTheme="minorHAnsi"/>
          <w:b/>
        </w:rPr>
        <w:t>una</w:t>
      </w:r>
      <w:r w:rsidR="000E358E" w:rsidRPr="006E2701">
        <w:rPr>
          <w:rFonts w:asciiTheme="minorHAnsi" w:hAnsiTheme="minorHAnsi"/>
          <w:b/>
        </w:rPr>
        <w:t xml:space="preserve"> kuna</w:t>
      </w:r>
      <w:r w:rsidR="009902B6">
        <w:rPr>
          <w:rFonts w:asciiTheme="minorHAnsi" w:hAnsiTheme="minorHAnsi"/>
          <w:b/>
        </w:rPr>
        <w:t>, odnosno 4 posto više nego u istom razdoblju 2014.</w:t>
      </w:r>
      <w:r w:rsidRPr="006E2701">
        <w:rPr>
          <w:rFonts w:asciiTheme="minorHAnsi" w:hAnsiTheme="minorHAnsi"/>
          <w:b/>
        </w:rPr>
        <w:t>,</w:t>
      </w:r>
      <w:r w:rsidR="009902B6">
        <w:rPr>
          <w:rFonts w:asciiTheme="minorHAnsi" w:hAnsiTheme="minorHAnsi"/>
          <w:b/>
        </w:rPr>
        <w:t xml:space="preserve"> a</w:t>
      </w:r>
      <w:r w:rsidR="000E358E" w:rsidRPr="006E2701">
        <w:rPr>
          <w:rFonts w:asciiTheme="minorHAnsi" w:hAnsiTheme="minorHAnsi"/>
          <w:b/>
        </w:rPr>
        <w:t xml:space="preserve"> </w:t>
      </w:r>
      <w:r w:rsidR="006E2701" w:rsidRPr="006E2701">
        <w:rPr>
          <w:rFonts w:asciiTheme="minorHAnsi" w:hAnsiTheme="minorHAnsi"/>
          <w:b/>
        </w:rPr>
        <w:t xml:space="preserve">CCS </w:t>
      </w:r>
      <w:r w:rsidR="000E358E" w:rsidRPr="006E2701">
        <w:rPr>
          <w:rFonts w:asciiTheme="minorHAnsi" w:hAnsiTheme="minorHAnsi"/>
          <w:b/>
        </w:rPr>
        <w:t xml:space="preserve">operativna dobit dosegla je </w:t>
      </w:r>
      <w:r w:rsidR="006E2701" w:rsidRPr="006E2701">
        <w:rPr>
          <w:rFonts w:asciiTheme="minorHAnsi" w:hAnsiTheme="minorHAnsi"/>
          <w:b/>
        </w:rPr>
        <w:t>819</w:t>
      </w:r>
      <w:r w:rsidR="000E358E" w:rsidRPr="006E2701">
        <w:rPr>
          <w:rFonts w:asciiTheme="minorHAnsi" w:hAnsiTheme="minorHAnsi"/>
          <w:b/>
        </w:rPr>
        <w:t xml:space="preserve"> milijuna kuna</w:t>
      </w:r>
      <w:r w:rsidR="009902B6">
        <w:rPr>
          <w:rFonts w:asciiTheme="minorHAnsi" w:hAnsiTheme="minorHAnsi"/>
          <w:b/>
        </w:rPr>
        <w:t xml:space="preserve">, što je 27 posto </w:t>
      </w:r>
      <w:r w:rsidR="008E512B">
        <w:rPr>
          <w:rFonts w:asciiTheme="minorHAnsi" w:hAnsiTheme="minorHAnsi"/>
          <w:b/>
        </w:rPr>
        <w:t>više nego u prvoj polovici</w:t>
      </w:r>
      <w:r w:rsidR="009902B6">
        <w:rPr>
          <w:rFonts w:asciiTheme="minorHAnsi" w:hAnsiTheme="minorHAnsi"/>
          <w:b/>
        </w:rPr>
        <w:t xml:space="preserve"> 2014. Ostvarena je n</w:t>
      </w:r>
      <w:r w:rsidR="000E358E" w:rsidRPr="006E2701">
        <w:rPr>
          <w:rFonts w:asciiTheme="minorHAnsi" w:hAnsiTheme="minorHAnsi"/>
          <w:b/>
        </w:rPr>
        <w:t>eto dobit</w:t>
      </w:r>
      <w:r w:rsidR="009902B6">
        <w:rPr>
          <w:rFonts w:asciiTheme="minorHAnsi" w:hAnsiTheme="minorHAnsi"/>
          <w:b/>
        </w:rPr>
        <w:t xml:space="preserve"> u iznosu od</w:t>
      </w:r>
      <w:r w:rsidR="000E358E" w:rsidRPr="006E2701">
        <w:rPr>
          <w:rFonts w:asciiTheme="minorHAnsi" w:hAnsiTheme="minorHAnsi"/>
          <w:b/>
        </w:rPr>
        <w:t xml:space="preserve"> 328 milijuna kuna. Kompanija je u navedenom razdoblju uložila ukupno 549 milijuna kuna, od čega 453 </w:t>
      </w:r>
      <w:r w:rsidR="008E512B">
        <w:rPr>
          <w:rFonts w:asciiTheme="minorHAnsi" w:hAnsiTheme="minorHAnsi"/>
          <w:b/>
        </w:rPr>
        <w:t xml:space="preserve">milijuna </w:t>
      </w:r>
      <w:r w:rsidR="000E358E" w:rsidRPr="006E2701">
        <w:rPr>
          <w:rFonts w:asciiTheme="minorHAnsi" w:hAnsiTheme="minorHAnsi"/>
          <w:b/>
        </w:rPr>
        <w:t xml:space="preserve">u Hrvatskoj, a 96 </w:t>
      </w:r>
      <w:r w:rsidR="008E512B">
        <w:rPr>
          <w:rFonts w:asciiTheme="minorHAnsi" w:hAnsiTheme="minorHAnsi"/>
          <w:b/>
        </w:rPr>
        <w:t xml:space="preserve">milijuna </w:t>
      </w:r>
      <w:r w:rsidR="000E358E" w:rsidRPr="006E2701">
        <w:rPr>
          <w:rFonts w:asciiTheme="minorHAnsi" w:hAnsiTheme="minorHAnsi"/>
          <w:b/>
        </w:rPr>
        <w:t xml:space="preserve">u inozemstvu. </w:t>
      </w:r>
      <w:r w:rsidRPr="006E2701">
        <w:rPr>
          <w:rFonts w:asciiTheme="minorHAnsi" w:hAnsiTheme="minorHAnsi"/>
          <w:b/>
        </w:rPr>
        <w:t xml:space="preserve"> </w:t>
      </w:r>
    </w:p>
    <w:p w:rsidR="00E11167" w:rsidRPr="006E2701" w:rsidRDefault="00E11167" w:rsidP="00E11167">
      <w:pPr>
        <w:spacing w:line="360" w:lineRule="auto"/>
        <w:rPr>
          <w:rFonts w:asciiTheme="minorHAnsi" w:hAnsiTheme="minorHAnsi"/>
        </w:rPr>
      </w:pPr>
    </w:p>
    <w:p w:rsidR="000E358E" w:rsidRDefault="000E358E" w:rsidP="00E11167">
      <w:p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Rezultat INA Grupe u prvom polugodištu 2015. pokazao se stabilnim u izazovnom okruženju: zabilježen je porast </w:t>
      </w:r>
      <w:r w:rsidR="006E2701" w:rsidRPr="006E2701">
        <w:rPr>
          <w:rFonts w:asciiTheme="minorHAnsi" w:hAnsiTheme="minorHAnsi"/>
        </w:rPr>
        <w:t xml:space="preserve">CCS </w:t>
      </w:r>
      <w:r w:rsidRPr="006E2701">
        <w:rPr>
          <w:rFonts w:asciiTheme="minorHAnsi" w:hAnsiTheme="minorHAnsi"/>
        </w:rPr>
        <w:t xml:space="preserve">EBITDA od </w:t>
      </w:r>
      <w:r w:rsidR="006E2701" w:rsidRPr="006E2701">
        <w:rPr>
          <w:rFonts w:asciiTheme="minorHAnsi" w:hAnsiTheme="minorHAnsi"/>
        </w:rPr>
        <w:t>4</w:t>
      </w:r>
      <w:r w:rsidRPr="006E2701">
        <w:rPr>
          <w:rFonts w:asciiTheme="minorHAnsi" w:hAnsiTheme="minorHAnsi"/>
        </w:rPr>
        <w:t xml:space="preserve"> posto </w:t>
      </w:r>
      <w:r w:rsidR="00E67BE7">
        <w:rPr>
          <w:rFonts w:asciiTheme="minorHAnsi" w:hAnsiTheme="minorHAnsi"/>
        </w:rPr>
        <w:t>unatoč</w:t>
      </w:r>
      <w:r w:rsidR="006E2701" w:rsidRPr="006E2701">
        <w:rPr>
          <w:rFonts w:asciiTheme="minorHAnsi" w:hAnsiTheme="minorHAnsi"/>
        </w:rPr>
        <w:t xml:space="preserve"> značajno lošijem okruženju za </w:t>
      </w:r>
      <w:r w:rsidR="00E67BE7">
        <w:rPr>
          <w:rFonts w:asciiTheme="minorHAnsi" w:hAnsiTheme="minorHAnsi"/>
        </w:rPr>
        <w:t>S</w:t>
      </w:r>
      <w:r w:rsidR="006E2701" w:rsidRPr="006E2701">
        <w:rPr>
          <w:rFonts w:asciiTheme="minorHAnsi" w:hAnsiTheme="minorHAnsi"/>
        </w:rPr>
        <w:t xml:space="preserve">egment istraživanja i proizvodnje koji je primarni generator </w:t>
      </w:r>
      <w:r w:rsidR="009F3354">
        <w:rPr>
          <w:rFonts w:asciiTheme="minorHAnsi" w:hAnsiTheme="minorHAnsi"/>
        </w:rPr>
        <w:t>novca Društva</w:t>
      </w:r>
      <w:r w:rsidR="00E67BE7">
        <w:rPr>
          <w:rFonts w:asciiTheme="minorHAnsi" w:hAnsiTheme="minorHAnsi"/>
        </w:rPr>
        <w:t>,</w:t>
      </w:r>
      <w:r w:rsidR="006E2701" w:rsidRPr="006E2701">
        <w:rPr>
          <w:rFonts w:asciiTheme="minorHAnsi" w:hAnsiTheme="minorHAnsi"/>
        </w:rPr>
        <w:t xml:space="preserve"> te gotovo prepolovljenim </w:t>
      </w:r>
      <w:r w:rsidR="006E2701" w:rsidRPr="006E2701">
        <w:rPr>
          <w:rFonts w:asciiTheme="minorHAnsi" w:hAnsiTheme="minorHAnsi"/>
        </w:rPr>
        <w:lastRenderedPageBreak/>
        <w:t>cijenama nafte</w:t>
      </w:r>
      <w:r w:rsidR="00A369BE" w:rsidRPr="006E2701">
        <w:rPr>
          <w:rFonts w:asciiTheme="minorHAnsi" w:hAnsiTheme="minorHAnsi"/>
        </w:rPr>
        <w:t>. Također, neto dug je smanjen za dodatnih 14 posto u usporedbi s prvim polugodištem 2014., što je poboljšalo financijski položaj kompanije i omjer duga i kapitala</w:t>
      </w:r>
      <w:r w:rsidR="0060641A">
        <w:rPr>
          <w:rStyle w:val="FootnoteReference"/>
          <w:rFonts w:asciiTheme="minorHAnsi" w:hAnsiTheme="minorHAnsi"/>
        </w:rPr>
        <w:footnoteReference w:id="3"/>
      </w:r>
      <w:r w:rsidR="00A369BE" w:rsidRPr="006E2701">
        <w:rPr>
          <w:rFonts w:asciiTheme="minorHAnsi" w:hAnsiTheme="minorHAnsi"/>
        </w:rPr>
        <w:t xml:space="preserve">. </w:t>
      </w:r>
    </w:p>
    <w:p w:rsidR="008E512B" w:rsidRPr="006E2701" w:rsidRDefault="008E512B" w:rsidP="00E11167">
      <w:pPr>
        <w:spacing w:line="360" w:lineRule="auto"/>
        <w:jc w:val="both"/>
        <w:rPr>
          <w:rFonts w:asciiTheme="minorHAnsi" w:hAnsiTheme="minorHAnsi"/>
        </w:rPr>
      </w:pPr>
    </w:p>
    <w:p w:rsidR="00A369BE" w:rsidRPr="006E2701" w:rsidRDefault="0086576E" w:rsidP="00E111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</w:t>
      </w:r>
      <w:r w:rsidR="00A369BE" w:rsidRPr="006E2701">
        <w:rPr>
          <w:rFonts w:asciiTheme="minorHAnsi" w:hAnsiTheme="minorHAnsi"/>
        </w:rPr>
        <w:t>egmentu djelatnosti istraživanja i proizvodnje nastavljen je trend rasta domaće proizvodnje sirove nafte u</w:t>
      </w:r>
      <w:r w:rsidR="00E67BE7">
        <w:rPr>
          <w:rFonts w:asciiTheme="minorHAnsi" w:hAnsiTheme="minorHAnsi"/>
        </w:rPr>
        <w:t>natoč</w:t>
      </w:r>
      <w:r w:rsidR="00A369BE" w:rsidRPr="006E2701">
        <w:rPr>
          <w:rFonts w:asciiTheme="minorHAnsi" w:hAnsiTheme="minorHAnsi"/>
        </w:rPr>
        <w:t xml:space="preserve"> nepostojanju novih istraživačkih polja</w:t>
      </w:r>
      <w:r w:rsidR="00E67BE7">
        <w:rPr>
          <w:rFonts w:asciiTheme="minorHAnsi" w:hAnsiTheme="minorHAnsi"/>
        </w:rPr>
        <w:t xml:space="preserve">. Porastom proizvodnje u RH od </w:t>
      </w:r>
      <w:r w:rsidR="00223D53">
        <w:rPr>
          <w:rFonts w:asciiTheme="minorHAnsi" w:hAnsiTheme="minorHAnsi"/>
        </w:rPr>
        <w:t xml:space="preserve">gotovo 20 </w:t>
      </w:r>
      <w:r w:rsidR="00A369BE" w:rsidRPr="006E2701">
        <w:rPr>
          <w:rFonts w:asciiTheme="minorHAnsi" w:hAnsiTheme="minorHAnsi"/>
        </w:rPr>
        <w:t xml:space="preserve">posto </w:t>
      </w:r>
      <w:r w:rsidR="00E67BE7">
        <w:rPr>
          <w:rFonts w:asciiTheme="minorHAnsi" w:hAnsiTheme="minorHAnsi"/>
        </w:rPr>
        <w:t xml:space="preserve">dan je </w:t>
      </w:r>
      <w:r w:rsidR="00A369BE" w:rsidRPr="006E2701">
        <w:rPr>
          <w:rFonts w:asciiTheme="minorHAnsi" w:hAnsiTheme="minorHAnsi"/>
        </w:rPr>
        <w:t>doprin</w:t>
      </w:r>
      <w:r w:rsidR="00E67BE7">
        <w:rPr>
          <w:rFonts w:asciiTheme="minorHAnsi" w:hAnsiTheme="minorHAnsi"/>
        </w:rPr>
        <w:t>os</w:t>
      </w:r>
      <w:r w:rsidR="00A369BE" w:rsidRPr="006E2701">
        <w:rPr>
          <w:rFonts w:asciiTheme="minorHAnsi" w:hAnsiTheme="minorHAnsi"/>
        </w:rPr>
        <w:t xml:space="preserve"> povećanju od šest posto ukupne proizvodnje ugljikovodika. Ovaj rezultat može se </w:t>
      </w:r>
      <w:r w:rsidR="00E67BE7">
        <w:rPr>
          <w:rFonts w:asciiTheme="minorHAnsi" w:hAnsiTheme="minorHAnsi"/>
        </w:rPr>
        <w:t xml:space="preserve">prije svega </w:t>
      </w:r>
      <w:r w:rsidR="00A369BE" w:rsidRPr="006E2701">
        <w:rPr>
          <w:rFonts w:asciiTheme="minorHAnsi" w:hAnsiTheme="minorHAnsi"/>
        </w:rPr>
        <w:t xml:space="preserve">pripisati </w:t>
      </w:r>
      <w:r w:rsidRPr="0086576E">
        <w:rPr>
          <w:rFonts w:asciiTheme="minorHAnsi" w:hAnsiTheme="minorHAnsi"/>
        </w:rPr>
        <w:t xml:space="preserve">kontinuiranom remontu i poboljšanju učinkovitosti bušotina te dodatnoj proizvodnji polja </w:t>
      </w:r>
      <w:proofErr w:type="spellStart"/>
      <w:r w:rsidRPr="0086576E">
        <w:rPr>
          <w:rFonts w:asciiTheme="minorHAnsi" w:hAnsiTheme="minorHAnsi"/>
        </w:rPr>
        <w:t>Hrastilnica</w:t>
      </w:r>
      <w:proofErr w:type="spellEnd"/>
      <w:r w:rsidRPr="0086576E">
        <w:rPr>
          <w:rFonts w:asciiTheme="minorHAnsi" w:hAnsiTheme="minorHAnsi"/>
        </w:rPr>
        <w:t>.</w:t>
      </w:r>
      <w:r w:rsidR="00A369BE" w:rsidRPr="006E2701">
        <w:rPr>
          <w:rFonts w:asciiTheme="minorHAnsi" w:hAnsiTheme="minorHAnsi"/>
        </w:rPr>
        <w:t xml:space="preserve"> Proizvodnja prirodnog plina također je porasla i to za četiri posto u usporedbi s prvih šest mj</w:t>
      </w:r>
      <w:r w:rsidR="00034329">
        <w:rPr>
          <w:rFonts w:asciiTheme="minorHAnsi" w:hAnsiTheme="minorHAnsi"/>
        </w:rPr>
        <w:t>eseci 2014. EBITDA je dosegla 1.</w:t>
      </w:r>
      <w:r w:rsidR="00A369BE" w:rsidRPr="006E2701">
        <w:rPr>
          <w:rFonts w:asciiTheme="minorHAnsi" w:hAnsiTheme="minorHAnsi"/>
        </w:rPr>
        <w:t>63</w:t>
      </w:r>
      <w:r>
        <w:rPr>
          <w:rFonts w:asciiTheme="minorHAnsi" w:hAnsiTheme="minorHAnsi"/>
        </w:rPr>
        <w:t>5</w:t>
      </w:r>
      <w:r w:rsidR="00A369BE" w:rsidRPr="006E2701">
        <w:rPr>
          <w:rFonts w:asciiTheme="minorHAnsi" w:hAnsiTheme="minorHAnsi"/>
        </w:rPr>
        <w:t xml:space="preserve"> milij</w:t>
      </w:r>
      <w:r w:rsidR="00034329">
        <w:rPr>
          <w:rFonts w:asciiTheme="minorHAnsi" w:hAnsiTheme="minorHAnsi"/>
        </w:rPr>
        <w:t>una</w:t>
      </w:r>
      <w:r w:rsidR="00A369BE" w:rsidRPr="006E2701">
        <w:rPr>
          <w:rFonts w:asciiTheme="minorHAnsi" w:hAnsiTheme="minorHAnsi"/>
        </w:rPr>
        <w:t xml:space="preserve"> kuna, dok su na ukupan rezultat negativno utjecale snižene cijene sirove nafte i nepovoljne regulatorne </w:t>
      </w:r>
      <w:r w:rsidR="009762D1">
        <w:rPr>
          <w:rFonts w:asciiTheme="minorHAnsi" w:hAnsiTheme="minorHAnsi"/>
        </w:rPr>
        <w:t>pro</w:t>
      </w:r>
      <w:r w:rsidR="00A369BE" w:rsidRPr="006E2701">
        <w:rPr>
          <w:rFonts w:asciiTheme="minorHAnsi" w:hAnsiTheme="minorHAnsi"/>
        </w:rPr>
        <w:t>mjene u vidu dodatnog smanjenja regulirane cijene plina i udvostručenih naknada</w:t>
      </w:r>
      <w:r>
        <w:rPr>
          <w:rFonts w:asciiTheme="minorHAnsi" w:hAnsiTheme="minorHAnsi"/>
        </w:rPr>
        <w:t xml:space="preserve"> za eksploataciju</w:t>
      </w:r>
      <w:r w:rsidR="00A369BE" w:rsidRPr="006E2701">
        <w:rPr>
          <w:rFonts w:asciiTheme="minorHAnsi" w:hAnsiTheme="minorHAnsi"/>
        </w:rPr>
        <w:t xml:space="preserve">. Kapitalna ulaganja u ovom segmentu u prvih pola godine iznosila su 335 milijuna kuna, od čega je u Hrvatskoj uloženo 252 milijuna, a u inozemstvu 83 milijuna. </w:t>
      </w:r>
    </w:p>
    <w:p w:rsidR="00A369BE" w:rsidRPr="006E2701" w:rsidRDefault="00A369BE" w:rsidP="00E11167">
      <w:pPr>
        <w:spacing w:line="360" w:lineRule="auto"/>
        <w:jc w:val="both"/>
        <w:rPr>
          <w:rFonts w:asciiTheme="minorHAnsi" w:hAnsiTheme="minorHAnsi"/>
        </w:rPr>
      </w:pPr>
    </w:p>
    <w:p w:rsidR="00A369BE" w:rsidRPr="006E2701" w:rsidRDefault="00A369BE" w:rsidP="00E11167">
      <w:p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</w:rPr>
        <w:t>Segment djelatnosti rafinerije i marketing (uključujući Trgovinu na malo) poboljšao je rezultat za 94 posto u usporedbi s prvom polovicom 2014. te je gubitak smanjen na 2</w:t>
      </w:r>
      <w:r w:rsidR="0086576E">
        <w:rPr>
          <w:rFonts w:asciiTheme="minorHAnsi" w:hAnsiTheme="minorHAnsi"/>
        </w:rPr>
        <w:t>2</w:t>
      </w:r>
      <w:r w:rsidRPr="006E2701">
        <w:rPr>
          <w:rFonts w:asciiTheme="minorHAnsi" w:hAnsiTheme="minorHAnsi"/>
        </w:rPr>
        <w:t xml:space="preserve"> milijuna kuna. Ovo poboljšanje rezultat je vanjskih faktora kao što </w:t>
      </w:r>
      <w:r w:rsidR="00E67BE7">
        <w:rPr>
          <w:rFonts w:asciiTheme="minorHAnsi" w:hAnsiTheme="minorHAnsi"/>
        </w:rPr>
        <w:t>su</w:t>
      </w:r>
      <w:r w:rsidRPr="006E2701">
        <w:rPr>
          <w:rFonts w:asciiTheme="minorHAnsi" w:hAnsiTheme="minorHAnsi"/>
        </w:rPr>
        <w:t xml:space="preserve"> pad cijene </w:t>
      </w:r>
      <w:proofErr w:type="spellStart"/>
      <w:r w:rsidRPr="006E2701">
        <w:rPr>
          <w:rFonts w:asciiTheme="minorHAnsi" w:hAnsiTheme="minorHAnsi"/>
        </w:rPr>
        <w:t>Brent</w:t>
      </w:r>
      <w:proofErr w:type="spellEnd"/>
      <w:r w:rsidRPr="006E2701">
        <w:rPr>
          <w:rFonts w:asciiTheme="minorHAnsi" w:hAnsiTheme="minorHAnsi"/>
        </w:rPr>
        <w:t xml:space="preserve"> nafte koji je pozitivno pridonio nižim materijalnim troškovima i nižim troškovima vlastite potrošnje, u kombinaciji s boljim prodajnim rezultatom i </w:t>
      </w:r>
      <w:r w:rsidR="0081512A" w:rsidRPr="006E2701">
        <w:rPr>
          <w:rFonts w:asciiTheme="minorHAnsi" w:hAnsiTheme="minorHAnsi"/>
        </w:rPr>
        <w:t>bolj</w:t>
      </w:r>
      <w:r w:rsidR="006C666E">
        <w:rPr>
          <w:rFonts w:asciiTheme="minorHAnsi" w:hAnsiTheme="minorHAnsi"/>
        </w:rPr>
        <w:t>o</w:t>
      </w:r>
      <w:r w:rsidR="0081512A" w:rsidRPr="006E2701">
        <w:rPr>
          <w:rFonts w:asciiTheme="minorHAnsi" w:hAnsiTheme="minorHAnsi"/>
        </w:rPr>
        <w:t xml:space="preserve">m strukturom prinosa u rafinerijama, kao i višom maloprodajnom maržom. </w:t>
      </w:r>
    </w:p>
    <w:p w:rsidR="00564017" w:rsidRPr="006E2701" w:rsidRDefault="00564017" w:rsidP="00E11167">
      <w:pPr>
        <w:spacing w:line="360" w:lineRule="auto"/>
        <w:jc w:val="both"/>
        <w:rPr>
          <w:rFonts w:asciiTheme="minorHAnsi" w:hAnsiTheme="minorHAnsi"/>
        </w:rPr>
      </w:pPr>
    </w:p>
    <w:p w:rsidR="00173473" w:rsidRPr="00201F3E" w:rsidRDefault="00EA479D" w:rsidP="0017347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A479D">
        <w:rPr>
          <w:rFonts w:asciiTheme="minorHAnsi" w:hAnsiTheme="minorHAnsi"/>
        </w:rPr>
        <w:t>redsjednik Uprave Ine</w:t>
      </w:r>
      <w:r>
        <w:rPr>
          <w:rFonts w:asciiTheme="minorHAnsi" w:hAnsiTheme="minorHAnsi"/>
        </w:rPr>
        <w:t xml:space="preserve"> g</w:t>
      </w:r>
      <w:r w:rsidRPr="00EA479D">
        <w:rPr>
          <w:rFonts w:asciiTheme="minorHAnsi" w:hAnsiTheme="minorHAnsi"/>
        </w:rPr>
        <w:t>ospodin Zoltán Áldott</w:t>
      </w:r>
      <w:r>
        <w:rPr>
          <w:rFonts w:asciiTheme="minorHAnsi" w:hAnsiTheme="minorHAnsi"/>
        </w:rPr>
        <w:t xml:space="preserve"> rekao je da je I</w:t>
      </w:r>
      <w:r w:rsidR="00173473" w:rsidRPr="00173473">
        <w:rPr>
          <w:rFonts w:asciiTheme="minorHAnsi" w:hAnsiTheme="minorHAnsi"/>
        </w:rPr>
        <w:t>nin operativni rezultat u prv</w:t>
      </w:r>
      <w:r>
        <w:rPr>
          <w:rFonts w:asciiTheme="minorHAnsi" w:hAnsiTheme="minorHAnsi"/>
        </w:rPr>
        <w:t>om polugodištu 2015. značajno</w:t>
      </w:r>
      <w:r w:rsidR="00173473" w:rsidRPr="00173473">
        <w:rPr>
          <w:rFonts w:asciiTheme="minorHAnsi" w:hAnsiTheme="minorHAnsi"/>
        </w:rPr>
        <w:t xml:space="preserve"> poboljšan unatoč velikom padu cijena sirove nafte. Ukupna </w:t>
      </w:r>
      <w:r w:rsidR="00173473" w:rsidRPr="00173473">
        <w:rPr>
          <w:rFonts w:asciiTheme="minorHAnsi" w:hAnsiTheme="minorHAnsi"/>
        </w:rPr>
        <w:lastRenderedPageBreak/>
        <w:t xml:space="preserve">proizvodnja ugljikovodika porasla je za 6 posto, dok je domaća proizvodnja nafte povećana gotovo 20 posto. Na ukupne rezultate Segmenta </w:t>
      </w:r>
      <w:r w:rsidR="00201F3E">
        <w:rPr>
          <w:rFonts w:asciiTheme="minorHAnsi" w:hAnsiTheme="minorHAnsi"/>
        </w:rPr>
        <w:t>Istraživanja i P</w:t>
      </w:r>
      <w:r w:rsidR="00173473" w:rsidRPr="00173473">
        <w:rPr>
          <w:rFonts w:asciiTheme="minorHAnsi" w:hAnsiTheme="minorHAnsi"/>
        </w:rPr>
        <w:t>roizvodnje negativno je utjecao pad ostvarenih cijena, iako</w:t>
      </w:r>
      <w:r w:rsidR="00201F3E">
        <w:rPr>
          <w:rFonts w:asciiTheme="minorHAnsi" w:hAnsiTheme="minorHAnsi"/>
        </w:rPr>
        <w:t xml:space="preserve"> je</w:t>
      </w:r>
      <w:r w:rsidR="00173473" w:rsidRPr="00173473">
        <w:rPr>
          <w:rFonts w:asciiTheme="minorHAnsi" w:hAnsiTheme="minorHAnsi"/>
        </w:rPr>
        <w:t xml:space="preserve"> donekle kompenziran jačanjem dolara. U promijenjenom cjenovnom </w:t>
      </w:r>
      <w:r w:rsidR="00173473" w:rsidRPr="00201F3E">
        <w:rPr>
          <w:rFonts w:asciiTheme="minorHAnsi" w:hAnsiTheme="minorHAnsi"/>
        </w:rPr>
        <w:t xml:space="preserve">okruženju, rezultat Segmenta Rafinerija i Marketinga značajno je bolji, iako i dalje stvara gubitke. </w:t>
      </w:r>
      <w:r w:rsidR="00201F3E" w:rsidRPr="00201F3E">
        <w:rPr>
          <w:rFonts w:asciiTheme="minorHAnsi" w:hAnsiTheme="minorHAnsi"/>
        </w:rPr>
        <w:t xml:space="preserve">Rast proizvodnje za tri posto i prodaje za četiri posto te smanjenje vlastite potrošnje pozitivno su utjecali na smanjenje gubitka. </w:t>
      </w:r>
      <w:r w:rsidR="00173473" w:rsidRPr="00201F3E">
        <w:rPr>
          <w:rFonts w:asciiTheme="minorHAnsi" w:hAnsiTheme="minorHAnsi"/>
        </w:rPr>
        <w:t>Unatoč svemu, optimizacija rafinerijskog i maloprodajnog poslovanja ostaje zadatak za Upravu Ine kako bi se osigurala dugoročna održivost poslovanja. Maloprodaja je i dalje stabilna te je obilježena padom prodaje benzina i povećanjem u prodaji dizelskih goriva, potvrđujući trend „</w:t>
      </w:r>
      <w:proofErr w:type="spellStart"/>
      <w:r w:rsidR="00173473" w:rsidRPr="00201F3E">
        <w:rPr>
          <w:rFonts w:asciiTheme="minorHAnsi" w:hAnsiTheme="minorHAnsi"/>
        </w:rPr>
        <w:t>dizelizacije</w:t>
      </w:r>
      <w:proofErr w:type="spellEnd"/>
      <w:r w:rsidR="00173473" w:rsidRPr="00201F3E">
        <w:rPr>
          <w:rFonts w:asciiTheme="minorHAnsi" w:hAnsiTheme="minorHAnsi"/>
        </w:rPr>
        <w:t>“.</w:t>
      </w:r>
    </w:p>
    <w:p w:rsidR="00173473" w:rsidRPr="00201F3E" w:rsidRDefault="00173473" w:rsidP="00173473">
      <w:pPr>
        <w:spacing w:line="360" w:lineRule="auto"/>
        <w:jc w:val="both"/>
        <w:rPr>
          <w:rFonts w:asciiTheme="minorHAnsi" w:hAnsiTheme="minorHAnsi"/>
        </w:rPr>
      </w:pPr>
      <w:r w:rsidRPr="00201F3E">
        <w:rPr>
          <w:rFonts w:asciiTheme="minorHAnsi" w:hAnsiTheme="minorHAnsi"/>
        </w:rPr>
        <w:t xml:space="preserve"> </w:t>
      </w:r>
    </w:p>
    <w:p w:rsidR="00564017" w:rsidRPr="006E2701" w:rsidRDefault="00EA479D" w:rsidP="0017347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201F3E" w:rsidRPr="00201F3E">
        <w:rPr>
          <w:rFonts w:asciiTheme="minorHAnsi" w:hAnsiTheme="minorHAnsi"/>
        </w:rPr>
        <w:t>Ulaganja ostaju snažna i iznose preko pola milijarde kuna, budući da nismo smanjivali svoje investicijske projekte koji su se pokazali otpornima u aktualnom okruženju</w:t>
      </w:r>
      <w:r>
        <w:rPr>
          <w:rFonts w:asciiTheme="minorHAnsi" w:hAnsiTheme="minorHAnsi"/>
        </w:rPr>
        <w:t xml:space="preserve">“, izjavio je gospodin </w:t>
      </w:r>
      <w:r w:rsidRPr="00EA479D">
        <w:rPr>
          <w:rFonts w:asciiTheme="minorHAnsi" w:hAnsiTheme="minorHAnsi"/>
        </w:rPr>
        <w:t>Áldott</w:t>
      </w:r>
      <w:r>
        <w:rPr>
          <w:rFonts w:asciiTheme="minorHAnsi" w:hAnsiTheme="minorHAnsi"/>
        </w:rPr>
        <w:t>.</w:t>
      </w:r>
    </w:p>
    <w:p w:rsidR="006E2701" w:rsidRPr="006E2701" w:rsidRDefault="006E2701" w:rsidP="006E2701">
      <w:pPr>
        <w:spacing w:line="360" w:lineRule="auto"/>
        <w:jc w:val="both"/>
        <w:rPr>
          <w:rFonts w:asciiTheme="minorHAnsi" w:hAnsiTheme="minorHAnsi"/>
        </w:rPr>
      </w:pPr>
    </w:p>
    <w:p w:rsidR="00564017" w:rsidRPr="006E2701" w:rsidRDefault="00F81F4A" w:rsidP="00564017">
      <w:pPr>
        <w:spacing w:line="360" w:lineRule="auto"/>
        <w:jc w:val="both"/>
        <w:rPr>
          <w:rFonts w:asciiTheme="minorHAnsi" w:hAnsiTheme="minorHAnsi"/>
        </w:rPr>
      </w:pPr>
      <w:hyperlink r:id="rId12" w:history="1">
        <w:r w:rsidR="005A2CFF" w:rsidRPr="005A2CFF">
          <w:rPr>
            <w:rStyle w:val="Hyperlink"/>
            <w:rFonts w:asciiTheme="minorHAnsi" w:hAnsiTheme="minorHAnsi"/>
          </w:rPr>
          <w:t>Video i</w:t>
        </w:r>
        <w:r w:rsidR="0081512A" w:rsidRPr="005A2CFF">
          <w:rPr>
            <w:rStyle w:val="Hyperlink"/>
            <w:rFonts w:asciiTheme="minorHAnsi" w:hAnsiTheme="minorHAnsi"/>
          </w:rPr>
          <w:t>zjava predsjednika Uprave Ine</w:t>
        </w:r>
      </w:hyperlink>
      <w:r w:rsidR="00564017" w:rsidRPr="006E2701">
        <w:rPr>
          <w:rFonts w:asciiTheme="minorHAnsi" w:hAnsiTheme="minorHAnsi"/>
        </w:rPr>
        <w:t xml:space="preserve"> </w:t>
      </w:r>
    </w:p>
    <w:p w:rsidR="00E11167" w:rsidRPr="006E2701" w:rsidRDefault="00E11167" w:rsidP="00E11167">
      <w:pPr>
        <w:spacing w:line="360" w:lineRule="auto"/>
        <w:jc w:val="both"/>
        <w:rPr>
          <w:rFonts w:asciiTheme="minorHAnsi" w:hAnsiTheme="minorHAnsi"/>
        </w:rPr>
      </w:pPr>
    </w:p>
    <w:p w:rsidR="00E11167" w:rsidRPr="006E2701" w:rsidRDefault="00E11167" w:rsidP="00E11167">
      <w:pPr>
        <w:spacing w:line="360" w:lineRule="auto"/>
        <w:jc w:val="both"/>
        <w:rPr>
          <w:rFonts w:asciiTheme="minorHAnsi" w:hAnsiTheme="minorHAnsi"/>
        </w:rPr>
      </w:pPr>
    </w:p>
    <w:p w:rsidR="00E11167" w:rsidRDefault="00E11167" w:rsidP="00E11167">
      <w:pPr>
        <w:spacing w:line="360" w:lineRule="auto"/>
        <w:rPr>
          <w:rFonts w:asciiTheme="minorHAnsi" w:hAnsiTheme="minorHAnsi"/>
        </w:rPr>
      </w:pPr>
    </w:p>
    <w:p w:rsidR="00173473" w:rsidRPr="006E2701" w:rsidRDefault="00173473" w:rsidP="00E11167">
      <w:pPr>
        <w:spacing w:line="360" w:lineRule="auto"/>
        <w:rPr>
          <w:rFonts w:asciiTheme="minorHAnsi" w:hAnsiTheme="minorHAnsi"/>
        </w:rPr>
      </w:pPr>
    </w:p>
    <w:p w:rsidR="00E11167" w:rsidRDefault="00E11167" w:rsidP="00E11167">
      <w:pPr>
        <w:spacing w:line="360" w:lineRule="auto"/>
        <w:rPr>
          <w:rFonts w:asciiTheme="minorHAnsi" w:hAnsiTheme="minorHAnsi"/>
        </w:rPr>
      </w:pPr>
    </w:p>
    <w:p w:rsidR="00233A10" w:rsidRDefault="00233A10" w:rsidP="00E11167">
      <w:pPr>
        <w:spacing w:line="360" w:lineRule="auto"/>
        <w:rPr>
          <w:rFonts w:asciiTheme="minorHAnsi" w:hAnsiTheme="minorHAnsi"/>
        </w:rPr>
      </w:pPr>
    </w:p>
    <w:p w:rsidR="00233A10" w:rsidRDefault="00233A10" w:rsidP="00E11167">
      <w:pPr>
        <w:spacing w:line="360" w:lineRule="auto"/>
        <w:rPr>
          <w:rFonts w:asciiTheme="minorHAnsi" w:hAnsiTheme="minorHAnsi"/>
        </w:rPr>
      </w:pPr>
    </w:p>
    <w:p w:rsidR="00665AD9" w:rsidRDefault="00665AD9" w:rsidP="00E11167">
      <w:pPr>
        <w:spacing w:line="360" w:lineRule="auto"/>
        <w:rPr>
          <w:rFonts w:asciiTheme="minorHAnsi" w:hAnsiTheme="minorHAnsi"/>
        </w:rPr>
      </w:pPr>
    </w:p>
    <w:p w:rsidR="00665AD9" w:rsidRDefault="00665AD9" w:rsidP="00E11167">
      <w:pPr>
        <w:spacing w:line="360" w:lineRule="auto"/>
        <w:rPr>
          <w:rFonts w:asciiTheme="minorHAnsi" w:hAnsiTheme="minorHAnsi"/>
        </w:rPr>
      </w:pPr>
      <w:bookmarkStart w:id="1" w:name="_GoBack"/>
      <w:bookmarkEnd w:id="1"/>
    </w:p>
    <w:p w:rsidR="0060641A" w:rsidRDefault="0060641A" w:rsidP="00E11167">
      <w:pPr>
        <w:spacing w:line="360" w:lineRule="auto"/>
        <w:rPr>
          <w:rFonts w:asciiTheme="minorHAnsi" w:hAnsiTheme="minorHAnsi"/>
        </w:rPr>
      </w:pPr>
    </w:p>
    <w:p w:rsidR="00E11167" w:rsidRPr="006E2701" w:rsidRDefault="0081512A" w:rsidP="00E11167">
      <w:pPr>
        <w:spacing w:line="360" w:lineRule="auto"/>
        <w:jc w:val="center"/>
        <w:rPr>
          <w:rFonts w:asciiTheme="minorHAnsi" w:hAnsiTheme="minorHAnsi"/>
          <w:b/>
        </w:rPr>
      </w:pPr>
      <w:r w:rsidRPr="006E2701">
        <w:rPr>
          <w:rFonts w:asciiTheme="minorHAnsi" w:hAnsiTheme="minorHAnsi"/>
          <w:b/>
        </w:rPr>
        <w:lastRenderedPageBreak/>
        <w:t>Pregled operativnih rezultata</w:t>
      </w:r>
    </w:p>
    <w:p w:rsidR="00E11167" w:rsidRPr="006E2701" w:rsidRDefault="00E11167" w:rsidP="00E11167">
      <w:pPr>
        <w:spacing w:line="360" w:lineRule="auto"/>
        <w:rPr>
          <w:rFonts w:asciiTheme="minorHAnsi" w:hAnsiTheme="minorHAnsi"/>
        </w:rPr>
      </w:pPr>
    </w:p>
    <w:p w:rsidR="00E11167" w:rsidRPr="006E2701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EBITDA INA Grupe dosegnula je </w:t>
      </w:r>
      <w:r w:rsidR="00B64A28" w:rsidRPr="006E2701">
        <w:rPr>
          <w:rFonts w:asciiTheme="minorHAnsi" w:hAnsiTheme="minorHAnsi"/>
        </w:rPr>
        <w:t>1</w:t>
      </w:r>
      <w:r w:rsidR="00034329">
        <w:rPr>
          <w:rFonts w:asciiTheme="minorHAnsi" w:hAnsiTheme="minorHAnsi"/>
        </w:rPr>
        <w:t>.</w:t>
      </w:r>
      <w:r w:rsidR="00B64A28" w:rsidRPr="006E2701">
        <w:rPr>
          <w:rFonts w:asciiTheme="minorHAnsi" w:hAnsiTheme="minorHAnsi"/>
        </w:rPr>
        <w:t>511</w:t>
      </w:r>
      <w:r w:rsidR="00E11167" w:rsidRPr="006E2701">
        <w:rPr>
          <w:rFonts w:asciiTheme="minorHAnsi" w:hAnsiTheme="minorHAnsi"/>
        </w:rPr>
        <w:t xml:space="preserve"> </w:t>
      </w:r>
      <w:r w:rsidRPr="006E2701">
        <w:rPr>
          <w:rFonts w:asciiTheme="minorHAnsi" w:hAnsiTheme="minorHAnsi"/>
        </w:rPr>
        <w:t>milij</w:t>
      </w:r>
      <w:r w:rsidR="00034329">
        <w:rPr>
          <w:rFonts w:asciiTheme="minorHAnsi" w:hAnsiTheme="minorHAnsi"/>
        </w:rPr>
        <w:t>una</w:t>
      </w:r>
      <w:r w:rsidRPr="006E2701">
        <w:rPr>
          <w:rFonts w:asciiTheme="minorHAnsi" w:hAnsiTheme="minorHAnsi"/>
        </w:rPr>
        <w:t xml:space="preserve"> kuna</w:t>
      </w:r>
      <w:r w:rsidR="00E11167" w:rsidRPr="006E2701">
        <w:rPr>
          <w:rFonts w:asciiTheme="minorHAnsi" w:hAnsiTheme="minorHAnsi"/>
        </w:rPr>
        <w:t>.</w:t>
      </w:r>
    </w:p>
    <w:p w:rsidR="00E11167" w:rsidRPr="006E2701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Operativna dobit iznosila je </w:t>
      </w:r>
      <w:r w:rsidR="00B64A28" w:rsidRPr="006E2701">
        <w:rPr>
          <w:rFonts w:asciiTheme="minorHAnsi" w:hAnsiTheme="minorHAnsi"/>
        </w:rPr>
        <w:t>714</w:t>
      </w:r>
      <w:r w:rsidR="00E11167" w:rsidRPr="006E2701">
        <w:rPr>
          <w:rFonts w:asciiTheme="minorHAnsi" w:hAnsiTheme="minorHAnsi"/>
        </w:rPr>
        <w:t xml:space="preserve"> </w:t>
      </w:r>
      <w:r w:rsidRPr="006E2701">
        <w:rPr>
          <w:rFonts w:asciiTheme="minorHAnsi" w:hAnsiTheme="minorHAnsi"/>
        </w:rPr>
        <w:t>milijuna kuna</w:t>
      </w:r>
      <w:r w:rsidR="00E11167" w:rsidRPr="006E2701">
        <w:rPr>
          <w:rFonts w:asciiTheme="minorHAnsi" w:hAnsiTheme="minorHAnsi"/>
        </w:rPr>
        <w:t>.</w:t>
      </w:r>
    </w:p>
    <w:p w:rsidR="00E11167" w:rsidRPr="006E2701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>Ostvarena je neto dobit od 328 milijuna kuna</w:t>
      </w:r>
      <w:r w:rsidR="00E11167" w:rsidRPr="006E2701">
        <w:rPr>
          <w:rFonts w:asciiTheme="minorHAnsi" w:hAnsiTheme="minorHAnsi"/>
        </w:rPr>
        <w:t>.</w:t>
      </w:r>
    </w:p>
    <w:p w:rsidR="00E11167" w:rsidRPr="006E2701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>Uloženo je ukupno 549 milijuna kuna</w:t>
      </w:r>
      <w:r w:rsidR="00E11167" w:rsidRPr="006E2701">
        <w:rPr>
          <w:rFonts w:asciiTheme="minorHAnsi" w:hAnsiTheme="minorHAnsi"/>
        </w:rPr>
        <w:t>.</w:t>
      </w:r>
    </w:p>
    <w:p w:rsidR="00E11167" w:rsidRPr="006E2701" w:rsidRDefault="00E11167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>Net</w:t>
      </w:r>
      <w:r w:rsidR="0081512A" w:rsidRPr="006E2701">
        <w:rPr>
          <w:rFonts w:asciiTheme="minorHAnsi" w:hAnsiTheme="minorHAnsi"/>
        </w:rPr>
        <w:t>o dug smanjen je za 14 posto.</w:t>
      </w:r>
    </w:p>
    <w:p w:rsidR="00E11167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Zabilježeno je povećanje proizvodnje sirove nafte od </w:t>
      </w:r>
      <w:r w:rsidR="00B64A28" w:rsidRPr="006E2701">
        <w:rPr>
          <w:rFonts w:asciiTheme="minorHAnsi" w:hAnsiTheme="minorHAnsi"/>
        </w:rPr>
        <w:t>14</w:t>
      </w:r>
      <w:r w:rsidRPr="006E2701">
        <w:rPr>
          <w:rFonts w:asciiTheme="minorHAnsi" w:hAnsiTheme="minorHAnsi"/>
        </w:rPr>
        <w:t xml:space="preserve"> posto</w:t>
      </w:r>
      <w:r w:rsidR="00E11167" w:rsidRPr="006E2701">
        <w:rPr>
          <w:rFonts w:asciiTheme="minorHAnsi" w:hAnsiTheme="minorHAnsi"/>
        </w:rPr>
        <w:t>.</w:t>
      </w:r>
    </w:p>
    <w:p w:rsidR="006C666E" w:rsidRPr="006E2701" w:rsidRDefault="006C666E" w:rsidP="006C666E">
      <w:pPr>
        <w:pStyle w:val="ListParagraph"/>
        <w:spacing w:line="360" w:lineRule="auto"/>
        <w:rPr>
          <w:rFonts w:asciiTheme="minorHAnsi" w:hAnsiTheme="minorHAnsi"/>
        </w:rPr>
      </w:pPr>
    </w:p>
    <w:p w:rsidR="007F5C60" w:rsidRPr="006E2701" w:rsidRDefault="007F5C60" w:rsidP="00A25916">
      <w:pPr>
        <w:spacing w:line="360" w:lineRule="auto"/>
        <w:jc w:val="center"/>
        <w:rPr>
          <w:rFonts w:asciiTheme="minorHAnsi" w:hAnsiTheme="minorHAnsi"/>
        </w:rPr>
      </w:pPr>
      <w:r w:rsidRPr="006E2701">
        <w:rPr>
          <w:noProof/>
          <w:lang w:eastAsia="hr-HR"/>
        </w:rPr>
        <w:drawing>
          <wp:inline distT="0" distB="0" distL="0" distR="0" wp14:anchorId="57378424" wp14:editId="47A4BD15">
            <wp:extent cx="2886075" cy="20478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5C60" w:rsidRPr="006E2701" w:rsidRDefault="007F5C60" w:rsidP="00A25916">
      <w:pPr>
        <w:jc w:val="center"/>
        <w:rPr>
          <w:rFonts w:ascii="Calibri" w:hAnsi="Calibri"/>
          <w:b/>
          <w:bCs/>
          <w:color w:val="003F87"/>
          <w:sz w:val="28"/>
          <w:szCs w:val="28"/>
          <w:lang w:eastAsia="hr-HR"/>
        </w:rPr>
      </w:pPr>
      <w:r w:rsidRPr="006E2701">
        <w:rPr>
          <w:noProof/>
          <w:lang w:eastAsia="hr-HR"/>
        </w:rPr>
        <w:drawing>
          <wp:inline distT="0" distB="0" distL="0" distR="0" wp14:anchorId="697C17AD" wp14:editId="603941D1">
            <wp:extent cx="3000375" cy="2119313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1167" w:rsidRPr="006E2701" w:rsidRDefault="0081512A" w:rsidP="00E11167">
      <w:pPr>
        <w:pStyle w:val="ListParagraph"/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                                          Hrvatska</w:t>
      </w:r>
      <w:r w:rsidRPr="006E2701">
        <w:rPr>
          <w:rFonts w:asciiTheme="minorHAnsi" w:hAnsiTheme="minorHAnsi"/>
        </w:rPr>
        <w:tab/>
      </w:r>
      <w:r w:rsidRPr="006E2701">
        <w:rPr>
          <w:rFonts w:asciiTheme="minorHAnsi" w:hAnsiTheme="minorHAnsi"/>
        </w:rPr>
        <w:tab/>
        <w:t>inozemstvo</w:t>
      </w:r>
    </w:p>
    <w:p w:rsidR="00A02E91" w:rsidRDefault="00A02E91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B64A28" w:rsidRPr="006E2701" w:rsidRDefault="0081512A" w:rsidP="00E11167">
      <w:p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  <w:b/>
        </w:rPr>
        <w:t>Istraživanje i proizvodn</w:t>
      </w:r>
      <w:r w:rsidR="00E524BC" w:rsidRPr="006E2701">
        <w:rPr>
          <w:rFonts w:asciiTheme="minorHAnsi" w:hAnsiTheme="minorHAnsi"/>
          <w:b/>
        </w:rPr>
        <w:t>j</w:t>
      </w:r>
      <w:r w:rsidRPr="006E2701">
        <w:rPr>
          <w:rFonts w:asciiTheme="minorHAnsi" w:hAnsiTheme="minorHAnsi"/>
          <w:b/>
        </w:rPr>
        <w:t>a nafte i plina</w:t>
      </w:r>
      <w:r w:rsidR="00746587" w:rsidRPr="006E2701">
        <w:rPr>
          <w:rFonts w:asciiTheme="minorHAnsi" w:hAnsiTheme="minorHAnsi"/>
          <w:b/>
        </w:rPr>
        <w:t xml:space="preserve"> –</w:t>
      </w:r>
      <w:r w:rsidR="00E11167" w:rsidRPr="006E2701">
        <w:rPr>
          <w:rFonts w:asciiTheme="minorHAnsi" w:hAnsiTheme="minorHAnsi"/>
        </w:rPr>
        <w:t xml:space="preserve"> </w:t>
      </w:r>
      <w:r w:rsidRPr="006E2701">
        <w:rPr>
          <w:rFonts w:asciiTheme="minorHAnsi" w:hAnsiTheme="minorHAnsi"/>
        </w:rPr>
        <w:t>U prvom polugod</w:t>
      </w:r>
      <w:r w:rsidR="00034329">
        <w:rPr>
          <w:rFonts w:asciiTheme="minorHAnsi" w:hAnsiTheme="minorHAnsi"/>
        </w:rPr>
        <w:t>ištu 2015. EBITDA je iznosila 1.635 milijuna</w:t>
      </w:r>
      <w:r w:rsidRPr="006E2701">
        <w:rPr>
          <w:rFonts w:asciiTheme="minorHAnsi" w:hAnsiTheme="minorHAnsi"/>
        </w:rPr>
        <w:t xml:space="preserve"> kuna. U usporedbi s istim razdobljem 2014., pad cijene </w:t>
      </w:r>
      <w:proofErr w:type="spellStart"/>
      <w:r w:rsidRPr="006E2701">
        <w:rPr>
          <w:rFonts w:asciiTheme="minorHAnsi" w:hAnsiTheme="minorHAnsi"/>
        </w:rPr>
        <w:t>Brent</w:t>
      </w:r>
      <w:proofErr w:type="spellEnd"/>
      <w:r w:rsidRPr="006E2701">
        <w:rPr>
          <w:rFonts w:asciiTheme="minorHAnsi" w:hAnsiTheme="minorHAnsi"/>
        </w:rPr>
        <w:t xml:space="preserve"> nafte imao je značaja</w:t>
      </w:r>
      <w:r w:rsidR="00922C22">
        <w:rPr>
          <w:rFonts w:asciiTheme="minorHAnsi" w:hAnsiTheme="minorHAnsi"/>
        </w:rPr>
        <w:t>n</w:t>
      </w:r>
      <w:r w:rsidRPr="006E2701">
        <w:rPr>
          <w:rFonts w:asciiTheme="minorHAnsi" w:hAnsiTheme="minorHAnsi"/>
        </w:rPr>
        <w:t xml:space="preserve"> negativni učinak na rezultat. Osim toga, prethodno spomenute negativne regulatorne odluke</w:t>
      </w:r>
      <w:r w:rsidR="00E524BC" w:rsidRPr="006E2701">
        <w:rPr>
          <w:rFonts w:asciiTheme="minorHAnsi" w:hAnsiTheme="minorHAnsi"/>
        </w:rPr>
        <w:t>, odnosno smanjena cijena plina za kućanstva i povećane naknade</w:t>
      </w:r>
      <w:r w:rsidR="009D307C">
        <w:rPr>
          <w:rFonts w:asciiTheme="minorHAnsi" w:hAnsiTheme="minorHAnsi"/>
        </w:rPr>
        <w:t xml:space="preserve"> za eksploataciju</w:t>
      </w:r>
      <w:r w:rsidR="00E524BC" w:rsidRPr="006E2701">
        <w:rPr>
          <w:rFonts w:asciiTheme="minorHAnsi" w:hAnsiTheme="minorHAnsi"/>
        </w:rPr>
        <w:t>,</w:t>
      </w:r>
      <w:r w:rsidRPr="006E2701">
        <w:rPr>
          <w:rFonts w:asciiTheme="minorHAnsi" w:hAnsiTheme="minorHAnsi"/>
        </w:rPr>
        <w:t xml:space="preserve"> i dalje predstavljaju teret za poslovanje</w:t>
      </w:r>
      <w:r w:rsidR="00E524BC" w:rsidRPr="006E2701">
        <w:rPr>
          <w:rFonts w:asciiTheme="minorHAnsi" w:hAnsiTheme="minorHAnsi"/>
        </w:rPr>
        <w:t>. Značajno povećana ukupna proizvodnja, ostvarena zahvaljujući porastu domaće i inozemne pr</w:t>
      </w:r>
      <w:r w:rsidR="009D307C">
        <w:rPr>
          <w:rFonts w:asciiTheme="minorHAnsi" w:hAnsiTheme="minorHAnsi"/>
        </w:rPr>
        <w:t xml:space="preserve">oizvodnje sirove nafte, </w:t>
      </w:r>
      <w:r w:rsidR="00E524BC" w:rsidRPr="006E2701">
        <w:rPr>
          <w:rFonts w:asciiTheme="minorHAnsi" w:hAnsiTheme="minorHAnsi"/>
        </w:rPr>
        <w:t>k</w:t>
      </w:r>
      <w:r w:rsidR="009D307C">
        <w:rPr>
          <w:rFonts w:asciiTheme="minorHAnsi" w:hAnsiTheme="minorHAnsi"/>
        </w:rPr>
        <w:t>a</w:t>
      </w:r>
      <w:r w:rsidR="00E524BC" w:rsidRPr="006E2701">
        <w:rPr>
          <w:rFonts w:asciiTheme="minorHAnsi" w:hAnsiTheme="minorHAnsi"/>
        </w:rPr>
        <w:t>o i većo</w:t>
      </w:r>
      <w:r w:rsidR="009D307C">
        <w:rPr>
          <w:rFonts w:asciiTheme="minorHAnsi" w:hAnsiTheme="minorHAnsi"/>
        </w:rPr>
        <w:t>m</w:t>
      </w:r>
      <w:r w:rsidR="00E524BC" w:rsidRPr="006E2701">
        <w:rPr>
          <w:rFonts w:asciiTheme="minorHAnsi" w:hAnsiTheme="minorHAnsi"/>
        </w:rPr>
        <w:t xml:space="preserve"> proizvodnjom prirodnog plina iz </w:t>
      </w:r>
      <w:r w:rsidR="009762D1">
        <w:rPr>
          <w:rFonts w:asciiTheme="minorHAnsi" w:hAnsiTheme="minorHAnsi"/>
        </w:rPr>
        <w:t>podmorja</w:t>
      </w:r>
      <w:r w:rsidR="00E524BC" w:rsidRPr="006E2701">
        <w:rPr>
          <w:rFonts w:asciiTheme="minorHAnsi" w:hAnsiTheme="minorHAnsi"/>
        </w:rPr>
        <w:t xml:space="preserve"> u usporedbi s prvim polugodištem 2014., djelomično je ublažila negativne čimbenike. </w:t>
      </w:r>
      <w:r w:rsidRPr="006E2701">
        <w:rPr>
          <w:rFonts w:asciiTheme="minorHAnsi" w:hAnsiTheme="minorHAnsi"/>
        </w:rPr>
        <w:t xml:space="preserve"> </w:t>
      </w:r>
    </w:p>
    <w:p w:rsidR="00E11167" w:rsidRPr="006E2701" w:rsidRDefault="00E11167" w:rsidP="00E11167">
      <w:pPr>
        <w:spacing w:line="360" w:lineRule="auto"/>
        <w:rPr>
          <w:rFonts w:asciiTheme="minorHAnsi" w:hAnsiTheme="minorHAnsi"/>
        </w:rPr>
      </w:pPr>
    </w:p>
    <w:p w:rsidR="00E11167" w:rsidRPr="006E2701" w:rsidRDefault="00E11167" w:rsidP="00E1116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6% </w:t>
      </w:r>
      <w:r w:rsidR="00E524BC" w:rsidRPr="006E2701">
        <w:rPr>
          <w:rFonts w:asciiTheme="minorHAnsi" w:hAnsiTheme="minorHAnsi"/>
        </w:rPr>
        <w:t xml:space="preserve">povećanje proizvodnje ugljikovodika, podržano osobito snažnim povećanjem domaće proizvodnje sirove nafte od 19 posto u usporedbi s prvih šest mjeseci 2014. </w:t>
      </w:r>
    </w:p>
    <w:p w:rsidR="00E11167" w:rsidRPr="006E2701" w:rsidRDefault="00E11167" w:rsidP="00E1116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CAPEX </w:t>
      </w:r>
      <w:r w:rsidR="00E524BC" w:rsidRPr="006E2701">
        <w:rPr>
          <w:rFonts w:asciiTheme="minorHAnsi" w:hAnsiTheme="minorHAnsi"/>
        </w:rPr>
        <w:t xml:space="preserve">na razini </w:t>
      </w:r>
      <w:r w:rsidR="00746587" w:rsidRPr="006E2701">
        <w:rPr>
          <w:rFonts w:asciiTheme="minorHAnsi" w:hAnsiTheme="minorHAnsi"/>
        </w:rPr>
        <w:t>3</w:t>
      </w:r>
      <w:r w:rsidR="00E524BC" w:rsidRPr="006E2701">
        <w:rPr>
          <w:rFonts w:asciiTheme="minorHAnsi" w:hAnsiTheme="minorHAnsi"/>
        </w:rPr>
        <w:t>3</w:t>
      </w:r>
      <w:r w:rsidR="00746587" w:rsidRPr="006E2701">
        <w:rPr>
          <w:rFonts w:asciiTheme="minorHAnsi" w:hAnsiTheme="minorHAnsi"/>
        </w:rPr>
        <w:t>5</w:t>
      </w:r>
      <w:r w:rsidR="00E524BC" w:rsidRPr="006E2701">
        <w:rPr>
          <w:rFonts w:asciiTheme="minorHAnsi" w:hAnsiTheme="minorHAnsi"/>
        </w:rPr>
        <w:t xml:space="preserve"> milijuna kuna</w:t>
      </w:r>
      <w:r w:rsidRPr="006E2701">
        <w:rPr>
          <w:rFonts w:asciiTheme="minorHAnsi" w:hAnsiTheme="minorHAnsi"/>
        </w:rPr>
        <w:t>.</w:t>
      </w:r>
      <w:r w:rsidR="00E524BC" w:rsidRPr="006E2701">
        <w:rPr>
          <w:rFonts w:asciiTheme="minorHAnsi" w:hAnsiTheme="minorHAnsi"/>
        </w:rPr>
        <w:t xml:space="preserve"> Kapitalna ulaganja u Hrvatskoj u iznosu od 252 milijuna kuna, a u inozemstvo 83 milijuna kuna</w:t>
      </w:r>
      <w:r w:rsidRPr="006E2701">
        <w:rPr>
          <w:rFonts w:asciiTheme="minorHAnsi" w:hAnsiTheme="minorHAnsi"/>
        </w:rPr>
        <w:t>.</w:t>
      </w:r>
    </w:p>
    <w:p w:rsidR="00E11167" w:rsidRPr="006E2701" w:rsidRDefault="00E524BC" w:rsidP="00E11167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MS PGothic" w:hAnsiTheme="minorHAnsi"/>
        </w:rPr>
      </w:pPr>
      <w:r w:rsidRPr="006E2701">
        <w:rPr>
          <w:rFonts w:asciiTheme="minorHAnsi" w:hAnsiTheme="minorHAnsi"/>
        </w:rPr>
        <w:t xml:space="preserve">Porast ukupne proizvodnje prirodnog plina u prvoj polovici 2015. od 4% u odnosu na isto razdoblje 2014. </w:t>
      </w:r>
    </w:p>
    <w:p w:rsidR="00E11167" w:rsidRPr="006E2701" w:rsidRDefault="00E11167" w:rsidP="00E11167">
      <w:pPr>
        <w:spacing w:line="360" w:lineRule="auto"/>
        <w:rPr>
          <w:rFonts w:asciiTheme="minorHAnsi" w:eastAsiaTheme="minorHAnsi" w:hAnsiTheme="minorHAnsi"/>
        </w:rPr>
      </w:pPr>
      <w:r w:rsidRPr="006E2701">
        <w:rPr>
          <w:rFonts w:asciiTheme="minorHAnsi" w:eastAsia="MS PGothic" w:hAnsiTheme="minorHAnsi"/>
        </w:rPr>
        <w:fldChar w:fldCharType="begin"/>
      </w:r>
      <w:r w:rsidRPr="006E2701">
        <w:rPr>
          <w:rFonts w:asciiTheme="minorHAnsi" w:eastAsia="MS PGothic" w:hAnsiTheme="minorHAnsi"/>
        </w:rPr>
        <w:instrText xml:space="preserve"> LINK Excel.Sheet.12 "C:\\Users\\mbazina\\Desktop\\Q1 2015\\Copy of Press_Y2014_pomoćni_grafovi.xlsx" Eng!R95C1:R96C3 \a \f 4 \h  \* MERGEFORMAT </w:instrText>
      </w:r>
      <w:r w:rsidRPr="006E2701">
        <w:rPr>
          <w:rFonts w:asciiTheme="minorHAnsi" w:eastAsia="MS PGothic" w:hAnsiTheme="minorHAnsi"/>
        </w:rPr>
        <w:fldChar w:fldCharType="separate"/>
      </w:r>
    </w:p>
    <w:p w:rsidR="00A25916" w:rsidRPr="006E2701" w:rsidRDefault="00E11167" w:rsidP="00E11167">
      <w:pPr>
        <w:spacing w:line="360" w:lineRule="auto"/>
        <w:jc w:val="center"/>
        <w:rPr>
          <w:lang w:eastAsia="hr-HR"/>
        </w:rPr>
      </w:pPr>
      <w:r w:rsidRPr="006E2701">
        <w:rPr>
          <w:rFonts w:asciiTheme="minorHAnsi" w:eastAsia="MS PGothic" w:hAnsiTheme="minorHAnsi"/>
        </w:rPr>
        <w:fldChar w:fldCharType="end"/>
      </w:r>
      <w:r w:rsidR="007F5C60" w:rsidRPr="006E2701">
        <w:rPr>
          <w:lang w:eastAsia="hr-HR"/>
        </w:rPr>
        <w:t xml:space="preserve"> </w:t>
      </w:r>
      <w:r w:rsidR="007F5C60" w:rsidRPr="006E2701">
        <w:rPr>
          <w:noProof/>
          <w:lang w:eastAsia="hr-HR"/>
        </w:rPr>
        <w:drawing>
          <wp:inline distT="0" distB="0" distL="0" distR="0" wp14:anchorId="1232C10D" wp14:editId="4B4D78E3">
            <wp:extent cx="3000375" cy="2119313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5916" w:rsidRPr="006E2701" w:rsidRDefault="00A25916" w:rsidP="00E11167">
      <w:pPr>
        <w:spacing w:line="360" w:lineRule="auto"/>
        <w:jc w:val="center"/>
        <w:rPr>
          <w:rFonts w:asciiTheme="minorHAnsi" w:eastAsia="MS PGothic" w:hAnsiTheme="minorHAnsi"/>
        </w:rPr>
      </w:pPr>
      <w:r w:rsidRPr="006E2701">
        <w:rPr>
          <w:noProof/>
          <w:lang w:eastAsia="hr-HR"/>
        </w:rPr>
        <w:lastRenderedPageBreak/>
        <w:drawing>
          <wp:inline distT="0" distB="0" distL="0" distR="0" wp14:anchorId="6493AB92" wp14:editId="041E4A49">
            <wp:extent cx="3000375" cy="2319338"/>
            <wp:effectExtent l="0" t="0" r="0" b="508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1167" w:rsidRDefault="00E524BC" w:rsidP="008E512B">
      <w:p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  <w:b/>
        </w:rPr>
        <w:t>Rafinerije i marketing, uključujući Trgovinu na malo</w:t>
      </w:r>
      <w:r w:rsidR="00746587" w:rsidRPr="006E2701">
        <w:rPr>
          <w:rFonts w:asciiTheme="minorHAnsi" w:hAnsiTheme="minorHAnsi"/>
          <w:b/>
        </w:rPr>
        <w:t xml:space="preserve"> –</w:t>
      </w:r>
      <w:r w:rsidR="00E11167" w:rsidRPr="006E2701">
        <w:rPr>
          <w:rFonts w:asciiTheme="minorHAnsi" w:hAnsiTheme="minorHAnsi"/>
          <w:b/>
        </w:rPr>
        <w:t xml:space="preserve"> </w:t>
      </w:r>
      <w:r w:rsidR="00034329">
        <w:rPr>
          <w:rFonts w:asciiTheme="minorHAnsi" w:hAnsiTheme="minorHAnsi"/>
        </w:rPr>
        <w:t>U prvom polugodištu 2015. čista</w:t>
      </w:r>
      <w:r w:rsidRPr="006E2701">
        <w:rPr>
          <w:rFonts w:asciiTheme="minorHAnsi" w:hAnsiTheme="minorHAnsi"/>
        </w:rPr>
        <w:t xml:space="preserve"> CCS EBITDA iznosila je (2</w:t>
      </w:r>
      <w:r w:rsidR="00034329">
        <w:rPr>
          <w:rFonts w:asciiTheme="minorHAnsi" w:hAnsiTheme="minorHAnsi"/>
        </w:rPr>
        <w:t>2</w:t>
      </w:r>
      <w:r w:rsidRPr="006E2701">
        <w:rPr>
          <w:rFonts w:asciiTheme="minorHAnsi" w:hAnsiTheme="minorHAnsi"/>
        </w:rPr>
        <w:t>) milijuna kuna, dok je ostvarena EBITDA u iznosu od (14</w:t>
      </w:r>
      <w:r w:rsidR="00034329">
        <w:rPr>
          <w:rFonts w:asciiTheme="minorHAnsi" w:hAnsiTheme="minorHAnsi"/>
        </w:rPr>
        <w:t>7</w:t>
      </w:r>
      <w:r w:rsidRPr="006E2701">
        <w:rPr>
          <w:rFonts w:asciiTheme="minorHAnsi" w:hAnsiTheme="minorHAnsi"/>
        </w:rPr>
        <w:t>) milijuna kuna, što je poboljšanje u odnosu na razinu iz istog razdoblja 2014. godine. Taj rezultat ostvaren je zahvaljujući povoljnom vanjskom okruženju, poboljšanim rafinerijskim maržama</w:t>
      </w:r>
      <w:r w:rsidR="008E512B">
        <w:rPr>
          <w:rFonts w:asciiTheme="minorHAnsi" w:hAnsiTheme="minorHAnsi"/>
        </w:rPr>
        <w:t xml:space="preserve"> (rast rafinerijske prerade od tri posto, kao i proizvodnje)</w:t>
      </w:r>
      <w:r w:rsidRPr="006E2701">
        <w:rPr>
          <w:rFonts w:asciiTheme="minorHAnsi" w:hAnsiTheme="minorHAnsi"/>
        </w:rPr>
        <w:t xml:space="preserve">, </w:t>
      </w:r>
      <w:r w:rsidR="008E512B">
        <w:rPr>
          <w:rFonts w:asciiTheme="minorHAnsi" w:hAnsiTheme="minorHAnsi"/>
        </w:rPr>
        <w:t xml:space="preserve">četiri posto </w:t>
      </w:r>
      <w:r w:rsidRPr="006E2701">
        <w:rPr>
          <w:rFonts w:asciiTheme="minorHAnsi" w:hAnsiTheme="minorHAnsi"/>
        </w:rPr>
        <w:t>boljim prodajnim rezultatima, kao i poboljšanom strukturom prodaje te boljom operativnom izvedbom maloprodaje. Stabilno rafinerijsko poslovanje u drugom tromjesečju 2015.</w:t>
      </w:r>
      <w:r w:rsidR="0017036C">
        <w:rPr>
          <w:rFonts w:asciiTheme="minorHAnsi" w:hAnsiTheme="minorHAnsi"/>
        </w:rPr>
        <w:t xml:space="preserve"> i</w:t>
      </w:r>
      <w:r w:rsidRPr="006E2701">
        <w:rPr>
          <w:rFonts w:asciiTheme="minorHAnsi" w:hAnsiTheme="minorHAnsi"/>
        </w:rPr>
        <w:t xml:space="preserve"> </w:t>
      </w:r>
      <w:r w:rsidR="0017036C">
        <w:rPr>
          <w:rFonts w:asciiTheme="minorHAnsi" w:hAnsiTheme="minorHAnsi"/>
        </w:rPr>
        <w:t>povećane marže</w:t>
      </w:r>
      <w:r w:rsidRPr="006E2701">
        <w:rPr>
          <w:rFonts w:asciiTheme="minorHAnsi" w:hAnsiTheme="minorHAnsi"/>
        </w:rPr>
        <w:t xml:space="preserve"> također su doprinijeli ovom rezultatu.  </w:t>
      </w:r>
    </w:p>
    <w:p w:rsidR="007C3367" w:rsidRPr="006E2701" w:rsidRDefault="007C3367" w:rsidP="008E512B">
      <w:pPr>
        <w:spacing w:line="360" w:lineRule="auto"/>
        <w:jc w:val="both"/>
        <w:rPr>
          <w:rFonts w:asciiTheme="minorHAnsi" w:hAnsiTheme="minorHAnsi"/>
        </w:rPr>
      </w:pPr>
    </w:p>
    <w:p w:rsidR="00E11167" w:rsidRPr="006E2701" w:rsidRDefault="00E11167" w:rsidP="00E111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CAPEX </w:t>
      </w:r>
      <w:r w:rsidR="00E524BC" w:rsidRPr="006E2701">
        <w:rPr>
          <w:rFonts w:asciiTheme="minorHAnsi" w:hAnsiTheme="minorHAnsi"/>
        </w:rPr>
        <w:t xml:space="preserve">je na razini 137 milijuna kuna; </w:t>
      </w:r>
      <w:r w:rsidR="00746587" w:rsidRPr="006E2701">
        <w:rPr>
          <w:rFonts w:asciiTheme="minorHAnsi" w:hAnsiTheme="minorHAnsi"/>
        </w:rPr>
        <w:t>100</w:t>
      </w:r>
      <w:r w:rsidR="00E524BC" w:rsidRPr="006E2701">
        <w:rPr>
          <w:rFonts w:asciiTheme="minorHAnsi" w:hAnsiTheme="minorHAnsi"/>
        </w:rPr>
        <w:t xml:space="preserve"> milijuna kuna u segmentu Rafinerije i marketing te 37 milijuna kuna u Trgovini na malo</w:t>
      </w:r>
      <w:r w:rsidRPr="006E2701">
        <w:rPr>
          <w:rFonts w:asciiTheme="minorHAnsi" w:hAnsiTheme="minorHAnsi"/>
        </w:rPr>
        <w:t>.</w:t>
      </w:r>
    </w:p>
    <w:p w:rsidR="00E11167" w:rsidRPr="006E2701" w:rsidRDefault="00E524BC" w:rsidP="00E524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</w:rPr>
        <w:t>Prihodi segmenta</w:t>
      </w:r>
      <w:r w:rsidRPr="006E2701">
        <w:t xml:space="preserve"> </w:t>
      </w:r>
      <w:r w:rsidRPr="006E2701">
        <w:rPr>
          <w:rFonts w:asciiTheme="minorHAnsi" w:hAnsiTheme="minorHAnsi"/>
        </w:rPr>
        <w:t>Rafinerije i marketing, uključujući Trgovinu na malo</w:t>
      </w:r>
      <w:r w:rsidR="00040ABD" w:rsidRPr="006E2701">
        <w:rPr>
          <w:rFonts w:asciiTheme="minorHAnsi" w:hAnsiTheme="minorHAnsi"/>
        </w:rPr>
        <w:t>, iznosili su 7,029 milijardi kuna</w:t>
      </w:r>
      <w:r w:rsidR="00E11167" w:rsidRPr="006E2701">
        <w:rPr>
          <w:rFonts w:asciiTheme="minorHAnsi" w:hAnsiTheme="minorHAnsi"/>
        </w:rPr>
        <w:t>.</w:t>
      </w:r>
    </w:p>
    <w:p w:rsidR="00E11167" w:rsidRPr="006E2701" w:rsidRDefault="00040ABD" w:rsidP="00040A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</w:rPr>
        <w:t xml:space="preserve">Na dan 30. lipnja 2015. INA Grupa upravljala je mrežom od </w:t>
      </w:r>
      <w:r w:rsidR="00746587" w:rsidRPr="006E2701">
        <w:rPr>
          <w:rFonts w:asciiTheme="minorHAnsi" w:hAnsiTheme="minorHAnsi"/>
        </w:rPr>
        <w:t>441</w:t>
      </w:r>
      <w:r w:rsidRPr="006E2701">
        <w:rPr>
          <w:rFonts w:asciiTheme="minorHAnsi" w:hAnsiTheme="minorHAnsi"/>
        </w:rPr>
        <w:t xml:space="preserve"> benzinske postaje</w:t>
      </w:r>
      <w:r w:rsidR="00746587" w:rsidRPr="006E2701">
        <w:rPr>
          <w:rFonts w:asciiTheme="minorHAnsi" w:hAnsiTheme="minorHAnsi"/>
        </w:rPr>
        <w:t xml:space="preserve"> (391 </w:t>
      </w:r>
      <w:r w:rsidRPr="006E2701">
        <w:rPr>
          <w:rFonts w:asciiTheme="minorHAnsi" w:hAnsiTheme="minorHAnsi"/>
        </w:rPr>
        <w:t>u Hrvatskoj</w:t>
      </w:r>
      <w:r w:rsidR="00746587" w:rsidRPr="006E2701">
        <w:rPr>
          <w:rFonts w:asciiTheme="minorHAnsi" w:hAnsiTheme="minorHAnsi"/>
        </w:rPr>
        <w:t>, 43</w:t>
      </w:r>
      <w:r w:rsidRPr="006E2701">
        <w:rPr>
          <w:rFonts w:asciiTheme="minorHAnsi" w:hAnsiTheme="minorHAnsi"/>
        </w:rPr>
        <w:t xml:space="preserve"> u Bosni i Hercegovini</w:t>
      </w:r>
      <w:r w:rsidR="00746587" w:rsidRPr="006E2701">
        <w:rPr>
          <w:rFonts w:asciiTheme="minorHAnsi" w:hAnsiTheme="minorHAnsi"/>
        </w:rPr>
        <w:t xml:space="preserve">, </w:t>
      </w:r>
      <w:r w:rsidRPr="006E2701">
        <w:rPr>
          <w:rFonts w:asciiTheme="minorHAnsi" w:hAnsiTheme="minorHAnsi"/>
        </w:rPr>
        <w:t>šest u Sloveniji i jednom u Crnoj Gori)</w:t>
      </w:r>
      <w:r w:rsidR="00746587" w:rsidRPr="006E2701">
        <w:rPr>
          <w:rFonts w:asciiTheme="minorHAnsi" w:hAnsiTheme="minorHAnsi"/>
        </w:rPr>
        <w:t xml:space="preserve">, </w:t>
      </w:r>
      <w:r w:rsidRPr="006E2701">
        <w:rPr>
          <w:rFonts w:asciiTheme="minorHAnsi" w:hAnsiTheme="minorHAnsi"/>
        </w:rPr>
        <w:t xml:space="preserve">od čega je 26 benzinskih postaja u Hrvatskoj uključeno u novi operativni model poslovanja s ciljem povećanja učinkovitosti. </w:t>
      </w:r>
    </w:p>
    <w:p w:rsidR="007F5C60" w:rsidRPr="006E2701" w:rsidRDefault="007F5C60" w:rsidP="00A25916">
      <w:pPr>
        <w:spacing w:line="360" w:lineRule="auto"/>
        <w:jc w:val="center"/>
        <w:rPr>
          <w:rFonts w:asciiTheme="minorHAnsi" w:hAnsiTheme="minorHAnsi"/>
        </w:rPr>
      </w:pPr>
      <w:r w:rsidRPr="006E2701">
        <w:rPr>
          <w:noProof/>
          <w:lang w:eastAsia="hr-HR"/>
        </w:rPr>
        <w:lastRenderedPageBreak/>
        <w:drawing>
          <wp:inline distT="0" distB="0" distL="0" distR="0" wp14:anchorId="0520E677" wp14:editId="0FFCCCE6">
            <wp:extent cx="3419475" cy="21812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5916" w:rsidRPr="006E2701" w:rsidRDefault="00A25916" w:rsidP="00A25916">
      <w:pPr>
        <w:spacing w:line="360" w:lineRule="auto"/>
        <w:jc w:val="center"/>
        <w:rPr>
          <w:rFonts w:asciiTheme="minorHAnsi" w:hAnsiTheme="minorHAnsi"/>
        </w:rPr>
      </w:pPr>
    </w:p>
    <w:p w:rsidR="00A25916" w:rsidRPr="006E2701" w:rsidRDefault="00A25916" w:rsidP="00A25916">
      <w:pPr>
        <w:spacing w:line="360" w:lineRule="auto"/>
        <w:jc w:val="center"/>
        <w:rPr>
          <w:rFonts w:asciiTheme="minorHAnsi" w:hAnsiTheme="minorHAnsi"/>
        </w:rPr>
      </w:pPr>
      <w:r w:rsidRPr="006E2701">
        <w:rPr>
          <w:noProof/>
          <w:lang w:eastAsia="hr-HR"/>
        </w:rPr>
        <w:drawing>
          <wp:inline distT="0" distB="0" distL="0" distR="0" wp14:anchorId="5012CFD2" wp14:editId="6AE83FE8">
            <wp:extent cx="3000375" cy="2319338"/>
            <wp:effectExtent l="0" t="0" r="0" b="508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1167" w:rsidRPr="006E2701" w:rsidRDefault="00E11167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4C5849" w:rsidRDefault="004C5849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4C5849" w:rsidRDefault="004C5849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4C5849" w:rsidRDefault="004C5849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4C5849" w:rsidRDefault="004C5849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A02E91" w:rsidRDefault="00A02E91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A02E91" w:rsidRDefault="00A02E91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A02E91" w:rsidRDefault="00A02E91" w:rsidP="00E11167">
      <w:pPr>
        <w:spacing w:line="360" w:lineRule="auto"/>
        <w:jc w:val="both"/>
        <w:rPr>
          <w:rFonts w:asciiTheme="minorHAnsi" w:hAnsiTheme="minorHAnsi"/>
          <w:b/>
        </w:rPr>
      </w:pPr>
    </w:p>
    <w:p w:rsidR="00E11167" w:rsidRPr="006E2701" w:rsidRDefault="00040ABD" w:rsidP="00E11167">
      <w:pPr>
        <w:spacing w:line="360" w:lineRule="auto"/>
        <w:jc w:val="both"/>
        <w:rPr>
          <w:rFonts w:asciiTheme="minorHAnsi" w:hAnsiTheme="minorHAnsi"/>
        </w:rPr>
      </w:pPr>
      <w:r w:rsidRPr="006E2701">
        <w:rPr>
          <w:rFonts w:asciiTheme="minorHAnsi" w:hAnsiTheme="minorHAnsi"/>
          <w:b/>
        </w:rPr>
        <w:t>Financijski položaj kompanije</w:t>
      </w:r>
      <w:r w:rsidRPr="006E2701">
        <w:rPr>
          <w:rFonts w:asciiTheme="minorHAnsi" w:hAnsiTheme="minorHAnsi"/>
        </w:rPr>
        <w:t xml:space="preserve"> ostao je snažan sa smanjenjem neto duga od dodatnih 14 posto u usporedbi s prvom polovicom 2014. </w:t>
      </w:r>
      <w:r w:rsidRPr="006E2701">
        <w:rPr>
          <w:rFonts w:asciiTheme="minorHAnsi" w:hAnsiTheme="minorHAnsi"/>
          <w:b/>
        </w:rPr>
        <w:t>Omjer duga i kapitala</w:t>
      </w:r>
      <w:r w:rsidR="00E11167" w:rsidRPr="006E2701">
        <w:rPr>
          <w:rFonts w:asciiTheme="minorHAnsi" w:hAnsiTheme="minorHAnsi"/>
        </w:rPr>
        <w:t xml:space="preserve"> </w:t>
      </w:r>
      <w:r w:rsidRPr="006E2701">
        <w:rPr>
          <w:rFonts w:asciiTheme="minorHAnsi" w:hAnsiTheme="minorHAnsi"/>
        </w:rPr>
        <w:t>smanjen je sa</w:t>
      </w:r>
      <w:r w:rsidR="00E11167" w:rsidRPr="006E2701">
        <w:rPr>
          <w:rFonts w:asciiTheme="minorHAnsi" w:hAnsiTheme="minorHAnsi"/>
        </w:rPr>
        <w:t xml:space="preserve"> </w:t>
      </w:r>
      <w:r w:rsidRPr="006E2701">
        <w:rPr>
          <w:rFonts w:asciiTheme="minorHAnsi" w:hAnsiTheme="minorHAnsi"/>
        </w:rPr>
        <w:t>24,</w:t>
      </w:r>
      <w:r w:rsidR="00DA612F" w:rsidRPr="006E2701">
        <w:rPr>
          <w:rFonts w:asciiTheme="minorHAnsi" w:hAnsiTheme="minorHAnsi"/>
        </w:rPr>
        <w:t>3</w:t>
      </w:r>
      <w:r w:rsidR="00E11167" w:rsidRPr="006E2701">
        <w:rPr>
          <w:rFonts w:asciiTheme="minorHAnsi" w:hAnsiTheme="minorHAnsi"/>
        </w:rPr>
        <w:t>%</w:t>
      </w:r>
      <w:r w:rsidRPr="006E2701">
        <w:rPr>
          <w:rFonts w:asciiTheme="minorHAnsi" w:hAnsiTheme="minorHAnsi"/>
        </w:rPr>
        <w:t xml:space="preserve"> u prvoj polovici 2014. na </w:t>
      </w:r>
      <w:r w:rsidR="00DA612F" w:rsidRPr="006E2701">
        <w:rPr>
          <w:rFonts w:asciiTheme="minorHAnsi" w:hAnsiTheme="minorHAnsi"/>
        </w:rPr>
        <w:t>23</w:t>
      </w:r>
      <w:r w:rsidRPr="006E2701">
        <w:rPr>
          <w:rFonts w:asciiTheme="minorHAnsi" w:hAnsiTheme="minorHAnsi"/>
        </w:rPr>
        <w:t>,</w:t>
      </w:r>
      <w:r w:rsidR="00DA612F" w:rsidRPr="006E2701">
        <w:rPr>
          <w:rFonts w:asciiTheme="minorHAnsi" w:hAnsiTheme="minorHAnsi"/>
        </w:rPr>
        <w:t>2</w:t>
      </w:r>
      <w:r w:rsidR="00E11167" w:rsidRPr="006E2701">
        <w:rPr>
          <w:rFonts w:asciiTheme="minorHAnsi" w:hAnsiTheme="minorHAnsi"/>
        </w:rPr>
        <w:t xml:space="preserve">% </w:t>
      </w:r>
      <w:r w:rsidRPr="006E2701">
        <w:rPr>
          <w:rFonts w:asciiTheme="minorHAnsi" w:hAnsiTheme="minorHAnsi"/>
        </w:rPr>
        <w:t>u prvoj polovici 2015</w:t>
      </w:r>
      <w:r w:rsidR="00E11167" w:rsidRPr="006E2701">
        <w:rPr>
          <w:rFonts w:asciiTheme="minorHAnsi" w:hAnsiTheme="minorHAnsi"/>
        </w:rPr>
        <w:t>.</w:t>
      </w:r>
    </w:p>
    <w:bookmarkEnd w:id="0"/>
    <w:p w:rsidR="00E11167" w:rsidRPr="006E2701" w:rsidRDefault="007F5C60" w:rsidP="00E11167">
      <w:pPr>
        <w:spacing w:line="360" w:lineRule="auto"/>
        <w:jc w:val="center"/>
        <w:rPr>
          <w:rFonts w:asciiTheme="minorHAnsi" w:hAnsiTheme="minorHAnsi"/>
        </w:rPr>
      </w:pPr>
      <w:r w:rsidRPr="006E2701">
        <w:rPr>
          <w:noProof/>
          <w:lang w:eastAsia="hr-HR"/>
        </w:rPr>
        <w:drawing>
          <wp:inline distT="0" distB="0" distL="0" distR="0" wp14:anchorId="5A988F24" wp14:editId="3BF6FD70">
            <wp:extent cx="3000375" cy="230981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5916" w:rsidRPr="006E2701" w:rsidRDefault="00A25916" w:rsidP="00E11167">
      <w:pPr>
        <w:spacing w:line="360" w:lineRule="auto"/>
        <w:jc w:val="center"/>
        <w:rPr>
          <w:rFonts w:asciiTheme="minorHAnsi" w:hAnsiTheme="minorHAnsi"/>
        </w:rPr>
      </w:pPr>
    </w:p>
    <w:p w:rsidR="007F5C60" w:rsidRPr="006E2701" w:rsidRDefault="007F5C60" w:rsidP="00E11167">
      <w:pPr>
        <w:spacing w:line="360" w:lineRule="auto"/>
        <w:jc w:val="center"/>
        <w:rPr>
          <w:rFonts w:asciiTheme="minorHAnsi" w:hAnsiTheme="minorHAnsi"/>
        </w:rPr>
      </w:pPr>
      <w:r w:rsidRPr="006E2701">
        <w:rPr>
          <w:noProof/>
          <w:lang w:eastAsia="hr-HR"/>
        </w:rPr>
        <w:drawing>
          <wp:inline distT="0" distB="0" distL="0" distR="0" wp14:anchorId="1CFC30C5" wp14:editId="455BBFAC">
            <wp:extent cx="3000375" cy="2309813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1167" w:rsidRPr="006E2701" w:rsidRDefault="00E11167" w:rsidP="007F5C60">
      <w:pPr>
        <w:spacing w:line="360" w:lineRule="auto"/>
        <w:rPr>
          <w:rFonts w:asciiTheme="minorHAnsi" w:hAnsiTheme="minorHAnsi"/>
        </w:rPr>
      </w:pPr>
    </w:p>
    <w:p w:rsidR="008055F8" w:rsidRPr="006E2701" w:rsidRDefault="008055F8"/>
    <w:sectPr w:rsidR="008055F8" w:rsidRPr="006E2701" w:rsidSect="004712BC">
      <w:headerReference w:type="default" r:id="rId21"/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4A" w:rsidRDefault="00F81F4A" w:rsidP="00E11167">
      <w:r>
        <w:separator/>
      </w:r>
    </w:p>
  </w:endnote>
  <w:endnote w:type="continuationSeparator" w:id="0">
    <w:p w:rsidR="00F81F4A" w:rsidRDefault="00F81F4A" w:rsidP="00E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0622A" w:rsidRPr="00CD53EE" w:rsidTr="002D2A8F">
      <w:trPr>
        <w:cantSplit/>
        <w:trHeight w:val="517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0622A" w:rsidRPr="00CD53EE" w:rsidTr="002D2A8F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0622A" w:rsidRPr="00E22D6A" w:rsidRDefault="00B0622A" w:rsidP="00B0622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0622A" w:rsidRPr="00126238" w:rsidRDefault="00B0622A" w:rsidP="00B0622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0622A" w:rsidRPr="00CD53EE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0622A" w:rsidRPr="00E938AF" w:rsidRDefault="00B0622A" w:rsidP="00B0622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0622A" w:rsidRPr="00E938AF" w:rsidRDefault="00B0622A" w:rsidP="00B0622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0622A" w:rsidRPr="00E938AF" w:rsidRDefault="00B0622A" w:rsidP="00B0622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0622A" w:rsidRPr="00126238" w:rsidRDefault="00B0622A" w:rsidP="00B0622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0622A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0622A" w:rsidRPr="00721675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0622A" w:rsidRPr="00CD53EE" w:rsidTr="002D2A8F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0622A" w:rsidRPr="00CD53EE" w:rsidRDefault="00B0622A" w:rsidP="00B0622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0622A" w:rsidRPr="00AC0994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0622A" w:rsidRPr="00AC0994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0622A" w:rsidRPr="00AC0994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0622A" w:rsidRPr="00CD53EE" w:rsidTr="002D2A8F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0622A" w:rsidRPr="00A17F18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0622A" w:rsidRPr="00A17F18" w:rsidRDefault="00B0622A" w:rsidP="00B0622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B0622A" w:rsidRPr="009E4E6F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0622A" w:rsidRPr="00CD53EE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0622A" w:rsidRPr="00CD53EE" w:rsidRDefault="00B0622A" w:rsidP="00B0622A">
          <w:pPr>
            <w:pStyle w:val="Footer"/>
            <w:rPr>
              <w:sz w:val="11"/>
              <w:szCs w:val="11"/>
            </w:rPr>
          </w:pPr>
        </w:p>
      </w:tc>
    </w:tr>
    <w:tr w:rsidR="00B0622A" w:rsidRPr="00CD53EE" w:rsidTr="002D2A8F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0622A" w:rsidRPr="00CD53EE" w:rsidRDefault="00B0622A" w:rsidP="00B0622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0622A" w:rsidRDefault="00B0622A" w:rsidP="00B0622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0622A" w:rsidRPr="00374688" w:rsidTr="002D2A8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65AD9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65AD9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0622A" w:rsidRPr="00374688" w:rsidTr="002D2A8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0622A" w:rsidRPr="00374688" w:rsidRDefault="00B0622A" w:rsidP="00B0622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0622A" w:rsidRPr="00374688" w:rsidTr="002D2A8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0622A" w:rsidRPr="00374688" w:rsidRDefault="00B0622A" w:rsidP="00B0622A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65AD9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65AD9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E11167" w:rsidRPr="005B4643" w:rsidRDefault="00E11167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665AD9">
      <w:rPr>
        <w:rFonts w:ascii="Arial" w:hAnsi="Arial" w:cs="Arial"/>
        <w:noProof/>
        <w:sz w:val="20"/>
      </w:rPr>
      <w:t>9</w:t>
    </w:r>
    <w:r w:rsidRPr="005B4643">
      <w:rPr>
        <w:rFonts w:ascii="Arial" w:hAnsi="Arial" w:cs="Arial"/>
        <w:noProof/>
        <w:sz w:val="20"/>
      </w:rPr>
      <w:fldChar w:fldCharType="end"/>
    </w:r>
  </w:p>
  <w:p w:rsidR="00E11167" w:rsidRDefault="00E11167">
    <w:pPr>
      <w:pStyle w:val="Footer"/>
    </w:pPr>
  </w:p>
  <w:p w:rsidR="00E11167" w:rsidRDefault="00E11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4A" w:rsidRDefault="00F81F4A" w:rsidP="00E11167">
      <w:r>
        <w:separator/>
      </w:r>
    </w:p>
  </w:footnote>
  <w:footnote w:type="continuationSeparator" w:id="0">
    <w:p w:rsidR="00F81F4A" w:rsidRDefault="00F81F4A" w:rsidP="00E11167">
      <w:r>
        <w:continuationSeparator/>
      </w:r>
    </w:p>
  </w:footnote>
  <w:footnote w:id="1">
    <w:p w:rsidR="006839F7" w:rsidRDefault="00683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4A9E">
        <w:rPr>
          <w:rFonts w:asciiTheme="minorHAnsi" w:hAnsiTheme="minorHAnsi"/>
          <w:sz w:val="16"/>
          <w:szCs w:val="16"/>
        </w:rPr>
        <w:t>CCS (</w:t>
      </w:r>
      <w:proofErr w:type="spellStart"/>
      <w:r w:rsidRPr="005D0988">
        <w:rPr>
          <w:rFonts w:asciiTheme="minorHAnsi" w:hAnsiTheme="minorHAnsi"/>
          <w:sz w:val="16"/>
        </w:rPr>
        <w:t>current</w:t>
      </w:r>
      <w:proofErr w:type="spellEnd"/>
      <w:r w:rsidRPr="005D0988">
        <w:rPr>
          <w:rFonts w:asciiTheme="minorHAnsi" w:hAnsiTheme="minorHAnsi"/>
          <w:sz w:val="16"/>
        </w:rPr>
        <w:t xml:space="preserve"> </w:t>
      </w:r>
      <w:proofErr w:type="spellStart"/>
      <w:r w:rsidRPr="005D0988">
        <w:rPr>
          <w:rFonts w:asciiTheme="minorHAnsi" w:hAnsiTheme="minorHAnsi"/>
          <w:sz w:val="16"/>
        </w:rPr>
        <w:t>cost</w:t>
      </w:r>
      <w:proofErr w:type="spellEnd"/>
      <w:r w:rsidRPr="005D0988">
        <w:rPr>
          <w:rFonts w:asciiTheme="minorHAnsi" w:hAnsiTheme="minorHAnsi"/>
          <w:sz w:val="16"/>
        </w:rPr>
        <w:t xml:space="preserve"> </w:t>
      </w:r>
      <w:proofErr w:type="spellStart"/>
      <w:r w:rsidRPr="005D0988">
        <w:rPr>
          <w:rFonts w:asciiTheme="minorHAnsi" w:hAnsiTheme="minorHAnsi"/>
          <w:sz w:val="16"/>
        </w:rPr>
        <w:t>of</w:t>
      </w:r>
      <w:proofErr w:type="spellEnd"/>
      <w:r w:rsidRPr="005D0988">
        <w:rPr>
          <w:rFonts w:asciiTheme="minorHAnsi" w:hAnsiTheme="minorHAnsi"/>
          <w:sz w:val="16"/>
        </w:rPr>
        <w:t xml:space="preserve"> </w:t>
      </w:r>
      <w:proofErr w:type="spellStart"/>
      <w:r w:rsidRPr="005D0988">
        <w:rPr>
          <w:rFonts w:asciiTheme="minorHAnsi" w:hAnsiTheme="minorHAnsi"/>
          <w:sz w:val="16"/>
        </w:rPr>
        <w:t>supplies</w:t>
      </w:r>
      <w:proofErr w:type="spellEnd"/>
      <w:r w:rsidRPr="00084A9E">
        <w:rPr>
          <w:rFonts w:asciiTheme="minorHAnsi" w:hAnsiTheme="minorHAnsi"/>
          <w:sz w:val="16"/>
          <w:szCs w:val="16"/>
        </w:rPr>
        <w:t>) je rezultat prilagođen za promjene u cijeni ulaznih sirovina na način da se ti troškovi obračunavaju po jedinstvenoj cijeni na kraju izvještajnog razdoblja (bez obzira na promjene cijene tijekom razdoblja).</w:t>
      </w:r>
    </w:p>
  </w:footnote>
  <w:footnote w:id="2">
    <w:p w:rsidR="006839F7" w:rsidRDefault="00683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66E">
        <w:rPr>
          <w:rFonts w:asciiTheme="minorHAnsi" w:hAnsiTheme="minorHAnsi"/>
          <w:sz w:val="16"/>
          <w:szCs w:val="16"/>
          <w:lang w:val="es-ES"/>
        </w:rPr>
        <w:t xml:space="preserve">EBITDA = EBIT + </w:t>
      </w:r>
      <w:proofErr w:type="spellStart"/>
      <w:r w:rsidRPr="006C666E">
        <w:rPr>
          <w:rFonts w:asciiTheme="minorHAnsi" w:hAnsiTheme="minorHAnsi"/>
          <w:sz w:val="16"/>
          <w:szCs w:val="16"/>
          <w:lang w:val="es-ES"/>
        </w:rPr>
        <w:t>amortizacija</w:t>
      </w:r>
      <w:proofErr w:type="spellEnd"/>
      <w:r w:rsidRPr="006C666E">
        <w:rPr>
          <w:rFonts w:asciiTheme="minorHAnsi" w:hAnsiTheme="minorHAnsi"/>
          <w:sz w:val="16"/>
          <w:szCs w:val="16"/>
          <w:lang w:val="es-ES"/>
        </w:rPr>
        <w:t xml:space="preserve"> + </w:t>
      </w:r>
      <w:proofErr w:type="spellStart"/>
      <w:r w:rsidRPr="006C666E">
        <w:rPr>
          <w:rFonts w:asciiTheme="minorHAnsi" w:hAnsiTheme="minorHAnsi"/>
          <w:sz w:val="16"/>
          <w:szCs w:val="16"/>
          <w:lang w:val="es-ES"/>
        </w:rPr>
        <w:t>vrijednosno</w:t>
      </w:r>
      <w:proofErr w:type="spellEnd"/>
      <w:r w:rsidRPr="006C666E">
        <w:rPr>
          <w:rFonts w:asciiTheme="minorHAnsi" w:hAnsiTheme="minorHAnsi"/>
          <w:sz w:val="16"/>
          <w:szCs w:val="16"/>
          <w:lang w:val="es-ES"/>
        </w:rPr>
        <w:t xml:space="preserve"> </w:t>
      </w:r>
      <w:proofErr w:type="spellStart"/>
      <w:r w:rsidRPr="006C666E">
        <w:rPr>
          <w:rFonts w:asciiTheme="minorHAnsi" w:hAnsiTheme="minorHAnsi"/>
          <w:sz w:val="16"/>
          <w:szCs w:val="16"/>
          <w:lang w:val="es-ES"/>
        </w:rPr>
        <w:t>usklađenje</w:t>
      </w:r>
      <w:proofErr w:type="spellEnd"/>
      <w:r w:rsidRPr="006C666E">
        <w:rPr>
          <w:rFonts w:asciiTheme="minorHAnsi" w:hAnsiTheme="minorHAnsi"/>
          <w:sz w:val="16"/>
          <w:szCs w:val="16"/>
          <w:lang w:val="es-ES"/>
        </w:rPr>
        <w:t xml:space="preserve"> + </w:t>
      </w:r>
      <w:proofErr w:type="spellStart"/>
      <w:r w:rsidRPr="006C666E">
        <w:rPr>
          <w:rFonts w:asciiTheme="minorHAnsi" w:hAnsiTheme="minorHAnsi"/>
          <w:sz w:val="16"/>
          <w:szCs w:val="16"/>
          <w:lang w:val="es-ES"/>
        </w:rPr>
        <w:t>rezerviranja</w:t>
      </w:r>
      <w:proofErr w:type="spellEnd"/>
    </w:p>
  </w:footnote>
  <w:footnote w:id="3">
    <w:p w:rsidR="0060641A" w:rsidRDefault="006064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83C">
        <w:rPr>
          <w:rFonts w:asciiTheme="minorHAnsi" w:hAnsiTheme="minorHAnsi"/>
          <w:sz w:val="16"/>
          <w:szCs w:val="16"/>
        </w:rPr>
        <w:t>Omjer duga i kapitala - udio duga (bankarskih kredita i sl.)  u kapitalu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67" w:rsidRDefault="00E11167">
    <w:pPr>
      <w:pStyle w:val="Header"/>
    </w:pPr>
    <w:r>
      <w:rPr>
        <w:noProof/>
        <w:lang w:eastAsia="hr-HR"/>
      </w:rPr>
      <w:drawing>
        <wp:inline distT="0" distB="0" distL="0" distR="0" wp14:anchorId="45669243" wp14:editId="0B05DF32">
          <wp:extent cx="1213485" cy="451485"/>
          <wp:effectExtent l="0" t="0" r="5715" b="5715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67" w:rsidRDefault="00E11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FE" w:rsidRDefault="00860C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B50463F" wp14:editId="51A3CADC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2A57"/>
    <w:multiLevelType w:val="hybridMultilevel"/>
    <w:tmpl w:val="EFECC7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6D7"/>
    <w:multiLevelType w:val="hybridMultilevel"/>
    <w:tmpl w:val="27FC5C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56952"/>
    <w:multiLevelType w:val="hybridMultilevel"/>
    <w:tmpl w:val="65E47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A"/>
    <w:rsid w:val="000051E2"/>
    <w:rsid w:val="000145A6"/>
    <w:rsid w:val="00015C4D"/>
    <w:rsid w:val="00022EA9"/>
    <w:rsid w:val="00027746"/>
    <w:rsid w:val="00034329"/>
    <w:rsid w:val="00040ABD"/>
    <w:rsid w:val="00044D71"/>
    <w:rsid w:val="0008261A"/>
    <w:rsid w:val="000977E3"/>
    <w:rsid w:val="000A0BFF"/>
    <w:rsid w:val="000B085A"/>
    <w:rsid w:val="000B327E"/>
    <w:rsid w:val="000D5FAE"/>
    <w:rsid w:val="000E358E"/>
    <w:rsid w:val="000E49A0"/>
    <w:rsid w:val="00100EF1"/>
    <w:rsid w:val="00134C2B"/>
    <w:rsid w:val="001637B1"/>
    <w:rsid w:val="0017036C"/>
    <w:rsid w:val="00173473"/>
    <w:rsid w:val="0018483C"/>
    <w:rsid w:val="001864ED"/>
    <w:rsid w:val="00191574"/>
    <w:rsid w:val="001A34F1"/>
    <w:rsid w:val="001B504C"/>
    <w:rsid w:val="001E7160"/>
    <w:rsid w:val="0020107F"/>
    <w:rsid w:val="00201F3E"/>
    <w:rsid w:val="0022082F"/>
    <w:rsid w:val="00223D53"/>
    <w:rsid w:val="00233A10"/>
    <w:rsid w:val="00236461"/>
    <w:rsid w:val="002379B9"/>
    <w:rsid w:val="00256E5C"/>
    <w:rsid w:val="00291889"/>
    <w:rsid w:val="002A3AA7"/>
    <w:rsid w:val="002B5522"/>
    <w:rsid w:val="002C08BB"/>
    <w:rsid w:val="003064F6"/>
    <w:rsid w:val="00312674"/>
    <w:rsid w:val="003203D0"/>
    <w:rsid w:val="00337898"/>
    <w:rsid w:val="0034119D"/>
    <w:rsid w:val="00343CB6"/>
    <w:rsid w:val="00345092"/>
    <w:rsid w:val="00377E51"/>
    <w:rsid w:val="003A4B6F"/>
    <w:rsid w:val="003C144F"/>
    <w:rsid w:val="00403560"/>
    <w:rsid w:val="00420474"/>
    <w:rsid w:val="00424221"/>
    <w:rsid w:val="00437FE2"/>
    <w:rsid w:val="00440FBB"/>
    <w:rsid w:val="00445122"/>
    <w:rsid w:val="00454D5E"/>
    <w:rsid w:val="00470234"/>
    <w:rsid w:val="004A2423"/>
    <w:rsid w:val="004B22DE"/>
    <w:rsid w:val="004B6427"/>
    <w:rsid w:val="004C05F6"/>
    <w:rsid w:val="004C19C0"/>
    <w:rsid w:val="004C37BC"/>
    <w:rsid w:val="004C5849"/>
    <w:rsid w:val="004D7DA5"/>
    <w:rsid w:val="004E29DD"/>
    <w:rsid w:val="004F779A"/>
    <w:rsid w:val="00533201"/>
    <w:rsid w:val="0054365E"/>
    <w:rsid w:val="0055288C"/>
    <w:rsid w:val="00564017"/>
    <w:rsid w:val="005A2CFF"/>
    <w:rsid w:val="005C38B7"/>
    <w:rsid w:val="005E706A"/>
    <w:rsid w:val="0060641A"/>
    <w:rsid w:val="00613575"/>
    <w:rsid w:val="00625798"/>
    <w:rsid w:val="00635A02"/>
    <w:rsid w:val="00641E5E"/>
    <w:rsid w:val="00652641"/>
    <w:rsid w:val="00656555"/>
    <w:rsid w:val="00665AD9"/>
    <w:rsid w:val="00674DAB"/>
    <w:rsid w:val="00682C6F"/>
    <w:rsid w:val="006839F7"/>
    <w:rsid w:val="006B3FDB"/>
    <w:rsid w:val="006B4AEC"/>
    <w:rsid w:val="006C5480"/>
    <w:rsid w:val="006C666E"/>
    <w:rsid w:val="006D2E0C"/>
    <w:rsid w:val="006E2701"/>
    <w:rsid w:val="006F110E"/>
    <w:rsid w:val="00740D64"/>
    <w:rsid w:val="00746587"/>
    <w:rsid w:val="00776446"/>
    <w:rsid w:val="007B1D62"/>
    <w:rsid w:val="007C3367"/>
    <w:rsid w:val="007D2B00"/>
    <w:rsid w:val="007D6F34"/>
    <w:rsid w:val="007F5C60"/>
    <w:rsid w:val="007F7E5C"/>
    <w:rsid w:val="00804CDB"/>
    <w:rsid w:val="008055F8"/>
    <w:rsid w:val="00811B68"/>
    <w:rsid w:val="0081512A"/>
    <w:rsid w:val="008347B6"/>
    <w:rsid w:val="008407F2"/>
    <w:rsid w:val="00844B80"/>
    <w:rsid w:val="008525D8"/>
    <w:rsid w:val="00857D23"/>
    <w:rsid w:val="008608AF"/>
    <w:rsid w:val="00860C04"/>
    <w:rsid w:val="0086576E"/>
    <w:rsid w:val="0088215A"/>
    <w:rsid w:val="008869EC"/>
    <w:rsid w:val="0089733E"/>
    <w:rsid w:val="008C3B67"/>
    <w:rsid w:val="008E512B"/>
    <w:rsid w:val="008E51A9"/>
    <w:rsid w:val="008E6FAA"/>
    <w:rsid w:val="00905F02"/>
    <w:rsid w:val="00922C22"/>
    <w:rsid w:val="009322ED"/>
    <w:rsid w:val="009423F3"/>
    <w:rsid w:val="009605EA"/>
    <w:rsid w:val="0096259C"/>
    <w:rsid w:val="00965E50"/>
    <w:rsid w:val="009762D1"/>
    <w:rsid w:val="009902B6"/>
    <w:rsid w:val="009C1542"/>
    <w:rsid w:val="009D307C"/>
    <w:rsid w:val="009D78B9"/>
    <w:rsid w:val="009E0B0E"/>
    <w:rsid w:val="009E1B40"/>
    <w:rsid w:val="009E4296"/>
    <w:rsid w:val="009F0513"/>
    <w:rsid w:val="009F3354"/>
    <w:rsid w:val="00A02E91"/>
    <w:rsid w:val="00A03FCD"/>
    <w:rsid w:val="00A044C5"/>
    <w:rsid w:val="00A25916"/>
    <w:rsid w:val="00A333D4"/>
    <w:rsid w:val="00A369BE"/>
    <w:rsid w:val="00A444F0"/>
    <w:rsid w:val="00A52CE0"/>
    <w:rsid w:val="00AA110D"/>
    <w:rsid w:val="00AA198B"/>
    <w:rsid w:val="00AA1BC6"/>
    <w:rsid w:val="00AA6B9A"/>
    <w:rsid w:val="00AD0553"/>
    <w:rsid w:val="00AD19CE"/>
    <w:rsid w:val="00AE1DF2"/>
    <w:rsid w:val="00AF047B"/>
    <w:rsid w:val="00B0622A"/>
    <w:rsid w:val="00B10FBC"/>
    <w:rsid w:val="00B45BCA"/>
    <w:rsid w:val="00B515FD"/>
    <w:rsid w:val="00B526AA"/>
    <w:rsid w:val="00B55CFA"/>
    <w:rsid w:val="00B6110C"/>
    <w:rsid w:val="00B64A28"/>
    <w:rsid w:val="00B64C55"/>
    <w:rsid w:val="00B72AA9"/>
    <w:rsid w:val="00B800D6"/>
    <w:rsid w:val="00B86C00"/>
    <w:rsid w:val="00B9291F"/>
    <w:rsid w:val="00B963BE"/>
    <w:rsid w:val="00BC17C1"/>
    <w:rsid w:val="00BC3116"/>
    <w:rsid w:val="00BD6B46"/>
    <w:rsid w:val="00BF61DF"/>
    <w:rsid w:val="00C120CE"/>
    <w:rsid w:val="00C176E0"/>
    <w:rsid w:val="00C44385"/>
    <w:rsid w:val="00C80A08"/>
    <w:rsid w:val="00C83B13"/>
    <w:rsid w:val="00C91307"/>
    <w:rsid w:val="00C96F23"/>
    <w:rsid w:val="00CA2A27"/>
    <w:rsid w:val="00CC1889"/>
    <w:rsid w:val="00CF785A"/>
    <w:rsid w:val="00D0219A"/>
    <w:rsid w:val="00D07A08"/>
    <w:rsid w:val="00D1387C"/>
    <w:rsid w:val="00D146C3"/>
    <w:rsid w:val="00D23B4F"/>
    <w:rsid w:val="00D300A0"/>
    <w:rsid w:val="00D46074"/>
    <w:rsid w:val="00D526FE"/>
    <w:rsid w:val="00D53879"/>
    <w:rsid w:val="00D6588F"/>
    <w:rsid w:val="00D839F5"/>
    <w:rsid w:val="00D90601"/>
    <w:rsid w:val="00DA3120"/>
    <w:rsid w:val="00DA612F"/>
    <w:rsid w:val="00DB15A2"/>
    <w:rsid w:val="00DB7889"/>
    <w:rsid w:val="00E11167"/>
    <w:rsid w:val="00E2763D"/>
    <w:rsid w:val="00E3411F"/>
    <w:rsid w:val="00E34F0E"/>
    <w:rsid w:val="00E36988"/>
    <w:rsid w:val="00E411F8"/>
    <w:rsid w:val="00E43DE4"/>
    <w:rsid w:val="00E524BC"/>
    <w:rsid w:val="00E65F1B"/>
    <w:rsid w:val="00E67BE7"/>
    <w:rsid w:val="00E81039"/>
    <w:rsid w:val="00E8307E"/>
    <w:rsid w:val="00E96AA4"/>
    <w:rsid w:val="00EA479D"/>
    <w:rsid w:val="00EE046A"/>
    <w:rsid w:val="00EE2482"/>
    <w:rsid w:val="00EE66EC"/>
    <w:rsid w:val="00EF1C2A"/>
    <w:rsid w:val="00F01BFD"/>
    <w:rsid w:val="00F01D8C"/>
    <w:rsid w:val="00F021ED"/>
    <w:rsid w:val="00F17A6A"/>
    <w:rsid w:val="00F21047"/>
    <w:rsid w:val="00F41B0B"/>
    <w:rsid w:val="00F56AB4"/>
    <w:rsid w:val="00F625A5"/>
    <w:rsid w:val="00F63C49"/>
    <w:rsid w:val="00F71197"/>
    <w:rsid w:val="00F80EA4"/>
    <w:rsid w:val="00F81F4A"/>
    <w:rsid w:val="00FB5E97"/>
    <w:rsid w:val="00FB69CD"/>
    <w:rsid w:val="00FC0F17"/>
    <w:rsid w:val="00FC1049"/>
    <w:rsid w:val="00FC2D7E"/>
    <w:rsid w:val="00FC3C14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1263EE5C-AB52-46DE-B048-B034859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167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E11167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E111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11167"/>
    <w:rPr>
      <w:vertAlign w:val="superscript"/>
    </w:rPr>
  </w:style>
  <w:style w:type="paragraph" w:styleId="ListParagraph">
    <w:name w:val="List Paragraph"/>
    <w:basedOn w:val="Normal"/>
    <w:qFormat/>
    <w:rsid w:val="00E1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youtu.be/uGKUL62BCmE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www.ina.hr" TargetMode="Externa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H12015_pomo&#263;ni_grafov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>
                <a:solidFill>
                  <a:schemeClr val="accent1"/>
                </a:solidFill>
              </a:rPr>
              <a:t>CCS Operativna</a:t>
            </a:r>
            <a:r>
              <a:rPr lang="hr-HR" baseline="0">
                <a:solidFill>
                  <a:schemeClr val="accent1"/>
                </a:solidFill>
              </a:rPr>
              <a:t> dobit</a:t>
            </a:r>
            <a:endParaRPr lang="hr-HR">
              <a:solidFill>
                <a:schemeClr val="accent1"/>
              </a:solidFill>
            </a:endParaRPr>
          </a:p>
          <a:p>
            <a:pPr>
              <a:defRPr/>
            </a:pPr>
            <a:r>
              <a:rPr lang="hr-HR" sz="1200" b="0" baseline="0">
                <a:solidFill>
                  <a:schemeClr val="accent1"/>
                </a:solidFill>
              </a:rPr>
              <a:t>HRK mil</a:t>
            </a:r>
            <a:r>
              <a:rPr lang="hr-HR" b="0">
                <a:solidFill>
                  <a:schemeClr val="accent1"/>
                </a:solidFill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Eng!$G$5</c:f>
              <c:strCache>
                <c:ptCount val="1"/>
                <c:pt idx="0">
                  <c:v>CCS Operating profit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Eng!$H$4:$I$4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Eng!$H$5:$I$5</c:f>
              <c:numCache>
                <c:formatCode>#,##0</c:formatCode>
                <c:ptCount val="2"/>
                <c:pt idx="0">
                  <c:v>642</c:v>
                </c:pt>
                <c:pt idx="1">
                  <c:v>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543504"/>
        <c:axId val="241543896"/>
      </c:barChart>
      <c:catAx>
        <c:axId val="24154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543896"/>
        <c:crosses val="autoZero"/>
        <c:auto val="1"/>
        <c:lblAlgn val="ctr"/>
        <c:lblOffset val="100"/>
        <c:noMultiLvlLbl val="0"/>
      </c:catAx>
      <c:valAx>
        <c:axId val="241543896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41543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hr-HR">
                <a:solidFill>
                  <a:schemeClr val="accent1"/>
                </a:solidFill>
              </a:rPr>
              <a:t>Kapitalna ulaganja</a:t>
            </a:r>
          </a:p>
          <a:p>
            <a:pPr>
              <a:defRPr>
                <a:solidFill>
                  <a:srgbClr val="0070C0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endParaRPr lang="en-US" sz="1200" b="0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Eng!$G$18</c:f>
              <c:strCache>
                <c:ptCount val="1"/>
                <c:pt idx="0">
                  <c:v>Capital investments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Eng!$H$17:$I$17</c:f>
              <c:strCache>
                <c:ptCount val="2"/>
                <c:pt idx="0">
                  <c:v>Domestic </c:v>
                </c:pt>
                <c:pt idx="1">
                  <c:v>International</c:v>
                </c:pt>
              </c:strCache>
            </c:strRef>
          </c:cat>
          <c:val>
            <c:numRef>
              <c:f>Eng!$H$18:$I$18</c:f>
              <c:numCache>
                <c:formatCode>#,##0</c:formatCode>
                <c:ptCount val="2"/>
                <c:pt idx="0">
                  <c:v>453</c:v>
                </c:pt>
                <c:pt idx="1">
                  <c:v>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1544680"/>
        <c:axId val="240611080"/>
      </c:barChart>
      <c:catAx>
        <c:axId val="241544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sr-Latn-RS"/>
          </a:p>
        </c:txPr>
        <c:crossAx val="240611080"/>
        <c:crosses val="autoZero"/>
        <c:auto val="1"/>
        <c:lblAlgn val="ctr"/>
        <c:lblOffset val="100"/>
        <c:noMultiLvlLbl val="0"/>
      </c:catAx>
      <c:valAx>
        <c:axId val="24061108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41544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CAPEX </a:t>
            </a:r>
            <a:r>
              <a:rPr lang="hr-HR">
                <a:solidFill>
                  <a:schemeClr val="accent1"/>
                </a:solidFill>
              </a:rPr>
              <a:t>istraživanje i proizvodnja</a:t>
            </a: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r>
              <a:rPr lang="en-US">
                <a:solidFill>
                  <a:schemeClr val="accent1"/>
                </a:solidFill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Eng!$G$34</c:f>
              <c:strCache>
                <c:ptCount val="1"/>
                <c:pt idx="0">
                  <c:v>CAPEX Upstream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Eng!$H$33:$I$33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Eng!$H$34:$I$34</c:f>
              <c:numCache>
                <c:formatCode>#,##0</c:formatCode>
                <c:ptCount val="2"/>
                <c:pt idx="0">
                  <c:v>466</c:v>
                </c:pt>
                <c:pt idx="1">
                  <c:v>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11864"/>
        <c:axId val="240612256"/>
      </c:barChart>
      <c:catAx>
        <c:axId val="240611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612256"/>
        <c:crosses val="autoZero"/>
        <c:auto val="1"/>
        <c:lblAlgn val="ctr"/>
        <c:lblOffset val="100"/>
        <c:noMultiLvlLbl val="0"/>
      </c:catAx>
      <c:valAx>
        <c:axId val="24061225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40611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>
                <a:solidFill>
                  <a:schemeClr val="accent1"/>
                </a:solidFill>
              </a:rPr>
              <a:t>Proizvodnja</a:t>
            </a:r>
            <a:r>
              <a:rPr lang="hr-HR" baseline="0">
                <a:solidFill>
                  <a:schemeClr val="accent1"/>
                </a:solidFill>
              </a:rPr>
              <a:t> sirove nafte </a:t>
            </a:r>
            <a:r>
              <a:rPr lang="en-US" sz="1200" b="0">
                <a:solidFill>
                  <a:schemeClr val="accent1"/>
                </a:solidFill>
              </a:rPr>
              <a:t>(boe/d)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Eng!$G$97</c:f>
              <c:strCache>
                <c:ptCount val="1"/>
                <c:pt idx="0">
                  <c:v>Crude oil production (boe/d)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Eng!$H$96:$I$96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Eng!$H$97:$I$97</c:f>
              <c:numCache>
                <c:formatCode>#,##0</c:formatCode>
                <c:ptCount val="2"/>
                <c:pt idx="0">
                  <c:v>11934</c:v>
                </c:pt>
                <c:pt idx="1">
                  <c:v>13636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406512"/>
        <c:axId val="241406904"/>
      </c:barChart>
      <c:catAx>
        <c:axId val="241406512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41406904"/>
        <c:crosses val="autoZero"/>
        <c:auto val="0"/>
        <c:lblAlgn val="ctr"/>
        <c:lblOffset val="100"/>
        <c:noMultiLvlLbl val="0"/>
      </c:catAx>
      <c:valAx>
        <c:axId val="241406904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4140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CAPEX </a:t>
            </a:r>
            <a:r>
              <a:rPr lang="hr-HR">
                <a:solidFill>
                  <a:schemeClr val="accent1"/>
                </a:solidFill>
              </a:rPr>
              <a:t>Rafinerije</a:t>
            </a:r>
            <a:r>
              <a:rPr lang="hr-HR" baseline="0">
                <a:solidFill>
                  <a:schemeClr val="accent1"/>
                </a:solidFill>
              </a:rPr>
              <a:t> i marketing, uključujući Trgovinu na malo</a:t>
            </a:r>
            <a:r>
              <a:rPr lang="en-US">
                <a:solidFill>
                  <a:schemeClr val="accent1"/>
                </a:solidFill>
              </a:rPr>
              <a:t> </a:t>
            </a:r>
            <a:endParaRPr lang="hr-HR">
              <a:solidFill>
                <a:schemeClr val="accent1"/>
              </a:solidFill>
            </a:endParaRP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endParaRPr lang="en-US" sz="1200" b="0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Eng!$G$48</c:f>
              <c:strCache>
                <c:ptCount val="1"/>
                <c:pt idx="0">
                  <c:v>CAPEX R&amp;M including Retail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Eng!$H$47:$I$47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Eng!$H$48:$I$48</c:f>
              <c:numCache>
                <c:formatCode>#,##0</c:formatCode>
                <c:ptCount val="2"/>
                <c:pt idx="0">
                  <c:v>157</c:v>
                </c:pt>
                <c:pt idx="1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407688"/>
        <c:axId val="241408080"/>
      </c:barChart>
      <c:catAx>
        <c:axId val="241407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408080"/>
        <c:crosses val="autoZero"/>
        <c:auto val="1"/>
        <c:lblAlgn val="ctr"/>
        <c:lblOffset val="100"/>
        <c:noMultiLvlLbl val="0"/>
      </c:catAx>
      <c:valAx>
        <c:axId val="24140808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41407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hr-HR"/>
              <a:t>Ukupno prodane</a:t>
            </a:r>
            <a:r>
              <a:rPr lang="hr-HR" baseline="0"/>
              <a:t> količine u</a:t>
            </a:r>
            <a:r>
              <a:rPr lang="hr-HR"/>
              <a:t> kt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Eng!$G$116</c:f>
              <c:strCache>
                <c:ptCount val="1"/>
                <c:pt idx="0">
                  <c:v>Total sales  volume in kt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Eng!$H$115:$I$115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Eng!$H$116:$I$116</c:f>
              <c:numCache>
                <c:formatCode>#,##0</c:formatCode>
                <c:ptCount val="2"/>
                <c:pt idx="0">
                  <c:v>1518</c:v>
                </c:pt>
                <c:pt idx="1">
                  <c:v>1577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286208"/>
        <c:axId val="242286600"/>
      </c:barChart>
      <c:catAx>
        <c:axId val="242286208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42286600"/>
        <c:crosses val="autoZero"/>
        <c:auto val="0"/>
        <c:lblAlgn val="ctr"/>
        <c:lblOffset val="100"/>
        <c:noMultiLvlLbl val="0"/>
      </c:catAx>
      <c:valAx>
        <c:axId val="24228660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42286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Net</a:t>
            </a:r>
            <a:r>
              <a:rPr lang="hr-HR">
                <a:solidFill>
                  <a:schemeClr val="accent1"/>
                </a:solidFill>
              </a:rPr>
              <a:t>o zaduženje</a:t>
            </a: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endParaRPr lang="en-US" sz="1200" b="0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Eng!$G$63</c:f>
              <c:strCache>
                <c:ptCount val="1"/>
                <c:pt idx="0">
                  <c:v>Net debt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Eng!$H$62:$I$62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Eng!$H$63:$I$63</c:f>
              <c:numCache>
                <c:formatCode>#,##0</c:formatCode>
                <c:ptCount val="2"/>
                <c:pt idx="0">
                  <c:v>4269</c:v>
                </c:pt>
                <c:pt idx="1">
                  <c:v>3691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287384"/>
        <c:axId val="241665728"/>
      </c:barChart>
      <c:catAx>
        <c:axId val="242287384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41665728"/>
        <c:crosses val="autoZero"/>
        <c:auto val="0"/>
        <c:lblAlgn val="ctr"/>
        <c:lblOffset val="100"/>
        <c:noMultiLvlLbl val="0"/>
      </c:catAx>
      <c:valAx>
        <c:axId val="241665728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42287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hr-HR">
                <a:solidFill>
                  <a:schemeClr val="accent1"/>
                </a:solidFill>
              </a:rPr>
              <a:t>Omjer</a:t>
            </a:r>
            <a:r>
              <a:rPr lang="hr-HR" baseline="0">
                <a:solidFill>
                  <a:schemeClr val="accent1"/>
                </a:solidFill>
              </a:rPr>
              <a:t> duga i kapitala</a:t>
            </a:r>
            <a:endParaRPr lang="hr-HR">
              <a:solidFill>
                <a:schemeClr val="accent1"/>
              </a:solidFill>
            </a:endParaRP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endParaRPr lang="en-US" sz="1200" b="0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Eng!$G$79</c:f>
              <c:strCache>
                <c:ptCount val="1"/>
                <c:pt idx="0">
                  <c:v>Gearing ratio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Eng!$H$78:$I$78</c:f>
              <c:strCache>
                <c:ptCount val="2"/>
                <c:pt idx="0">
                  <c:v>H1 2014</c:v>
                </c:pt>
                <c:pt idx="1">
                  <c:v>H1 2015</c:v>
                </c:pt>
              </c:strCache>
            </c:strRef>
          </c:cat>
          <c:val>
            <c:numRef>
              <c:f>Eng!$H$79:$I$79</c:f>
              <c:numCache>
                <c:formatCode>#,##0.0</c:formatCode>
                <c:ptCount val="2"/>
                <c:pt idx="0">
                  <c:v>24.3</c:v>
                </c:pt>
                <c:pt idx="1">
                  <c:v>23.2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353704"/>
        <c:axId val="243354096"/>
      </c:barChart>
      <c:catAx>
        <c:axId val="243353704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43354096"/>
        <c:crosses val="autoZero"/>
        <c:auto val="0"/>
        <c:lblAlgn val="ctr"/>
        <c:lblOffset val="100"/>
        <c:noMultiLvlLbl val="0"/>
      </c:catAx>
      <c:valAx>
        <c:axId val="243354096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243353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96E-63EA-43E3-ABE7-C72B15C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10</cp:revision>
  <cp:lastPrinted>2015-07-30T13:11:00Z</cp:lastPrinted>
  <dcterms:created xsi:type="dcterms:W3CDTF">2015-07-30T10:29:00Z</dcterms:created>
  <dcterms:modified xsi:type="dcterms:W3CDTF">2015-07-30T13:21:00Z</dcterms:modified>
</cp:coreProperties>
</file>