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F83243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306"/>
      </w:tblGrid>
      <w:tr w:rsidR="00FC6E29" w:rsidRPr="00F83243" w:rsidTr="000D5515">
        <w:trPr>
          <w:trHeight w:val="938"/>
        </w:trPr>
        <w:tc>
          <w:tcPr>
            <w:tcW w:w="4306" w:type="dxa"/>
          </w:tcPr>
          <w:p w:rsidR="00FC6E29" w:rsidRPr="00F83243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:rsidR="00FC6E29" w:rsidRPr="00F83243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3243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F83243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F8324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F83243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F83243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F8324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148DA" w:rsidRPr="00F83243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F83243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F83243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0D5515" w:rsidRPr="00F83243" w:rsidRDefault="000D5515" w:rsidP="000D5515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 w:rsidRPr="00F83243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lastRenderedPageBreak/>
        <w:t>INA potpisala jedro podrške Fiumanci</w:t>
      </w:r>
    </w:p>
    <w:p w:rsidR="006B6895" w:rsidRPr="00F83243" w:rsidRDefault="000D5515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F83243">
        <w:rPr>
          <w:rFonts w:asciiTheme="minorHAnsi" w:hAnsiTheme="minorHAnsi" w:cs="Arial"/>
          <w:b/>
          <w:sz w:val="24"/>
        </w:rPr>
        <w:t>INA zlatni sponzor Fiumanke</w:t>
      </w:r>
    </w:p>
    <w:p w:rsidR="000D5515" w:rsidRPr="00F83243" w:rsidRDefault="000D5515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F83243">
        <w:rPr>
          <w:rFonts w:asciiTheme="minorHAnsi" w:hAnsiTheme="minorHAnsi" w:cs="Arial"/>
          <w:b/>
          <w:sz w:val="24"/>
        </w:rPr>
        <w:t>Fiumanka nastavlja s europskom medijskom regatom</w:t>
      </w:r>
    </w:p>
    <w:p w:rsidR="000D5515" w:rsidRPr="00F83243" w:rsidRDefault="000D5515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F83243">
        <w:rPr>
          <w:rFonts w:asciiTheme="minorHAnsi" w:hAnsiTheme="minorHAnsi" w:cs="Arial"/>
          <w:b/>
          <w:sz w:val="24"/>
        </w:rPr>
        <w:t>Po prvi put održava se sajam Plavo-zeleni Expo Fiumanka</w:t>
      </w:r>
    </w:p>
    <w:p w:rsidR="00D63C7C" w:rsidRPr="00F83243" w:rsidRDefault="00D63C7C" w:rsidP="000D5515">
      <w:pPr>
        <w:spacing w:line="360" w:lineRule="auto"/>
        <w:jc w:val="both"/>
        <w:rPr>
          <w:rFonts w:asciiTheme="minorHAnsi" w:hAnsiTheme="minorHAnsi" w:cs="Arial"/>
          <w:b/>
          <w:iCs/>
          <w:szCs w:val="22"/>
        </w:rPr>
      </w:pPr>
    </w:p>
    <w:p w:rsidR="000D5515" w:rsidRPr="00F83243" w:rsidRDefault="000D5515" w:rsidP="000D5515">
      <w:pPr>
        <w:spacing w:after="160" w:line="252" w:lineRule="auto"/>
        <w:jc w:val="both"/>
        <w:rPr>
          <w:rFonts w:asciiTheme="minorHAnsi" w:eastAsia="Calibri" w:hAnsiTheme="minorHAnsi"/>
          <w:b/>
          <w:bCs/>
          <w:szCs w:val="22"/>
        </w:rPr>
      </w:pPr>
      <w:r w:rsidRPr="00F83243">
        <w:rPr>
          <w:rFonts w:asciiTheme="minorHAnsi" w:eastAsia="Calibri" w:hAnsiTheme="minorHAnsi"/>
          <w:b/>
          <w:bCs/>
          <w:szCs w:val="22"/>
        </w:rPr>
        <w:t xml:space="preserve">Rijeka, 8. lipnja 2015.-  U Rijeci je danas održano svečano potpisivanje jedra podrške Fiumanci u sklopu kojeg su okupljeni sponzori i pokrovitelji te gosti poželjeli još jednu uspješnu plovidbu ovoj tradicionalnoj regati. </w:t>
      </w:r>
    </w:p>
    <w:p w:rsidR="000D5515" w:rsidRPr="00F83243" w:rsidRDefault="000D5515" w:rsidP="000D5515">
      <w:pPr>
        <w:spacing w:after="160" w:line="252" w:lineRule="auto"/>
        <w:jc w:val="both"/>
        <w:rPr>
          <w:rFonts w:asciiTheme="minorHAnsi" w:eastAsia="Calibri" w:hAnsiTheme="minorHAnsi"/>
          <w:i/>
          <w:iCs/>
          <w:szCs w:val="22"/>
        </w:rPr>
      </w:pPr>
      <w:r w:rsidRPr="00F83243">
        <w:rPr>
          <w:rFonts w:asciiTheme="minorHAnsi" w:eastAsia="Calibri" w:hAnsiTheme="minorHAnsi"/>
          <w:szCs w:val="22"/>
        </w:rPr>
        <w:t xml:space="preserve">Obraćajući se prisutnima u ime Ine, zlatnog sponzora ovogodišnje Fiumanke, Ivan Krešić, član Uprave Ine, izjavio je: </w:t>
      </w:r>
      <w:r w:rsidRPr="00F83243">
        <w:rPr>
          <w:rFonts w:asciiTheme="minorHAnsi" w:eastAsia="Calibri" w:hAnsiTheme="minorHAnsi"/>
          <w:i/>
          <w:iCs/>
          <w:szCs w:val="22"/>
        </w:rPr>
        <w:t xml:space="preserve">„INA je prepoznala značaj Fiumanke još u njezinim začecima i drago nam je vidjeti kako se kroz sve godine svog održavanja uvijek nanovo potvrđivala kvalitetom organizacije. Zahvalio bih u ime Ine organizatorima na još jednom odlično odrađenom poslu. Uvjereni smo kako će i ova Fiumanka svim natjecateljima donijeti nezaboravno iskustvo, uključujući i našem INA timu“. </w:t>
      </w:r>
    </w:p>
    <w:p w:rsidR="000D5515" w:rsidRPr="00F83243" w:rsidRDefault="000D5515" w:rsidP="000D5515">
      <w:pPr>
        <w:spacing w:after="160" w:line="252" w:lineRule="auto"/>
        <w:jc w:val="both"/>
        <w:rPr>
          <w:rFonts w:asciiTheme="minorHAnsi" w:eastAsia="Calibri" w:hAnsiTheme="minorHAnsi"/>
          <w:szCs w:val="22"/>
        </w:rPr>
      </w:pPr>
      <w:r w:rsidRPr="00F83243">
        <w:rPr>
          <w:rFonts w:asciiTheme="minorHAnsi" w:eastAsia="Calibri" w:hAnsiTheme="minorHAnsi"/>
          <w:szCs w:val="22"/>
        </w:rPr>
        <w:t>Uz sponzore, jedro podrške također su potpisali pokrovitelji  Fiumanke - Grad Rijeka, Lučka uprava Rijeka, Primorsko-goranska županija i Turistička zajednica Grada Rijeke. Pri tome su istaknuli značaj Fiumanke i pohvalili njezina nastojanja u turističkoj i sportskoj promociji  Rijeke i Kvarnera.  </w:t>
      </w:r>
    </w:p>
    <w:p w:rsidR="000D5515" w:rsidRPr="00F83243" w:rsidRDefault="000D5515" w:rsidP="000D5515">
      <w:pPr>
        <w:spacing w:after="160" w:line="252" w:lineRule="auto"/>
        <w:jc w:val="both"/>
        <w:rPr>
          <w:rFonts w:asciiTheme="minorHAnsi" w:eastAsia="Calibri" w:hAnsiTheme="minorHAnsi"/>
          <w:szCs w:val="22"/>
        </w:rPr>
      </w:pPr>
      <w:r w:rsidRPr="00F83243">
        <w:rPr>
          <w:rFonts w:asciiTheme="minorHAnsi" w:eastAsia="Calibri" w:hAnsiTheme="minorHAnsi"/>
          <w:szCs w:val="22"/>
        </w:rPr>
        <w:t xml:space="preserve">Fiumanku će ove godine po prvi put snimati i </w:t>
      </w:r>
      <w:r w:rsidRPr="00F83243">
        <w:rPr>
          <w:rFonts w:asciiTheme="minorHAnsi" w:eastAsia="Calibri" w:hAnsiTheme="minorHAnsi"/>
          <w:i/>
          <w:szCs w:val="22"/>
        </w:rPr>
        <w:t>Nautical Channel</w:t>
      </w:r>
      <w:r w:rsidRPr="00F83243">
        <w:rPr>
          <w:rFonts w:asciiTheme="minorHAnsi" w:eastAsia="Calibri" w:hAnsiTheme="minorHAnsi"/>
          <w:szCs w:val="22"/>
        </w:rPr>
        <w:t xml:space="preserve">, nezaobilazan program svih ljubitelja jedrenja što će zasigurno pridonijeti povećanju međunarodne popularnosti Fiumanke, dok će se i ove godine, po treći put zaredom, održati Europska medijska regata na kojoj će osim nacionalnih medijskih kuća sudjelovati televizijske ekipe iz Austrije, Slovenije, Slovačke i Mađarske. </w:t>
      </w:r>
    </w:p>
    <w:p w:rsidR="000D5515" w:rsidRPr="00F83243" w:rsidRDefault="000D5515" w:rsidP="000D5515">
      <w:pPr>
        <w:spacing w:after="160" w:line="252" w:lineRule="auto"/>
        <w:jc w:val="both"/>
        <w:rPr>
          <w:rFonts w:asciiTheme="minorHAnsi" w:eastAsia="Calibri" w:hAnsiTheme="minorHAnsi"/>
          <w:szCs w:val="22"/>
        </w:rPr>
      </w:pPr>
      <w:r w:rsidRPr="00F83243">
        <w:rPr>
          <w:rFonts w:asciiTheme="minorHAnsi" w:eastAsia="Calibri" w:hAnsiTheme="minorHAnsi"/>
          <w:szCs w:val="22"/>
        </w:rPr>
        <w:t>Također, 12. i 13. lipnja će se u sklopu Fiumanke po prvi put održati Plavo-zeleni Expo Fiumanka sajam u sklopu kojeg će biti predstavljene inicijative i projekti koji podupiru ciljeve Strategije Europske unije za jadransko-jonsku regiju (EUSAIR) - plavi rast, povezivanje regije, kvaliteta okoliša i održivi turizam. Osim toga, građanima će svoje projekte i proizvode predstaviti petnaestak izlagača među kojima će, uz Inu, biti i Ministarstvo poduzetništva i obrta, Hrvatska gospodarska komora –Županijska komora Rijeka, Jadrolinija, E-</w:t>
      </w:r>
      <w:proofErr w:type="spellStart"/>
      <w:r w:rsidRPr="00F83243">
        <w:rPr>
          <w:rFonts w:asciiTheme="minorHAnsi" w:eastAsia="Calibri" w:hAnsiTheme="minorHAnsi"/>
          <w:szCs w:val="22"/>
        </w:rPr>
        <w:t>mocija</w:t>
      </w:r>
      <w:proofErr w:type="spellEnd"/>
      <w:r w:rsidRPr="00F83243">
        <w:rPr>
          <w:rFonts w:asciiTheme="minorHAnsi" w:eastAsia="Calibri" w:hAnsiTheme="minorHAnsi"/>
          <w:szCs w:val="22"/>
        </w:rPr>
        <w:t xml:space="preserve">, Auto kuća Lenac,  Aci, </w:t>
      </w:r>
      <w:proofErr w:type="spellStart"/>
      <w:r w:rsidRPr="00F83243">
        <w:rPr>
          <w:rFonts w:asciiTheme="minorHAnsi" w:eastAsia="Calibri" w:hAnsiTheme="minorHAnsi"/>
          <w:szCs w:val="22"/>
        </w:rPr>
        <w:t>Armare</w:t>
      </w:r>
      <w:proofErr w:type="spellEnd"/>
      <w:r w:rsidRPr="00F83243">
        <w:rPr>
          <w:rFonts w:asciiTheme="minorHAnsi" w:eastAsia="Calibri" w:hAnsiTheme="minorHAnsi"/>
          <w:szCs w:val="22"/>
        </w:rPr>
        <w:t>, Zagrebački velesajam, itd.</w:t>
      </w:r>
    </w:p>
    <w:p w:rsidR="000D5515" w:rsidRPr="00F83243" w:rsidRDefault="000D5515" w:rsidP="000D5515">
      <w:pPr>
        <w:spacing w:after="160" w:line="252" w:lineRule="auto"/>
        <w:jc w:val="both"/>
        <w:rPr>
          <w:rFonts w:asciiTheme="minorHAnsi" w:eastAsia="Calibri" w:hAnsiTheme="minorHAnsi"/>
          <w:szCs w:val="22"/>
        </w:rPr>
      </w:pPr>
      <w:r w:rsidRPr="00F83243">
        <w:rPr>
          <w:rFonts w:asciiTheme="minorHAnsi" w:eastAsia="Calibri" w:hAnsiTheme="minorHAnsi"/>
          <w:szCs w:val="22"/>
        </w:rPr>
        <w:t xml:space="preserve">Detaljan program ovogodišnje Fiumanke dostupan je </w:t>
      </w:r>
      <w:hyperlink r:id="rId10" w:history="1">
        <w:r w:rsidRPr="00F83243">
          <w:rPr>
            <w:rFonts w:asciiTheme="minorHAnsi" w:eastAsia="Calibri" w:hAnsiTheme="minorHAnsi"/>
            <w:color w:val="0000FF"/>
            <w:szCs w:val="22"/>
            <w:u w:val="single"/>
          </w:rPr>
          <w:t>ovdje.</w:t>
        </w:r>
      </w:hyperlink>
      <w:r w:rsidRPr="00F83243">
        <w:rPr>
          <w:rFonts w:asciiTheme="minorHAnsi" w:eastAsia="Calibri" w:hAnsiTheme="minorHAnsi"/>
          <w:szCs w:val="22"/>
        </w:rPr>
        <w:t xml:space="preserve"> </w:t>
      </w:r>
    </w:p>
    <w:p w:rsidR="002148DA" w:rsidRPr="00F83243" w:rsidRDefault="002148DA" w:rsidP="00E251EF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r w:rsidRPr="00F83243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F83243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83243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F83243">
        <w:rPr>
          <w:rFonts w:asciiTheme="minorHAnsi" w:eastAsia="Calibri" w:hAnsiTheme="minorHAnsi" w:cstheme="minorHAnsi"/>
          <w:sz w:val="20"/>
          <w:szCs w:val="20"/>
        </w:rPr>
        <w:t>2</w:t>
      </w:r>
      <w:r w:rsidRPr="00F83243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bookmarkEnd w:id="1"/>
    <w:p w:rsidR="00E251EF" w:rsidRPr="00F83243" w:rsidRDefault="00E251EF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0D5515" w:rsidRPr="00F83243" w:rsidRDefault="000D5515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F83243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83243">
        <w:rPr>
          <w:rFonts w:asciiTheme="minorHAnsi" w:eastAsia="Calibri" w:hAnsiTheme="minorHAnsi" w:cstheme="minorHAnsi"/>
          <w:b/>
          <w:sz w:val="20"/>
          <w:szCs w:val="20"/>
        </w:rPr>
        <w:lastRenderedPageBreak/>
        <w:t>PR</w:t>
      </w:r>
      <w:r w:rsidRPr="00F83243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F83243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83243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F83243" w:rsidRDefault="002148DA" w:rsidP="00E251EF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F83243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F83243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F83243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F83243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0B" w:rsidRDefault="006D1D0B" w:rsidP="00C11370">
      <w:r>
        <w:separator/>
      </w:r>
    </w:p>
  </w:endnote>
  <w:endnote w:type="continuationSeparator" w:id="0">
    <w:p w:rsidR="006D1D0B" w:rsidRDefault="006D1D0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83425" wp14:editId="2925395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8324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8324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0B" w:rsidRDefault="006D1D0B" w:rsidP="00C11370">
      <w:r>
        <w:separator/>
      </w:r>
    </w:p>
  </w:footnote>
  <w:footnote w:type="continuationSeparator" w:id="0">
    <w:p w:rsidR="006D1D0B" w:rsidRDefault="006D1D0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0EC27573" wp14:editId="5520694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5515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47B8"/>
    <w:rsid w:val="005F7E1C"/>
    <w:rsid w:val="00601B4E"/>
    <w:rsid w:val="00607872"/>
    <w:rsid w:val="00616027"/>
    <w:rsid w:val="00616783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B6895"/>
    <w:rsid w:val="006C0980"/>
    <w:rsid w:val="006C510C"/>
    <w:rsid w:val="006C6036"/>
    <w:rsid w:val="006D1D0B"/>
    <w:rsid w:val="006D7DCD"/>
    <w:rsid w:val="006E694F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7153B"/>
    <w:rsid w:val="00876FA7"/>
    <w:rsid w:val="00882B22"/>
    <w:rsid w:val="008830E1"/>
    <w:rsid w:val="008A0D10"/>
    <w:rsid w:val="008A1085"/>
    <w:rsid w:val="008A424E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E6CB9"/>
    <w:rsid w:val="00C040B1"/>
    <w:rsid w:val="00C05BEB"/>
    <w:rsid w:val="00C05CC4"/>
    <w:rsid w:val="00C11370"/>
    <w:rsid w:val="00C204E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B6579"/>
    <w:rsid w:val="00CC23F2"/>
    <w:rsid w:val="00CC78FC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51E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B75F8"/>
    <w:rsid w:val="00EC11DC"/>
    <w:rsid w:val="00EE2482"/>
    <w:rsid w:val="00EF6B50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83243"/>
    <w:rsid w:val="00F913FC"/>
    <w:rsid w:val="00FA00FA"/>
    <w:rsid w:val="00FA5B8B"/>
    <w:rsid w:val="00FA75AA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iumanka.eu/index.php?page=progra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FB60-2197-4C21-A8C4-97FC5DEB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6</cp:revision>
  <cp:lastPrinted>2015-05-07T11:43:00Z</cp:lastPrinted>
  <dcterms:created xsi:type="dcterms:W3CDTF">2015-05-12T07:10:00Z</dcterms:created>
  <dcterms:modified xsi:type="dcterms:W3CDTF">2015-06-08T12:46:00Z</dcterms:modified>
</cp:coreProperties>
</file>