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Av.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 w:rsidR="00DA028E">
        <w:rPr>
          <w:rFonts w:cs="Arial"/>
          <w:b/>
        </w:rPr>
        <w:t xml:space="preserve"> ZA MEDIJE</w:t>
      </w:r>
    </w:p>
    <w:p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D871AC" w:rsidRDefault="00D871A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:rsidR="00AF3C0F" w:rsidRDefault="00AF3C0F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AF3C0F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INA postala strateški partner Međunarodnog udruženja zračnog prometa IATA</w:t>
      </w:r>
    </w:p>
    <w:p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AF3C0F" w:rsidRDefault="00C73590" w:rsidP="00AF3C0F">
      <w:pPr>
        <w:jc w:val="both"/>
        <w:rPr>
          <w:rFonts w:ascii="Calibri" w:hAnsi="Calibri" w:cs="Calibri"/>
          <w:b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0E2453">
        <w:rPr>
          <w:rFonts w:ascii="Calibri" w:hAnsi="Calibri" w:cs="Calibri"/>
          <w:b/>
          <w:szCs w:val="22"/>
        </w:rPr>
        <w:t>3</w:t>
      </w:r>
      <w:r w:rsidR="009E77FC">
        <w:rPr>
          <w:rFonts w:ascii="Calibri" w:hAnsi="Calibri" w:cs="Calibri"/>
          <w:b/>
          <w:szCs w:val="22"/>
        </w:rPr>
        <w:t xml:space="preserve">. </w:t>
      </w:r>
      <w:r w:rsidR="000E2453">
        <w:rPr>
          <w:rFonts w:ascii="Calibri" w:hAnsi="Calibri" w:cs="Calibri"/>
          <w:b/>
          <w:szCs w:val="22"/>
        </w:rPr>
        <w:t xml:space="preserve">lipnja </w:t>
      </w:r>
      <w:bookmarkStart w:id="0" w:name="_GoBack"/>
      <w:bookmarkEnd w:id="0"/>
      <w:r w:rsidRPr="0076546A">
        <w:rPr>
          <w:rFonts w:ascii="Calibri" w:hAnsi="Calibri" w:cs="Calibri"/>
          <w:b/>
          <w:szCs w:val="22"/>
        </w:rPr>
        <w:t>201</w:t>
      </w:r>
      <w:r w:rsidR="009E77FC">
        <w:rPr>
          <w:rFonts w:ascii="Calibri" w:hAnsi="Calibri" w:cs="Calibri"/>
          <w:b/>
          <w:szCs w:val="22"/>
        </w:rPr>
        <w:t>9</w:t>
      </w:r>
      <w:r w:rsidRPr="0076546A">
        <w:rPr>
          <w:rFonts w:ascii="Calibri" w:hAnsi="Calibri" w:cs="Calibri"/>
          <w:b/>
          <w:szCs w:val="22"/>
        </w:rPr>
        <w:t>.</w:t>
      </w:r>
      <w:r w:rsidR="001431A3" w:rsidRPr="0076546A">
        <w:rPr>
          <w:rFonts w:ascii="Calibri" w:hAnsi="Calibri" w:cs="Calibri"/>
          <w:b/>
          <w:szCs w:val="22"/>
        </w:rPr>
        <w:t xml:space="preserve"> </w:t>
      </w:r>
      <w:r w:rsidRPr="00E86E08">
        <w:rPr>
          <w:rFonts w:ascii="Calibri" w:hAnsi="Calibri" w:cs="Calibri"/>
          <w:b/>
          <w:szCs w:val="22"/>
        </w:rPr>
        <w:t xml:space="preserve">– </w:t>
      </w:r>
      <w:r w:rsidR="00AF3C0F" w:rsidRPr="00AF3C0F">
        <w:rPr>
          <w:rFonts w:ascii="Calibri" w:hAnsi="Calibri" w:cs="Calibri"/>
          <w:b/>
          <w:szCs w:val="22"/>
        </w:rPr>
        <w:t>INA se od ove godine kao strateški partner pridružila Međunarodnom udruženju zračnog prometa IATA - International Air Transport Association. IATA više od 70 godina regulira međunarodne standarde zračne djelatnosti za više od 17.000 subjekata iz cijelog sv</w:t>
      </w:r>
      <w:r w:rsidR="00AF3C0F">
        <w:rPr>
          <w:rFonts w:ascii="Calibri" w:hAnsi="Calibri" w:cs="Calibri"/>
          <w:b/>
          <w:szCs w:val="22"/>
        </w:rPr>
        <w:t xml:space="preserve">ijeta, a </w:t>
      </w:r>
      <w:r w:rsidR="00AF3C0F" w:rsidRPr="00AF3C0F">
        <w:rPr>
          <w:rFonts w:ascii="Calibri" w:hAnsi="Calibri" w:cs="Calibri"/>
          <w:b/>
          <w:szCs w:val="22"/>
        </w:rPr>
        <w:t xml:space="preserve"> </w:t>
      </w:r>
      <w:r w:rsidR="00AF3C0F">
        <w:rPr>
          <w:rFonts w:ascii="Calibri" w:hAnsi="Calibri" w:cs="Calibri"/>
          <w:b/>
          <w:szCs w:val="22"/>
        </w:rPr>
        <w:t>p</w:t>
      </w:r>
      <w:r w:rsidR="00AF3C0F" w:rsidRPr="00AF3C0F">
        <w:rPr>
          <w:rFonts w:ascii="Calibri" w:hAnsi="Calibri" w:cs="Calibri"/>
          <w:b/>
          <w:szCs w:val="22"/>
        </w:rPr>
        <w:t xml:space="preserve">artnerstvo u </w:t>
      </w:r>
      <w:r w:rsidR="00AF3C0F">
        <w:rPr>
          <w:rFonts w:ascii="Calibri" w:hAnsi="Calibri" w:cs="Calibri"/>
          <w:b/>
          <w:szCs w:val="22"/>
        </w:rPr>
        <w:t>udruženju</w:t>
      </w:r>
      <w:r w:rsidR="00AF3C0F" w:rsidRPr="00AF3C0F">
        <w:rPr>
          <w:rFonts w:ascii="Calibri" w:hAnsi="Calibri" w:cs="Calibri"/>
          <w:b/>
          <w:szCs w:val="22"/>
        </w:rPr>
        <w:t xml:space="preserve"> prilika je za unaprjeđenje poslovanja kompanije uz stručnu podršku.</w:t>
      </w:r>
    </w:p>
    <w:p w:rsidR="00AF3C0F" w:rsidRPr="00AF3C0F" w:rsidRDefault="00AF3C0F" w:rsidP="00AF3C0F">
      <w:pPr>
        <w:jc w:val="both"/>
        <w:rPr>
          <w:rFonts w:ascii="Calibri" w:hAnsi="Calibri" w:cs="Calibri"/>
          <w:b/>
          <w:szCs w:val="22"/>
        </w:rPr>
      </w:pPr>
    </w:p>
    <w:p w:rsidR="00AF3C0F" w:rsidRPr="00AF3C0F" w:rsidRDefault="00AF3C0F" w:rsidP="00AF3C0F">
      <w:pPr>
        <w:jc w:val="both"/>
        <w:rPr>
          <w:rFonts w:ascii="Calibri" w:hAnsi="Calibri" w:cs="Calibri"/>
          <w:szCs w:val="22"/>
        </w:rPr>
      </w:pPr>
      <w:r w:rsidRPr="00AF3C0F">
        <w:rPr>
          <w:rFonts w:ascii="Calibri" w:hAnsi="Calibri" w:cs="Calibri"/>
          <w:szCs w:val="22"/>
        </w:rPr>
        <w:t xml:space="preserve">IATA organizira Aviation Fuel Forum dva puta godišnje </w:t>
      </w:r>
      <w:r>
        <w:rPr>
          <w:rFonts w:ascii="Calibri" w:hAnsi="Calibri" w:cs="Calibri"/>
          <w:szCs w:val="22"/>
        </w:rPr>
        <w:t>te na njemu</w:t>
      </w:r>
      <w:r w:rsidRPr="00AF3C0F">
        <w:rPr>
          <w:rFonts w:ascii="Calibri" w:hAnsi="Calibri" w:cs="Calibri"/>
          <w:szCs w:val="22"/>
        </w:rPr>
        <w:t xml:space="preserve"> okuplja sudionike zračnog prometa iz cijelog svijeta na jednom mjestu. Forum je jedinstvena platforma koja omogućuje predstavnicima zrakoplovnih tvrtki, dobavljačima goriva i strateškim partnerima IATA-e povezanost, raspravu o prioritetima industrije i dogovor o aktivnostima za povećanje učinkovitosti i produktivnosti po jasno definiranim međunarodnim pravilima. </w:t>
      </w:r>
    </w:p>
    <w:p w:rsidR="00AF3C0F" w:rsidRPr="00AF3C0F" w:rsidRDefault="00AF3C0F" w:rsidP="00AF3C0F">
      <w:pPr>
        <w:jc w:val="both"/>
        <w:rPr>
          <w:rFonts w:ascii="Calibri" w:hAnsi="Calibri" w:cs="Calibri"/>
          <w:szCs w:val="22"/>
        </w:rPr>
      </w:pPr>
    </w:p>
    <w:p w:rsidR="00193415" w:rsidRPr="00AF3C0F" w:rsidRDefault="00AF3C0F" w:rsidP="00AF3C0F">
      <w:pPr>
        <w:jc w:val="both"/>
        <w:rPr>
          <w:rFonts w:ascii="Calibri" w:hAnsi="Calibri" w:cs="Calibri"/>
          <w:szCs w:val="22"/>
        </w:rPr>
      </w:pPr>
      <w:r w:rsidRPr="00AF3C0F">
        <w:rPr>
          <w:rFonts w:ascii="Calibri" w:hAnsi="Calibri" w:cs="Calibri"/>
          <w:szCs w:val="22"/>
        </w:rPr>
        <w:t>Na ovogodišnjem Europskom Fuel Forumu održanom u Ateni od 20. do 23. svibnja prvi put su sudjelovali i predstavnici Ine te održali sastanke s aviokompanijama uz predstavljanje povezanosti avio poslovanja na razini MOL Grupe.</w:t>
      </w:r>
    </w:p>
    <w:p w:rsidR="00193415" w:rsidRDefault="00193415" w:rsidP="00193415">
      <w:pPr>
        <w:ind w:right="140"/>
        <w:jc w:val="both"/>
        <w:rPr>
          <w:rFonts w:ascii="Calibri" w:hAnsi="Calibri" w:cs="Calibri"/>
          <w:i/>
          <w:szCs w:val="22"/>
        </w:rPr>
      </w:pPr>
    </w:p>
    <w:p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EC7601"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  <w:r w:rsidR="009E77FC">
        <w:rPr>
          <w:rFonts w:asciiTheme="minorHAnsi" w:eastAsia="Calibri" w:hAnsiTheme="minorHAnsi" w:cs="Arial"/>
          <w:sz w:val="20"/>
          <w:szCs w:val="20"/>
        </w:rPr>
        <w:t xml:space="preserve"> INA Grupa članica je MOL Grupe.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E8A26" w16cid:durableId="1F8D6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5B" w:rsidRDefault="00751A5B">
      <w:r>
        <w:separator/>
      </w:r>
    </w:p>
  </w:endnote>
  <w:endnote w:type="continuationSeparator" w:id="0">
    <w:p w:rsidR="00751A5B" w:rsidRDefault="0075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8B21A0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2EC" w:rsidRDefault="00751A5B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751A5B">
    <w:pPr>
      <w:rPr>
        <w:sz w:val="2"/>
        <w:szCs w:val="2"/>
      </w:rPr>
    </w:pPr>
    <w:r>
      <w:rPr>
        <w:noProof/>
        <w:sz w:val="2"/>
        <w:szCs w:val="2"/>
        <w:lang w:eastAsia="hr-HR"/>
      </w:rPr>
      <w:pict>
        <v:line id="Line 2" o:spid="_x0000_s2049" style="position:absolute;flip:y;z-index:251658240;visibility:visibl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</w:pict>
    </w:r>
  </w:p>
  <w:p w:rsidR="005922EC" w:rsidRPr="00BE07FB" w:rsidRDefault="00751A5B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751A5B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751A5B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5922EC" w:rsidRDefault="00751A5B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751A5B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751A5B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751A5B">
    <w:pPr>
      <w:rPr>
        <w:sz w:val="2"/>
        <w:szCs w:val="2"/>
      </w:rPr>
    </w:pPr>
  </w:p>
  <w:p w:rsidR="005922EC" w:rsidRPr="00B976E5" w:rsidRDefault="00751A5B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51A5B" w:rsidP="005E2581">
    <w:pPr>
      <w:pStyle w:val="Footer"/>
      <w:ind w:right="360"/>
      <w:rPr>
        <w:sz w:val="2"/>
      </w:rPr>
    </w:pPr>
  </w:p>
  <w:p w:rsidR="005922EC" w:rsidRDefault="00751A5B">
    <w:pPr>
      <w:pStyle w:val="Footer"/>
      <w:rPr>
        <w:sz w:val="2"/>
      </w:rPr>
    </w:pPr>
  </w:p>
  <w:p w:rsidR="005922EC" w:rsidRDefault="00751A5B" w:rsidP="001F421D">
    <w:pPr>
      <w:pStyle w:val="Footer"/>
      <w:ind w:right="360"/>
      <w:rPr>
        <w:sz w:val="2"/>
      </w:rPr>
    </w:pPr>
  </w:p>
  <w:p w:rsidR="005922EC" w:rsidRDefault="00751A5B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5922EC" w:rsidRPr="00374688" w:rsidRDefault="008B21A0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5922EC" w:rsidRDefault="00751A5B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5922EC" w:rsidRPr="00374688" w:rsidRDefault="00751A5B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B21A0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B21A0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B21A0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5922EC" w:rsidRPr="00374688" w:rsidRDefault="00751A5B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B21A0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B21A0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B21A0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26979" w:rsidRPr="00026979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:rsidR="005922EC" w:rsidRDefault="00751A5B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Erste&amp;Steiermärkische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 Pierre Mendes 30, 75013 Paris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Hollande 2, Case Postale 5060 1211 Geneve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r w:rsidRPr="00250C6F">
                  <w:rPr>
                    <w:sz w:val="11"/>
                    <w:szCs w:val="11"/>
                  </w:rPr>
                  <w:t>Ákos Székely​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>Zsolt Pethő​</w:t>
                </w:r>
              </w:p>
              <w:p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Damir Vanđelić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B21A0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B21A0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E2453">
            <w:rPr>
              <w:rFonts w:cs="Arial"/>
              <w:noProof/>
              <w:vanish/>
              <w:sz w:val="11"/>
              <w:szCs w:val="11"/>
            </w:rPr>
            <w:t>1</w:t>
          </w:r>
          <w:r w:rsidR="008B21A0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E2453" w:rsidRPr="000E2453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B21A0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B21A0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E2453">
            <w:rPr>
              <w:rFonts w:cs="Arial"/>
              <w:noProof/>
              <w:vanish/>
              <w:sz w:val="11"/>
              <w:szCs w:val="11"/>
            </w:rPr>
            <w:t>1</w:t>
          </w:r>
          <w:r w:rsidR="008B21A0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0E2453" w:rsidRPr="000E2453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5922EC" w:rsidRPr="00B622A1" w:rsidRDefault="00751A5B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51A5B">
    <w:pPr>
      <w:pStyle w:val="Footer"/>
      <w:rPr>
        <w:sz w:val="2"/>
      </w:rPr>
    </w:pPr>
  </w:p>
  <w:p w:rsidR="005922EC" w:rsidRDefault="00751A5B">
    <w:pPr>
      <w:pStyle w:val="Footer"/>
      <w:rPr>
        <w:sz w:val="2"/>
      </w:rPr>
    </w:pPr>
  </w:p>
  <w:p w:rsidR="005922EC" w:rsidRPr="000164F0" w:rsidRDefault="00751A5B">
    <w:pPr>
      <w:pStyle w:val="Footer"/>
      <w:rPr>
        <w:sz w:val="8"/>
        <w:szCs w:val="8"/>
      </w:rPr>
    </w:pPr>
  </w:p>
  <w:p w:rsidR="005922EC" w:rsidRDefault="008B21A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751A5B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IBAN Number</w:t>
                </w:r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751A5B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Raiffeisenbank Austria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Sberbank d.d.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 Bank Austria AG</w:t>
                </w:r>
              </w:p>
              <w:p w:rsidR="005922EC" w:rsidRPr="00473D9C" w:rsidRDefault="00751A5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5922EC" w:rsidRPr="00473D9C" w:rsidRDefault="00751A5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5922EC" w:rsidRPr="00473D9C" w:rsidRDefault="00751A5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 4, 10000 Zagreb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 Pierre Mendes 30, 75013 Paris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 6-8, A-1010 Wien</w:t>
                </w:r>
              </w:p>
              <w:p w:rsidR="005922EC" w:rsidRPr="00473D9C" w:rsidRDefault="00751A5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Place de Hollande 2, Case Postale 5060 1211 Geneve 11</w:t>
                </w:r>
              </w:p>
              <w:p w:rsidR="005922EC" w:rsidRPr="00473D9C" w:rsidRDefault="00751A5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5922EC" w:rsidRPr="00473D9C" w:rsidRDefault="00751A5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4 quai General - Guisan,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5922EC" w:rsidRPr="00473D9C" w:rsidRDefault="00751A5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:rsidR="005922EC" w:rsidRPr="00473D9C" w:rsidRDefault="00751A5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5922EC" w:rsidRPr="00473D9C" w:rsidRDefault="00751A5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5922EC" w:rsidRPr="00473D9C" w:rsidRDefault="00751A5B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5922EC" w:rsidRPr="00473D9C" w:rsidRDefault="00751A5B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5922EC" w:rsidRDefault="00751A5B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51A5B">
    <w:pPr>
      <w:pStyle w:val="Footer"/>
      <w:rPr>
        <w:sz w:val="2"/>
      </w:rPr>
    </w:pPr>
  </w:p>
  <w:p w:rsidR="005922EC" w:rsidRDefault="00751A5B">
    <w:pPr>
      <w:pStyle w:val="Footer"/>
      <w:rPr>
        <w:sz w:val="2"/>
      </w:rPr>
    </w:pPr>
    <w:r>
      <w:rPr>
        <w:noProof/>
        <w:sz w:val="20"/>
        <w:lang w:eastAsia="hr-HR"/>
      </w:rPr>
      <w:pict>
        <v:line id="Line 4" o:spid="_x0000_s2052" style="position:absolute;z-index:251655168;visibility:visible;mso-wrap-distance-top:-6e-5mm;mso-wrap-distance-bottom:-6e-5mm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</w:pict>
    </w:r>
  </w:p>
  <w:p w:rsidR="005922EC" w:rsidRPr="000164F0" w:rsidRDefault="00751A5B">
    <w:pPr>
      <w:pStyle w:val="Footer"/>
      <w:rPr>
        <w:sz w:val="8"/>
        <w:szCs w:val="8"/>
      </w:rPr>
    </w:pPr>
  </w:p>
  <w:p w:rsidR="005922EC" w:rsidRDefault="008B21A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751A5B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Pr="00BE07FB" w:rsidRDefault="00751A5B">
    <w:pPr>
      <w:rPr>
        <w:sz w:val="2"/>
        <w:szCs w:val="2"/>
      </w:rPr>
    </w:pPr>
    <w:r>
      <w:rPr>
        <w:noProof/>
        <w:sz w:val="2"/>
        <w:szCs w:val="2"/>
        <w:lang w:eastAsia="hr-HR"/>
      </w:rPr>
      <w:pict>
        <v:line id="Line 5" o:spid="_x0000_s2051" style="position:absolute;flip:y;z-index:251657216;visibility:visibl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</w:pict>
    </w:r>
  </w:p>
  <w:p w:rsidR="005922EC" w:rsidRPr="00BE07FB" w:rsidRDefault="00751A5B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r>
            <w:rPr>
              <w:rFonts w:cs="Arial"/>
              <w:i/>
              <w:iCs/>
              <w:sz w:val="12"/>
            </w:rPr>
            <w:t>Telephone</w:t>
          </w:r>
          <w:r>
            <w:rPr>
              <w:rFonts w:cs="Arial"/>
              <w:sz w:val="12"/>
            </w:rPr>
            <w:t xml:space="preserve"> +385(1)6450000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r>
            <w:rPr>
              <w:rFonts w:cs="Arial"/>
              <w:i/>
              <w:iCs/>
              <w:sz w:val="12"/>
            </w:rPr>
            <w:t>Address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rač. - </w:t>
          </w:r>
          <w:r>
            <w:rPr>
              <w:rFonts w:cs="Arial"/>
              <w:i/>
              <w:iCs/>
              <w:sz w:val="12"/>
            </w:rPr>
            <w:t>Giro acc</w:t>
          </w:r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Commercial Court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r>
            <w:rPr>
              <w:rFonts w:cs="Arial"/>
              <w:i/>
              <w:iCs/>
              <w:sz w:val="12"/>
            </w:rPr>
            <w:t>Payed</w:t>
          </w:r>
          <w:r>
            <w:rPr>
              <w:rFonts w:cs="Arial"/>
              <w:sz w:val="12"/>
            </w:rPr>
            <w:t xml:space="preserve"> c</w:t>
          </w:r>
          <w:r>
            <w:rPr>
              <w:rFonts w:cs="Arial"/>
              <w:i/>
              <w:iCs/>
              <w:sz w:val="12"/>
            </w:rPr>
            <w:t>apital stock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>No. of issued shares / Nominal value</w:t>
          </w:r>
        </w:p>
        <w:p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r>
            <w:rPr>
              <w:rFonts w:cs="Arial"/>
              <w:i/>
              <w:iCs/>
              <w:sz w:val="12"/>
            </w:rPr>
            <w:t>Ident.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5922EC" w:rsidRDefault="00751A5B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Dresdner bank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5922EC" w:rsidRDefault="00751A5B">
          <w:pPr>
            <w:pStyle w:val="Footer"/>
            <w:rPr>
              <w:rFonts w:cs="Arial"/>
              <w:sz w:val="12"/>
            </w:rPr>
          </w:pPr>
        </w:p>
      </w:tc>
    </w:tr>
    <w:tr w:rsidR="005922EC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r>
            <w:rPr>
              <w:rFonts w:cs="Arial"/>
              <w:i/>
              <w:iCs/>
              <w:sz w:val="12"/>
            </w:rPr>
            <w:t>President and</w:t>
          </w:r>
          <w:r>
            <w:rPr>
              <w:rFonts w:cs="Arial"/>
              <w:sz w:val="12"/>
            </w:rPr>
            <w:t xml:space="preserve"> m</w:t>
          </w:r>
          <w:r>
            <w:rPr>
              <w:rFonts w:cs="Arial"/>
              <w:i/>
              <w:iCs/>
              <w:sz w:val="12"/>
            </w:rPr>
            <w:t>embers of the Management Board</w:t>
          </w:r>
          <w:r>
            <w:rPr>
              <w:rFonts w:cs="Arial"/>
              <w:sz w:val="12"/>
            </w:rPr>
            <w:t>:</w:t>
          </w: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Tomislav Dragičević, László Geszti, Željko Belošić, Milan Ujević, Sanjin Kirigin, Boris Čavrak, Béla Cseh</w:t>
          </w:r>
        </w:p>
        <w:p w:rsidR="005922EC" w:rsidRDefault="00751A5B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751A5B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r>
            <w:rPr>
              <w:rFonts w:cs="Arial"/>
              <w:i/>
              <w:iCs/>
              <w:sz w:val="12"/>
            </w:rPr>
            <w:t>President of the Supevisory Board</w:t>
          </w:r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5922EC" w:rsidRDefault="00751A5B">
          <w:pPr>
            <w:pStyle w:val="Footer"/>
            <w:rPr>
              <w:rFonts w:cs="Arial"/>
              <w:sz w:val="12"/>
            </w:rPr>
          </w:pPr>
        </w:p>
      </w:tc>
    </w:tr>
  </w:tbl>
  <w:p w:rsidR="005922EC" w:rsidRPr="00BE07FB" w:rsidRDefault="00751A5B">
    <w:pPr>
      <w:rPr>
        <w:sz w:val="2"/>
        <w:szCs w:val="2"/>
      </w:rPr>
    </w:pPr>
  </w:p>
  <w:p w:rsidR="005922EC" w:rsidRPr="00B976E5" w:rsidRDefault="00751A5B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51A5B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51A5B">
    <w:pPr>
      <w:pStyle w:val="Footer"/>
      <w:rPr>
        <w:sz w:val="2"/>
      </w:rPr>
    </w:pPr>
  </w:p>
  <w:p w:rsidR="005922EC" w:rsidRDefault="00751A5B">
    <w:pPr>
      <w:pStyle w:val="Footer"/>
      <w:rPr>
        <w:sz w:val="2"/>
      </w:rPr>
    </w:pPr>
    <w:r>
      <w:rPr>
        <w:noProof/>
        <w:sz w:val="20"/>
        <w:lang w:eastAsia="hr-HR"/>
      </w:rPr>
      <w:pict>
        <v:line id="Line 1" o:spid="_x0000_s2050" style="position:absolute;z-index:251656192;visibility:visible;mso-wrap-distance-top:-6e-5mm;mso-wrap-distance-bottom:-6e-5mm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</w:pict>
    </w:r>
  </w:p>
  <w:p w:rsidR="005922EC" w:rsidRPr="000164F0" w:rsidRDefault="00751A5B">
    <w:pPr>
      <w:pStyle w:val="Footer"/>
      <w:rPr>
        <w:sz w:val="8"/>
        <w:szCs w:val="8"/>
      </w:rPr>
    </w:pPr>
  </w:p>
  <w:p w:rsidR="005922EC" w:rsidRDefault="008B21A0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19341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193415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5922EC" w:rsidRDefault="00751A5B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5B" w:rsidRDefault="00751A5B">
      <w:r>
        <w:separator/>
      </w:r>
    </w:p>
  </w:footnote>
  <w:footnote w:type="continuationSeparator" w:id="0">
    <w:p w:rsidR="00751A5B" w:rsidRDefault="00751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242" w:rsidRPr="0056798D" w:rsidRDefault="00510E96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624205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:rsidR="005922EC" w:rsidRDefault="00751A5B">
    <w:pPr>
      <w:pStyle w:val="Header"/>
      <w:jc w:val="right"/>
      <w:rPr>
        <w:sz w:val="2"/>
      </w:rPr>
    </w:pPr>
  </w:p>
  <w:p w:rsidR="005922EC" w:rsidRDefault="00751A5B">
    <w:pPr>
      <w:pStyle w:val="Header"/>
      <w:jc w:val="right"/>
      <w:rPr>
        <w:sz w:val="2"/>
      </w:rPr>
    </w:pPr>
  </w:p>
  <w:p w:rsidR="005922EC" w:rsidRDefault="00751A5B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22EC" w:rsidRDefault="00751A5B">
    <w:pPr>
      <w:pStyle w:val="Header"/>
      <w:jc w:val="right"/>
      <w:rPr>
        <w:sz w:val="2"/>
      </w:rPr>
    </w:pPr>
  </w:p>
  <w:p w:rsidR="005922EC" w:rsidRDefault="00751A5B">
    <w:pPr>
      <w:pStyle w:val="Header"/>
      <w:jc w:val="right"/>
      <w:rPr>
        <w:sz w:val="2"/>
      </w:rPr>
    </w:pPr>
  </w:p>
  <w:p w:rsidR="005922EC" w:rsidRPr="0056798D" w:rsidRDefault="00751A5B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51A5B">
    <w:pPr>
      <w:pStyle w:val="Header"/>
      <w:jc w:val="right"/>
      <w:rPr>
        <w:sz w:val="2"/>
      </w:rPr>
    </w:pPr>
  </w:p>
  <w:p w:rsidR="005922EC" w:rsidRDefault="00751A5B">
    <w:pPr>
      <w:pStyle w:val="Header"/>
      <w:jc w:val="right"/>
      <w:rPr>
        <w:sz w:val="2"/>
      </w:rPr>
    </w:pPr>
  </w:p>
  <w:p w:rsidR="005922EC" w:rsidRDefault="00751A5B">
    <w:pPr>
      <w:pStyle w:val="Header"/>
      <w:jc w:val="right"/>
      <w:rPr>
        <w:sz w:val="2"/>
      </w:rPr>
    </w:pPr>
  </w:p>
  <w:p w:rsidR="005922EC" w:rsidRDefault="00751A5B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51A5B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51A5B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EC" w:rsidRDefault="00751A5B">
    <w:pPr>
      <w:pStyle w:val="Header"/>
      <w:jc w:val="right"/>
      <w:rPr>
        <w:sz w:val="2"/>
      </w:rPr>
    </w:pPr>
  </w:p>
  <w:p w:rsidR="005922EC" w:rsidRDefault="00751A5B">
    <w:pPr>
      <w:pStyle w:val="Header"/>
      <w:jc w:val="right"/>
      <w:rPr>
        <w:sz w:val="2"/>
      </w:rPr>
    </w:pPr>
  </w:p>
  <w:p w:rsidR="005922EC" w:rsidRDefault="00751A5B">
    <w:pPr>
      <w:pStyle w:val="Header"/>
      <w:jc w:val="right"/>
      <w:rPr>
        <w:sz w:val="2"/>
      </w:rPr>
    </w:pPr>
  </w:p>
  <w:p w:rsidR="005922EC" w:rsidRDefault="00751A5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AC10A1"/>
    <w:multiLevelType w:val="hybridMultilevel"/>
    <w:tmpl w:val="C30638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2BE9"/>
    <w:rsid w:val="00044D71"/>
    <w:rsid w:val="00045621"/>
    <w:rsid w:val="0004695B"/>
    <w:rsid w:val="00046FA6"/>
    <w:rsid w:val="00047855"/>
    <w:rsid w:val="00047EA8"/>
    <w:rsid w:val="00047FDE"/>
    <w:rsid w:val="00052753"/>
    <w:rsid w:val="0005515B"/>
    <w:rsid w:val="00056EFD"/>
    <w:rsid w:val="000650ED"/>
    <w:rsid w:val="000716FA"/>
    <w:rsid w:val="00081ABD"/>
    <w:rsid w:val="00082688"/>
    <w:rsid w:val="00083087"/>
    <w:rsid w:val="0008634A"/>
    <w:rsid w:val="00086D45"/>
    <w:rsid w:val="00092078"/>
    <w:rsid w:val="00094970"/>
    <w:rsid w:val="000A0BFF"/>
    <w:rsid w:val="000B085A"/>
    <w:rsid w:val="000B17DB"/>
    <w:rsid w:val="000B327E"/>
    <w:rsid w:val="000B3FC7"/>
    <w:rsid w:val="000B5572"/>
    <w:rsid w:val="000C5C97"/>
    <w:rsid w:val="000D5FAE"/>
    <w:rsid w:val="000D7645"/>
    <w:rsid w:val="000D7BA3"/>
    <w:rsid w:val="000E050A"/>
    <w:rsid w:val="000E2453"/>
    <w:rsid w:val="000E49A0"/>
    <w:rsid w:val="000E5AB2"/>
    <w:rsid w:val="000E7A79"/>
    <w:rsid w:val="000F0F6A"/>
    <w:rsid w:val="000F3B1C"/>
    <w:rsid w:val="00100EF1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6036"/>
    <w:rsid w:val="001562CC"/>
    <w:rsid w:val="00156652"/>
    <w:rsid w:val="00156E71"/>
    <w:rsid w:val="00161020"/>
    <w:rsid w:val="00161F2D"/>
    <w:rsid w:val="001637B1"/>
    <w:rsid w:val="001644BB"/>
    <w:rsid w:val="00166ABD"/>
    <w:rsid w:val="00171BF3"/>
    <w:rsid w:val="00184632"/>
    <w:rsid w:val="001856AC"/>
    <w:rsid w:val="00191574"/>
    <w:rsid w:val="00193415"/>
    <w:rsid w:val="001969B5"/>
    <w:rsid w:val="001A34F1"/>
    <w:rsid w:val="001B0FCA"/>
    <w:rsid w:val="001B1D50"/>
    <w:rsid w:val="001B504C"/>
    <w:rsid w:val="001B6F9C"/>
    <w:rsid w:val="001B72AB"/>
    <w:rsid w:val="001C19C0"/>
    <w:rsid w:val="001C3205"/>
    <w:rsid w:val="001D2EE7"/>
    <w:rsid w:val="001D34F7"/>
    <w:rsid w:val="001D5EEF"/>
    <w:rsid w:val="001D677B"/>
    <w:rsid w:val="001E3A20"/>
    <w:rsid w:val="001E6F46"/>
    <w:rsid w:val="001E7160"/>
    <w:rsid w:val="001F7F06"/>
    <w:rsid w:val="0020107F"/>
    <w:rsid w:val="002015E8"/>
    <w:rsid w:val="0020718E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70A38"/>
    <w:rsid w:val="00274C48"/>
    <w:rsid w:val="0028225E"/>
    <w:rsid w:val="00295C4B"/>
    <w:rsid w:val="00297408"/>
    <w:rsid w:val="00297C24"/>
    <w:rsid w:val="002A11C3"/>
    <w:rsid w:val="002A4D04"/>
    <w:rsid w:val="002B5522"/>
    <w:rsid w:val="002B76B1"/>
    <w:rsid w:val="002C08BB"/>
    <w:rsid w:val="002C4865"/>
    <w:rsid w:val="002C593A"/>
    <w:rsid w:val="002C7E72"/>
    <w:rsid w:val="002D14D8"/>
    <w:rsid w:val="002D3C40"/>
    <w:rsid w:val="002E0D3C"/>
    <w:rsid w:val="002E2DAC"/>
    <w:rsid w:val="002E7445"/>
    <w:rsid w:val="002F5DB5"/>
    <w:rsid w:val="002F73A7"/>
    <w:rsid w:val="00300116"/>
    <w:rsid w:val="00302D1E"/>
    <w:rsid w:val="00311B15"/>
    <w:rsid w:val="00314E86"/>
    <w:rsid w:val="00320D0F"/>
    <w:rsid w:val="00322E56"/>
    <w:rsid w:val="00324A34"/>
    <w:rsid w:val="00330905"/>
    <w:rsid w:val="00332C2F"/>
    <w:rsid w:val="003379B7"/>
    <w:rsid w:val="00342E3A"/>
    <w:rsid w:val="00343CB6"/>
    <w:rsid w:val="00345092"/>
    <w:rsid w:val="00346589"/>
    <w:rsid w:val="00350C77"/>
    <w:rsid w:val="003517CE"/>
    <w:rsid w:val="00354141"/>
    <w:rsid w:val="0035496D"/>
    <w:rsid w:val="00364741"/>
    <w:rsid w:val="0036617E"/>
    <w:rsid w:val="00370BFB"/>
    <w:rsid w:val="003716B2"/>
    <w:rsid w:val="00376752"/>
    <w:rsid w:val="003827B9"/>
    <w:rsid w:val="00383C9A"/>
    <w:rsid w:val="003843F9"/>
    <w:rsid w:val="00384D83"/>
    <w:rsid w:val="00385250"/>
    <w:rsid w:val="00390B88"/>
    <w:rsid w:val="00392414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341F"/>
    <w:rsid w:val="003D0B3E"/>
    <w:rsid w:val="003D401C"/>
    <w:rsid w:val="003D5EF1"/>
    <w:rsid w:val="003E2303"/>
    <w:rsid w:val="003E330B"/>
    <w:rsid w:val="003F016C"/>
    <w:rsid w:val="003F1AD0"/>
    <w:rsid w:val="003F1BF4"/>
    <w:rsid w:val="003F268C"/>
    <w:rsid w:val="003F39AE"/>
    <w:rsid w:val="00401B14"/>
    <w:rsid w:val="00402C13"/>
    <w:rsid w:val="00402C84"/>
    <w:rsid w:val="00403D95"/>
    <w:rsid w:val="0040555D"/>
    <w:rsid w:val="00407D5E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57148"/>
    <w:rsid w:val="00460704"/>
    <w:rsid w:val="00460784"/>
    <w:rsid w:val="00461A5F"/>
    <w:rsid w:val="00462DB1"/>
    <w:rsid w:val="00464BA2"/>
    <w:rsid w:val="004677F9"/>
    <w:rsid w:val="00474870"/>
    <w:rsid w:val="004759E0"/>
    <w:rsid w:val="00482C09"/>
    <w:rsid w:val="00485353"/>
    <w:rsid w:val="004A2423"/>
    <w:rsid w:val="004A6F7A"/>
    <w:rsid w:val="004B3FE6"/>
    <w:rsid w:val="004B442F"/>
    <w:rsid w:val="004B6427"/>
    <w:rsid w:val="004C05F6"/>
    <w:rsid w:val="004C19C0"/>
    <w:rsid w:val="004C3C6A"/>
    <w:rsid w:val="004C472B"/>
    <w:rsid w:val="004C5DE2"/>
    <w:rsid w:val="004C7F48"/>
    <w:rsid w:val="004D7B41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0E96"/>
    <w:rsid w:val="0051175D"/>
    <w:rsid w:val="00515A18"/>
    <w:rsid w:val="00525E4C"/>
    <w:rsid w:val="00533201"/>
    <w:rsid w:val="00535A75"/>
    <w:rsid w:val="00540E34"/>
    <w:rsid w:val="005434CA"/>
    <w:rsid w:val="0054365E"/>
    <w:rsid w:val="00543DC0"/>
    <w:rsid w:val="00546221"/>
    <w:rsid w:val="005477DB"/>
    <w:rsid w:val="00557ADE"/>
    <w:rsid w:val="0056268C"/>
    <w:rsid w:val="005632FD"/>
    <w:rsid w:val="00574C12"/>
    <w:rsid w:val="00580CCB"/>
    <w:rsid w:val="00580FD0"/>
    <w:rsid w:val="0058603E"/>
    <w:rsid w:val="00590DED"/>
    <w:rsid w:val="00591F55"/>
    <w:rsid w:val="005C0DF8"/>
    <w:rsid w:val="005C281B"/>
    <w:rsid w:val="005C38B7"/>
    <w:rsid w:val="005E10A5"/>
    <w:rsid w:val="006023CD"/>
    <w:rsid w:val="00602B87"/>
    <w:rsid w:val="006043BC"/>
    <w:rsid w:val="006047C9"/>
    <w:rsid w:val="00607A22"/>
    <w:rsid w:val="00610071"/>
    <w:rsid w:val="0061041A"/>
    <w:rsid w:val="00610CC2"/>
    <w:rsid w:val="00612899"/>
    <w:rsid w:val="00613575"/>
    <w:rsid w:val="006147A2"/>
    <w:rsid w:val="00624E98"/>
    <w:rsid w:val="00625A72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29BF"/>
    <w:rsid w:val="00674DAB"/>
    <w:rsid w:val="00682C6F"/>
    <w:rsid w:val="00695044"/>
    <w:rsid w:val="006B27BB"/>
    <w:rsid w:val="006B3FDB"/>
    <w:rsid w:val="006C16A8"/>
    <w:rsid w:val="006C39DD"/>
    <w:rsid w:val="006C4757"/>
    <w:rsid w:val="006C5480"/>
    <w:rsid w:val="006C6074"/>
    <w:rsid w:val="006C7EAB"/>
    <w:rsid w:val="006D2E0C"/>
    <w:rsid w:val="006D36A5"/>
    <w:rsid w:val="006D754D"/>
    <w:rsid w:val="006E43F5"/>
    <w:rsid w:val="006F110E"/>
    <w:rsid w:val="006F2075"/>
    <w:rsid w:val="006F3112"/>
    <w:rsid w:val="006F5C1A"/>
    <w:rsid w:val="00701D11"/>
    <w:rsid w:val="00703CC9"/>
    <w:rsid w:val="007058AC"/>
    <w:rsid w:val="0070727F"/>
    <w:rsid w:val="007138F1"/>
    <w:rsid w:val="00716A27"/>
    <w:rsid w:val="0072688C"/>
    <w:rsid w:val="00730872"/>
    <w:rsid w:val="00733476"/>
    <w:rsid w:val="007349F7"/>
    <w:rsid w:val="007366AC"/>
    <w:rsid w:val="007370A9"/>
    <w:rsid w:val="00737B93"/>
    <w:rsid w:val="00740D64"/>
    <w:rsid w:val="00742C58"/>
    <w:rsid w:val="00751A5B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2334"/>
    <w:rsid w:val="007874CE"/>
    <w:rsid w:val="00793ABE"/>
    <w:rsid w:val="00795877"/>
    <w:rsid w:val="00796191"/>
    <w:rsid w:val="007B3950"/>
    <w:rsid w:val="007B758F"/>
    <w:rsid w:val="007C026D"/>
    <w:rsid w:val="007C29B5"/>
    <w:rsid w:val="007C5180"/>
    <w:rsid w:val="007D2B00"/>
    <w:rsid w:val="007D48EA"/>
    <w:rsid w:val="007D497A"/>
    <w:rsid w:val="007E1510"/>
    <w:rsid w:val="007E35F1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5A8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579D2"/>
    <w:rsid w:val="00860214"/>
    <w:rsid w:val="008608AF"/>
    <w:rsid w:val="00863853"/>
    <w:rsid w:val="00874A6F"/>
    <w:rsid w:val="0087551D"/>
    <w:rsid w:val="008760DA"/>
    <w:rsid w:val="008818A3"/>
    <w:rsid w:val="00885AB5"/>
    <w:rsid w:val="008869EC"/>
    <w:rsid w:val="00892FE4"/>
    <w:rsid w:val="00893636"/>
    <w:rsid w:val="00893A5B"/>
    <w:rsid w:val="0089733E"/>
    <w:rsid w:val="008A05A3"/>
    <w:rsid w:val="008A6730"/>
    <w:rsid w:val="008B1C08"/>
    <w:rsid w:val="008B21A0"/>
    <w:rsid w:val="008C2039"/>
    <w:rsid w:val="008C2904"/>
    <w:rsid w:val="008C3B67"/>
    <w:rsid w:val="008C4F4D"/>
    <w:rsid w:val="008D2062"/>
    <w:rsid w:val="008D5696"/>
    <w:rsid w:val="008E1661"/>
    <w:rsid w:val="008E6FAA"/>
    <w:rsid w:val="008F1640"/>
    <w:rsid w:val="008F27EE"/>
    <w:rsid w:val="00900F2E"/>
    <w:rsid w:val="00902E9E"/>
    <w:rsid w:val="009034B0"/>
    <w:rsid w:val="00905F02"/>
    <w:rsid w:val="0091144B"/>
    <w:rsid w:val="00911C65"/>
    <w:rsid w:val="0092204A"/>
    <w:rsid w:val="009222D9"/>
    <w:rsid w:val="009224AB"/>
    <w:rsid w:val="00923021"/>
    <w:rsid w:val="00924C01"/>
    <w:rsid w:val="009255E5"/>
    <w:rsid w:val="0093151C"/>
    <w:rsid w:val="0093248F"/>
    <w:rsid w:val="0093407B"/>
    <w:rsid w:val="00935A39"/>
    <w:rsid w:val="009423F3"/>
    <w:rsid w:val="0094365F"/>
    <w:rsid w:val="00945DFF"/>
    <w:rsid w:val="0094753B"/>
    <w:rsid w:val="00951148"/>
    <w:rsid w:val="00952ED1"/>
    <w:rsid w:val="00955A2B"/>
    <w:rsid w:val="00956D36"/>
    <w:rsid w:val="009605EA"/>
    <w:rsid w:val="00961F57"/>
    <w:rsid w:val="0096259C"/>
    <w:rsid w:val="0096589E"/>
    <w:rsid w:val="00965E50"/>
    <w:rsid w:val="009676DF"/>
    <w:rsid w:val="00970F7C"/>
    <w:rsid w:val="00974298"/>
    <w:rsid w:val="00975329"/>
    <w:rsid w:val="00983123"/>
    <w:rsid w:val="0098482E"/>
    <w:rsid w:val="00986C57"/>
    <w:rsid w:val="009903C5"/>
    <w:rsid w:val="009A47EE"/>
    <w:rsid w:val="009C63CA"/>
    <w:rsid w:val="009D11ED"/>
    <w:rsid w:val="009D6D74"/>
    <w:rsid w:val="009E0AA3"/>
    <w:rsid w:val="009E0B0E"/>
    <w:rsid w:val="009E1814"/>
    <w:rsid w:val="009E1B40"/>
    <w:rsid w:val="009E587B"/>
    <w:rsid w:val="009E67A9"/>
    <w:rsid w:val="009E77FC"/>
    <w:rsid w:val="009F0513"/>
    <w:rsid w:val="00A01800"/>
    <w:rsid w:val="00A03FCD"/>
    <w:rsid w:val="00A044C5"/>
    <w:rsid w:val="00A05102"/>
    <w:rsid w:val="00A054AC"/>
    <w:rsid w:val="00A2046A"/>
    <w:rsid w:val="00A30CCF"/>
    <w:rsid w:val="00A333D4"/>
    <w:rsid w:val="00A41C51"/>
    <w:rsid w:val="00A43FAB"/>
    <w:rsid w:val="00A4624F"/>
    <w:rsid w:val="00A5059B"/>
    <w:rsid w:val="00A518FA"/>
    <w:rsid w:val="00A52CE0"/>
    <w:rsid w:val="00A55351"/>
    <w:rsid w:val="00A60B22"/>
    <w:rsid w:val="00A65C7B"/>
    <w:rsid w:val="00A65EEF"/>
    <w:rsid w:val="00A70F65"/>
    <w:rsid w:val="00A7591D"/>
    <w:rsid w:val="00A81595"/>
    <w:rsid w:val="00A81A82"/>
    <w:rsid w:val="00A826D2"/>
    <w:rsid w:val="00A8312E"/>
    <w:rsid w:val="00A900C4"/>
    <w:rsid w:val="00A90D84"/>
    <w:rsid w:val="00AA072C"/>
    <w:rsid w:val="00AA110D"/>
    <w:rsid w:val="00AA198B"/>
    <w:rsid w:val="00AA38DE"/>
    <w:rsid w:val="00AA4553"/>
    <w:rsid w:val="00AA6B9A"/>
    <w:rsid w:val="00AB6986"/>
    <w:rsid w:val="00AC3FCC"/>
    <w:rsid w:val="00AC6F2A"/>
    <w:rsid w:val="00AD0553"/>
    <w:rsid w:val="00AD2336"/>
    <w:rsid w:val="00AD6AE7"/>
    <w:rsid w:val="00AE0FB2"/>
    <w:rsid w:val="00AE1DF2"/>
    <w:rsid w:val="00AE4979"/>
    <w:rsid w:val="00AE674A"/>
    <w:rsid w:val="00AF3C0F"/>
    <w:rsid w:val="00AF4DA7"/>
    <w:rsid w:val="00AF7F43"/>
    <w:rsid w:val="00B10FBC"/>
    <w:rsid w:val="00B11743"/>
    <w:rsid w:val="00B13C96"/>
    <w:rsid w:val="00B141D4"/>
    <w:rsid w:val="00B22649"/>
    <w:rsid w:val="00B4505E"/>
    <w:rsid w:val="00B45BCA"/>
    <w:rsid w:val="00B462D0"/>
    <w:rsid w:val="00B515FD"/>
    <w:rsid w:val="00B526AA"/>
    <w:rsid w:val="00B54BE7"/>
    <w:rsid w:val="00B622A1"/>
    <w:rsid w:val="00B629A7"/>
    <w:rsid w:val="00B64C55"/>
    <w:rsid w:val="00B65C64"/>
    <w:rsid w:val="00B6739E"/>
    <w:rsid w:val="00B70BF0"/>
    <w:rsid w:val="00B72A1A"/>
    <w:rsid w:val="00B72AA9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0DDC"/>
    <w:rsid w:val="00BD4008"/>
    <w:rsid w:val="00BD6B46"/>
    <w:rsid w:val="00BE12F9"/>
    <w:rsid w:val="00BE47DF"/>
    <w:rsid w:val="00BE7371"/>
    <w:rsid w:val="00BE7C3F"/>
    <w:rsid w:val="00BF5C84"/>
    <w:rsid w:val="00C018D1"/>
    <w:rsid w:val="00C0289C"/>
    <w:rsid w:val="00C0350B"/>
    <w:rsid w:val="00C120CE"/>
    <w:rsid w:val="00C12BAE"/>
    <w:rsid w:val="00C156A7"/>
    <w:rsid w:val="00C15C4A"/>
    <w:rsid w:val="00C16BEB"/>
    <w:rsid w:val="00C176E0"/>
    <w:rsid w:val="00C20747"/>
    <w:rsid w:val="00C26037"/>
    <w:rsid w:val="00C32E61"/>
    <w:rsid w:val="00C32E96"/>
    <w:rsid w:val="00C4370F"/>
    <w:rsid w:val="00C44678"/>
    <w:rsid w:val="00C503E5"/>
    <w:rsid w:val="00C508BA"/>
    <w:rsid w:val="00C538A2"/>
    <w:rsid w:val="00C545E2"/>
    <w:rsid w:val="00C70D37"/>
    <w:rsid w:val="00C73590"/>
    <w:rsid w:val="00C7652A"/>
    <w:rsid w:val="00C83B13"/>
    <w:rsid w:val="00C8417F"/>
    <w:rsid w:val="00C90FAF"/>
    <w:rsid w:val="00C91307"/>
    <w:rsid w:val="00C960F7"/>
    <w:rsid w:val="00C96F23"/>
    <w:rsid w:val="00CA22C7"/>
    <w:rsid w:val="00CA2A27"/>
    <w:rsid w:val="00CA30BD"/>
    <w:rsid w:val="00CA6ED5"/>
    <w:rsid w:val="00CC1889"/>
    <w:rsid w:val="00CC3652"/>
    <w:rsid w:val="00CC6F61"/>
    <w:rsid w:val="00CE06EE"/>
    <w:rsid w:val="00CE2A1C"/>
    <w:rsid w:val="00CE4FAB"/>
    <w:rsid w:val="00CE592B"/>
    <w:rsid w:val="00CE731D"/>
    <w:rsid w:val="00CF36C1"/>
    <w:rsid w:val="00D02BD9"/>
    <w:rsid w:val="00D030E5"/>
    <w:rsid w:val="00D07A08"/>
    <w:rsid w:val="00D10F98"/>
    <w:rsid w:val="00D1387C"/>
    <w:rsid w:val="00D146C3"/>
    <w:rsid w:val="00D160EF"/>
    <w:rsid w:val="00D23B4F"/>
    <w:rsid w:val="00D23E77"/>
    <w:rsid w:val="00D2750E"/>
    <w:rsid w:val="00D300A0"/>
    <w:rsid w:val="00D32F72"/>
    <w:rsid w:val="00D37082"/>
    <w:rsid w:val="00D42EE3"/>
    <w:rsid w:val="00D46074"/>
    <w:rsid w:val="00D4621E"/>
    <w:rsid w:val="00D53879"/>
    <w:rsid w:val="00D607BD"/>
    <w:rsid w:val="00D703E0"/>
    <w:rsid w:val="00D707CD"/>
    <w:rsid w:val="00D7273C"/>
    <w:rsid w:val="00D74017"/>
    <w:rsid w:val="00D7549C"/>
    <w:rsid w:val="00D77423"/>
    <w:rsid w:val="00D839F5"/>
    <w:rsid w:val="00D852D4"/>
    <w:rsid w:val="00D871AC"/>
    <w:rsid w:val="00DA028E"/>
    <w:rsid w:val="00DA3120"/>
    <w:rsid w:val="00DA5E79"/>
    <w:rsid w:val="00DA7643"/>
    <w:rsid w:val="00DA7C00"/>
    <w:rsid w:val="00DB7889"/>
    <w:rsid w:val="00DC24F6"/>
    <w:rsid w:val="00DC25B9"/>
    <w:rsid w:val="00DC7213"/>
    <w:rsid w:val="00DD015B"/>
    <w:rsid w:val="00DD1DD6"/>
    <w:rsid w:val="00DD1DEC"/>
    <w:rsid w:val="00DD35D7"/>
    <w:rsid w:val="00DD6F16"/>
    <w:rsid w:val="00DF1DEA"/>
    <w:rsid w:val="00DF41D0"/>
    <w:rsid w:val="00DF5851"/>
    <w:rsid w:val="00E154FC"/>
    <w:rsid w:val="00E15866"/>
    <w:rsid w:val="00E212E1"/>
    <w:rsid w:val="00E22748"/>
    <w:rsid w:val="00E259E4"/>
    <w:rsid w:val="00E26FAD"/>
    <w:rsid w:val="00E3411F"/>
    <w:rsid w:val="00E344FA"/>
    <w:rsid w:val="00E36E93"/>
    <w:rsid w:val="00E4143F"/>
    <w:rsid w:val="00E43DE4"/>
    <w:rsid w:val="00E447EB"/>
    <w:rsid w:val="00E44EDD"/>
    <w:rsid w:val="00E51F61"/>
    <w:rsid w:val="00E60B91"/>
    <w:rsid w:val="00E63958"/>
    <w:rsid w:val="00E65F1B"/>
    <w:rsid w:val="00E86E08"/>
    <w:rsid w:val="00E87F0E"/>
    <w:rsid w:val="00E900C7"/>
    <w:rsid w:val="00E9046B"/>
    <w:rsid w:val="00EA52E2"/>
    <w:rsid w:val="00EA59E1"/>
    <w:rsid w:val="00EA628A"/>
    <w:rsid w:val="00EB01FC"/>
    <w:rsid w:val="00EB5115"/>
    <w:rsid w:val="00EB6685"/>
    <w:rsid w:val="00EC09F8"/>
    <w:rsid w:val="00EC7601"/>
    <w:rsid w:val="00EC785B"/>
    <w:rsid w:val="00ED6830"/>
    <w:rsid w:val="00ED7D7C"/>
    <w:rsid w:val="00ED7FF7"/>
    <w:rsid w:val="00EE1AC2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1086"/>
    <w:rsid w:val="00F1210A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61CFF"/>
    <w:rsid w:val="00F625A5"/>
    <w:rsid w:val="00F63C49"/>
    <w:rsid w:val="00F64F30"/>
    <w:rsid w:val="00F67B61"/>
    <w:rsid w:val="00F71197"/>
    <w:rsid w:val="00F71B85"/>
    <w:rsid w:val="00F7385F"/>
    <w:rsid w:val="00F74FF6"/>
    <w:rsid w:val="00F96846"/>
    <w:rsid w:val="00F97176"/>
    <w:rsid w:val="00F9785D"/>
    <w:rsid w:val="00FA378D"/>
    <w:rsid w:val="00FA5CAA"/>
    <w:rsid w:val="00FA74F6"/>
    <w:rsid w:val="00FB3D2D"/>
    <w:rsid w:val="00FC1049"/>
    <w:rsid w:val="00FC3C14"/>
    <w:rsid w:val="00FC42C9"/>
    <w:rsid w:val="00FD1CAC"/>
    <w:rsid w:val="00FD3B25"/>
    <w:rsid w:val="00FD59A5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3"/>
    <o:shapelayout v:ext="edit">
      <o:idmap v:ext="edit" data="1"/>
    </o:shapelayout>
  </w:shapeDefaults>
  <w:decimalSymbol w:val=","/>
  <w:listSeparator w:val=";"/>
  <w15:docId w15:val="{1A159ABE-B279-45E5-8006-4A494C654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32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Kostenjak Ana</cp:lastModifiedBy>
  <cp:revision>11</cp:revision>
  <cp:lastPrinted>2016-11-16T10:44:00Z</cp:lastPrinted>
  <dcterms:created xsi:type="dcterms:W3CDTF">2019-05-22T12:37:00Z</dcterms:created>
  <dcterms:modified xsi:type="dcterms:W3CDTF">2019-06-03T09:11:00Z</dcterms:modified>
</cp:coreProperties>
</file>