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6B6895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6B6895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6B6895" w:rsidRDefault="006B6895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</w:pPr>
      <w:r w:rsidRPr="006B6895"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Nakon Vukove Gorice, INA uvela kutak za bebe i na drugim lokacijama</w:t>
      </w:r>
    </w:p>
    <w:p w:rsidR="006B6895" w:rsidRPr="006B6895" w:rsidRDefault="006B6895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bookmarkStart w:id="1" w:name="_GoBack"/>
      <w:bookmarkEnd w:id="1"/>
      <w:r w:rsidRPr="006B6895">
        <w:rPr>
          <w:rFonts w:asciiTheme="minorHAnsi" w:hAnsiTheme="minorHAnsi" w:cs="Arial"/>
          <w:b/>
          <w:sz w:val="24"/>
        </w:rPr>
        <w:t xml:space="preserve">Uz Inu, čak i kad ste na putu možete osigurati pravilnu njegu za svoju bebu </w:t>
      </w:r>
    </w:p>
    <w:p w:rsidR="006B6895" w:rsidRPr="006B6895" w:rsidRDefault="006B6895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6B6895">
        <w:rPr>
          <w:rFonts w:asciiTheme="minorHAnsi" w:hAnsiTheme="minorHAnsi" w:cs="Arial"/>
          <w:b/>
          <w:sz w:val="24"/>
        </w:rPr>
        <w:t xml:space="preserve">Kutak za bebe na dodatnim Ininim benzinskim postajama </w:t>
      </w:r>
    </w:p>
    <w:p w:rsidR="006B6895" w:rsidRPr="006B6895" w:rsidRDefault="006B6895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6B6895">
        <w:rPr>
          <w:rFonts w:asciiTheme="minorHAnsi" w:hAnsiTheme="minorHAnsi" w:cs="Arial"/>
          <w:b/>
          <w:sz w:val="24"/>
        </w:rPr>
        <w:t xml:space="preserve">Asortiman ponude na Ininim benzinskim postajama proširen s proizvodima za njegu beba </w:t>
      </w:r>
    </w:p>
    <w:p w:rsidR="00D63C7C" w:rsidRPr="00E251EF" w:rsidRDefault="00D63C7C" w:rsidP="00EB75F8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:rsidR="006B6895" w:rsidRDefault="006B6895" w:rsidP="006B689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6B6895">
        <w:rPr>
          <w:rFonts w:asciiTheme="minorHAnsi" w:hAnsiTheme="minorHAnsi" w:cs="Arial"/>
          <w:b/>
          <w:bCs/>
          <w:szCs w:val="22"/>
        </w:rPr>
        <w:t xml:space="preserve">Zagreb, 26. svibanj 2015 .- Nakon što je u ožujku 2015. u suradnji s Pampersom obnovila kutak za bebe na benzinskoj postaji Vukova Gorici, INA je ovu korisnu uslugu učinila dostupnom svojim vjernim kupcima i na drugim </w:t>
      </w:r>
      <w:hyperlink r:id="rId10" w:history="1">
        <w:r w:rsidRPr="006B6895">
          <w:rPr>
            <w:rStyle w:val="Hyperlink"/>
            <w:rFonts w:asciiTheme="minorHAnsi" w:hAnsiTheme="minorHAnsi" w:cs="Arial"/>
            <w:szCs w:val="22"/>
          </w:rPr>
          <w:t>benzinsk</w:t>
        </w:r>
        <w:r w:rsidRPr="006B6895">
          <w:rPr>
            <w:rStyle w:val="Hyperlink"/>
            <w:rFonts w:asciiTheme="minorHAnsi" w:hAnsiTheme="minorHAnsi" w:cs="Arial"/>
            <w:szCs w:val="22"/>
          </w:rPr>
          <w:t>i</w:t>
        </w:r>
        <w:r w:rsidRPr="006B6895">
          <w:rPr>
            <w:rStyle w:val="Hyperlink"/>
            <w:rFonts w:asciiTheme="minorHAnsi" w:hAnsiTheme="minorHAnsi" w:cs="Arial"/>
            <w:szCs w:val="22"/>
          </w:rPr>
          <w:t>m</w:t>
        </w:r>
        <w:r w:rsidRPr="006B6895">
          <w:rPr>
            <w:rStyle w:val="Hyperlink"/>
            <w:rFonts w:asciiTheme="minorHAnsi" w:hAnsiTheme="minorHAnsi" w:cs="Arial"/>
            <w:szCs w:val="22"/>
          </w:rPr>
          <w:t xml:space="preserve"> </w:t>
        </w:r>
        <w:r w:rsidRPr="006B6895">
          <w:rPr>
            <w:rStyle w:val="Hyperlink"/>
            <w:rFonts w:asciiTheme="minorHAnsi" w:hAnsiTheme="minorHAnsi" w:cs="Arial"/>
            <w:szCs w:val="22"/>
          </w:rPr>
          <w:t>postajama</w:t>
        </w:r>
      </w:hyperlink>
      <w:r>
        <w:rPr>
          <w:rFonts w:asciiTheme="minorHAnsi" w:hAnsiTheme="minorHAnsi" w:cs="Arial"/>
          <w:b/>
          <w:bCs/>
          <w:szCs w:val="22"/>
        </w:rPr>
        <w:t xml:space="preserve"> </w:t>
      </w:r>
      <w:r w:rsidRPr="006B6895">
        <w:rPr>
          <w:rFonts w:asciiTheme="minorHAnsi" w:hAnsiTheme="minorHAnsi" w:cs="Arial"/>
          <w:b/>
          <w:bCs/>
          <w:szCs w:val="22"/>
        </w:rPr>
        <w:t>kako bi roditeljima omogućila lakše putovanje s malom djecom koju u ugodnom ambijentu uz potrebnu opremu i higijenske potrepštine lako mogu presvući ili nahraniti.</w:t>
      </w:r>
    </w:p>
    <w:p w:rsidR="00E251EF" w:rsidRPr="006B6895" w:rsidRDefault="006B6895" w:rsidP="006B6895">
      <w:pPr>
        <w:spacing w:line="276" w:lineRule="auto"/>
        <w:jc w:val="both"/>
        <w:rPr>
          <w:rFonts w:asciiTheme="minorHAnsi" w:eastAsia="Calibri" w:hAnsiTheme="minorHAnsi" w:cstheme="minorHAnsi"/>
          <w:b/>
          <w:szCs w:val="22"/>
        </w:rPr>
      </w:pPr>
      <w:r w:rsidRPr="006B6895">
        <w:rPr>
          <w:rFonts w:asciiTheme="minorHAnsi" w:hAnsiTheme="minorHAnsi" w:cs="Arial"/>
          <w:szCs w:val="22"/>
        </w:rPr>
        <w:br/>
        <w:t>Kutak za bebe uključuje stolić i podlogu za prematanje, kantu za pelene, stolicu za dojenje te dezinfekcijsko sredstvo za ruke, dok prigodne dječje dekoracije pridonose ugodnom ambijentu za bebe za vrijeme presvlačenja i hranjenja. Također, INA je uz kutak za bebe proširila i asortiman ponude na svojim benzinskim postajama, a koji odsad na odabranim lokacijama uključuje i proizvode za njegu beba kako bi pravilna njega za najmlađe roditeljima bila na dohvat ruke čak i za vrijeme putovanja.</w:t>
      </w:r>
      <w:r w:rsidRPr="006B6895">
        <w:rPr>
          <w:rFonts w:asciiTheme="minorHAnsi" w:hAnsiTheme="minorHAnsi" w:cs="Arial"/>
          <w:szCs w:val="22"/>
        </w:rPr>
        <w:br/>
      </w:r>
      <w:r w:rsidRPr="006B6895">
        <w:rPr>
          <w:rFonts w:asciiTheme="minorHAnsi" w:hAnsiTheme="minorHAnsi" w:cs="Arial"/>
          <w:i/>
          <w:iCs/>
          <w:szCs w:val="22"/>
        </w:rPr>
        <w:t>Hrvatskoj i u susjednim zemljama.</w:t>
      </w:r>
    </w:p>
    <w:p w:rsidR="006B6895" w:rsidRDefault="006B6895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6B6895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6B6895">
        <w:rPr>
          <w:rFonts w:asciiTheme="minorHAnsi" w:eastAsia="Calibri" w:hAnsiTheme="minorHAnsi" w:cstheme="minorHAnsi"/>
          <w:sz w:val="20"/>
          <w:szCs w:val="20"/>
        </w:rPr>
        <w:t>2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251EF" w:rsidRPr="006B6895" w:rsidRDefault="00E251EF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6B6895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6B6895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B9" w:rsidRDefault="00BE6CB9" w:rsidP="00C11370">
      <w:r>
        <w:separator/>
      </w:r>
    </w:p>
  </w:endnote>
  <w:endnote w:type="continuationSeparator" w:id="0">
    <w:p w:rsidR="00BE6CB9" w:rsidRDefault="00BE6CB9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251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251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B9" w:rsidRDefault="00BE6CB9" w:rsidP="00C11370">
      <w:r>
        <w:separator/>
      </w:r>
    </w:p>
  </w:footnote>
  <w:footnote w:type="continuationSeparator" w:id="0">
    <w:p w:rsidR="00BE6CB9" w:rsidRDefault="00BE6CB9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C32AB97" wp14:editId="4EED8FC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UserDocsImages/Prematali&#353;ta%20za%20bebe%20-%20Popis%20BP.XLS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5278-9F88-433D-AAA2-DE2A35A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cp:lastPrinted>2015-05-07T11:43:00Z</cp:lastPrinted>
  <dcterms:created xsi:type="dcterms:W3CDTF">2015-05-12T07:10:00Z</dcterms:created>
  <dcterms:modified xsi:type="dcterms:W3CDTF">2015-05-26T11:56:00Z</dcterms:modified>
</cp:coreProperties>
</file>