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F" w:rsidRPr="00616BBE" w:rsidRDefault="00EB70CF" w:rsidP="00EB70CF">
      <w:pPr>
        <w:rPr>
          <w:sz w:val="18"/>
          <w:szCs w:val="18"/>
        </w:rPr>
      </w:pPr>
    </w:p>
    <w:tbl>
      <w:tblPr>
        <w:tblpPr w:leftFromText="180" w:rightFromText="180" w:vertAnchor="page" w:horzAnchor="margin" w:tblpXSpec="right" w:tblpY="2566"/>
        <w:tblW w:w="0" w:type="auto"/>
        <w:tblLayout w:type="fixed"/>
        <w:tblLook w:val="0000" w:firstRow="0" w:lastRow="0" w:firstColumn="0" w:lastColumn="0" w:noHBand="0" w:noVBand="0"/>
      </w:tblPr>
      <w:tblGrid>
        <w:gridCol w:w="4216"/>
      </w:tblGrid>
      <w:tr w:rsidR="00EB70CF" w:rsidRPr="00616BBE">
        <w:trPr>
          <w:trHeight w:val="621"/>
        </w:trPr>
        <w:tc>
          <w:tcPr>
            <w:tcW w:w="4216" w:type="dxa"/>
          </w:tcPr>
          <w:p w:rsidR="00EB70CF" w:rsidRPr="00616BBE" w:rsidRDefault="00EB70CF" w:rsidP="00A957B2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EB70CF" w:rsidRPr="007475A5" w:rsidRDefault="00351903" w:rsidP="00A957B2">
            <w:pPr>
              <w:jc w:val="center"/>
              <w:rPr>
                <w:sz w:val="28"/>
                <w:szCs w:val="28"/>
              </w:rPr>
            </w:pPr>
            <w:r w:rsidRPr="00616BBE">
              <w:rPr>
                <w:sz w:val="20"/>
              </w:rPr>
              <w:fldChar w:fldCharType="begin"/>
            </w:r>
            <w:r w:rsidR="00EB70CF" w:rsidRPr="00616BBE">
              <w:rPr>
                <w:sz w:val="20"/>
              </w:rPr>
              <w:instrText xml:space="preserve"> FILLIN "Adresa" \* MERGEFORMAT </w:instrText>
            </w:r>
            <w:r w:rsidRPr="00616BBE">
              <w:rPr>
                <w:sz w:val="20"/>
              </w:rPr>
              <w:fldChar w:fldCharType="separate"/>
            </w:r>
            <w:r w:rsidR="00EB70CF" w:rsidRPr="00616BBE">
              <w:rPr>
                <w:sz w:val="20"/>
              </w:rPr>
              <w:t xml:space="preserve">   </w:t>
            </w:r>
            <w:r w:rsidRPr="00616BBE">
              <w:rPr>
                <w:sz w:val="20"/>
              </w:rPr>
              <w:fldChar w:fldCharType="end"/>
            </w:r>
            <w:r w:rsidR="00EB70CF" w:rsidRPr="00616BBE">
              <w:rPr>
                <w:rFonts w:ascii="Calibri" w:hAnsi="Calibri"/>
                <w:b/>
                <w:sz w:val="36"/>
                <w:szCs w:val="36"/>
              </w:rPr>
              <w:t xml:space="preserve"> </w:t>
            </w:r>
            <w:r w:rsidR="00EB70CF" w:rsidRPr="007475A5">
              <w:rPr>
                <w:rFonts w:ascii="Calibri" w:hAnsi="Calibri"/>
                <w:b/>
                <w:sz w:val="28"/>
                <w:szCs w:val="28"/>
              </w:rPr>
              <w:t>PRIOPĆENJE</w:t>
            </w:r>
          </w:p>
        </w:tc>
      </w:tr>
    </w:tbl>
    <w:p w:rsidR="00EB70CF" w:rsidRPr="00616BBE" w:rsidRDefault="00EB70CF" w:rsidP="00EB70CF">
      <w:pPr>
        <w:rPr>
          <w:sz w:val="18"/>
        </w:rPr>
        <w:sectPr w:rsidR="00EB70CF" w:rsidRPr="00616BBE">
          <w:headerReference w:type="default" r:id="rId9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EB70CF" w:rsidRDefault="001044F1" w:rsidP="00EB70C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>U Ini održano</w:t>
      </w:r>
      <w:r w:rsidR="009556C6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finale natjecanja Junior Freshhh </w:t>
      </w:r>
    </w:p>
    <w:p w:rsidR="00EB70CF" w:rsidRDefault="00EB70CF" w:rsidP="00EB70CF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7810C1" w:rsidRPr="009556C6" w:rsidRDefault="00937EAA" w:rsidP="007810C1">
      <w:pPr>
        <w:pStyle w:val="PlainText"/>
        <w:numPr>
          <w:ilvl w:val="0"/>
          <w:numId w:val="1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Inino s</w:t>
      </w:r>
      <w:r w:rsidR="007810C1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rednjoškolsko natjecanje privuklo gotovo </w:t>
      </w:r>
      <w:r w:rsidR="00C437BE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1000</w:t>
      </w:r>
      <w:r w:rsidR="0079177F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 </w:t>
      </w:r>
      <w:r w:rsidR="007810C1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učenika </w:t>
      </w:r>
      <w:r w:rsidR="00A561E7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iz 57 gradova</w:t>
      </w:r>
    </w:p>
    <w:p w:rsidR="009556C6" w:rsidRDefault="00937EAA" w:rsidP="009556C6">
      <w:pPr>
        <w:pStyle w:val="PlainText"/>
        <w:numPr>
          <w:ilvl w:val="0"/>
          <w:numId w:val="1"/>
        </w:numPr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>Pet</w:t>
      </w:r>
      <w:r w:rsidR="009556C6">
        <w:rPr>
          <w:rFonts w:ascii="Calibri" w:eastAsia="Times New Roman" w:hAnsi="Calibri" w:cs="Calibri"/>
          <w:b/>
          <w:color w:val="005A9C"/>
          <w:sz w:val="26"/>
          <w:szCs w:val="26"/>
          <w:lang w:eastAsia="hr-HR"/>
        </w:rPr>
        <w:t xml:space="preserve"> tročlanih timova borilo se za pobjedu u finalu natjecanja</w:t>
      </w:r>
    </w:p>
    <w:p w:rsidR="00EB70CF" w:rsidRDefault="00EB70CF" w:rsidP="00EB70CF">
      <w:pPr>
        <w:rPr>
          <w:rFonts w:ascii="Calibri" w:eastAsia="Calibri" w:hAnsi="Calibri" w:cs="Calibri"/>
          <w:color w:val="1F497D"/>
          <w:szCs w:val="22"/>
          <w:lang w:eastAsia="hr-HR"/>
        </w:rPr>
      </w:pPr>
    </w:p>
    <w:p w:rsidR="00AE02DD" w:rsidRDefault="00EB70CF" w:rsidP="007810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Zagreb, </w:t>
      </w:r>
      <w:r w:rsidR="009556C6">
        <w:rPr>
          <w:rFonts w:ascii="Calibri" w:eastAsia="Calibri" w:hAnsi="Calibri" w:cs="Calibri"/>
          <w:b/>
          <w:szCs w:val="22"/>
          <w:lang w:eastAsia="hr-HR"/>
        </w:rPr>
        <w:t>30.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>
        <w:rPr>
          <w:rFonts w:ascii="Calibri" w:eastAsia="Calibri" w:hAnsi="Calibri" w:cs="Calibri"/>
          <w:b/>
          <w:szCs w:val="22"/>
          <w:lang w:eastAsia="hr-HR"/>
        </w:rPr>
        <w:t>siječnja</w:t>
      </w:r>
      <w:r w:rsidRPr="006A16C1">
        <w:rPr>
          <w:rFonts w:ascii="Calibri" w:eastAsia="Calibri" w:hAnsi="Calibri" w:cs="Calibri"/>
          <w:b/>
          <w:szCs w:val="22"/>
          <w:lang w:eastAsia="hr-HR"/>
        </w:rPr>
        <w:t xml:space="preserve"> 2014.– </w:t>
      </w:r>
      <w:r w:rsidR="007810C1">
        <w:rPr>
          <w:rFonts w:ascii="Calibri" w:eastAsia="Calibri" w:hAnsi="Calibri" w:cs="Calibri"/>
          <w:b/>
          <w:szCs w:val="22"/>
          <w:lang w:eastAsia="hr-HR"/>
        </w:rPr>
        <w:t>U Ini je danas održano</w:t>
      </w:r>
      <w:r w:rsidR="007810C1" w:rsidRPr="007810C1">
        <w:rPr>
          <w:rFonts w:ascii="Calibri" w:eastAsia="Calibri" w:hAnsi="Calibri" w:cs="Calibri"/>
          <w:b/>
          <w:i/>
          <w:szCs w:val="22"/>
          <w:lang w:eastAsia="hr-HR"/>
        </w:rPr>
        <w:t xml:space="preserve"> live</w:t>
      </w:r>
      <w:r w:rsidR="007810C1">
        <w:rPr>
          <w:rFonts w:ascii="Calibri" w:eastAsia="Calibri" w:hAnsi="Calibri" w:cs="Calibri"/>
          <w:b/>
          <w:i/>
          <w:szCs w:val="22"/>
          <w:lang w:eastAsia="hr-HR"/>
        </w:rPr>
        <w:t xml:space="preserve"> </w:t>
      </w:r>
      <w:r w:rsidR="007810C1">
        <w:rPr>
          <w:rFonts w:ascii="Calibri" w:eastAsia="Calibri" w:hAnsi="Calibri" w:cs="Calibri"/>
          <w:b/>
          <w:szCs w:val="22"/>
          <w:lang w:eastAsia="hr-HR"/>
        </w:rPr>
        <w:t xml:space="preserve">finale srednjoškolskog natjecanja Junior Freshhh u kojem je sudjelovalo pet tročlanih timova boreći se za pobjedu rješavanjem izazovnih zadataka iz područja prirodnih znanosti. </w:t>
      </w:r>
      <w:r w:rsidR="000C5E33" w:rsidRPr="00AE02DD">
        <w:rPr>
          <w:rFonts w:ascii="Calibri" w:eastAsia="Calibri" w:hAnsi="Calibri" w:cs="Calibri"/>
          <w:b/>
          <w:szCs w:val="22"/>
          <w:lang w:eastAsia="hr-HR"/>
        </w:rPr>
        <w:t>INA</w:t>
      </w:r>
      <w:r w:rsidR="000C5E33">
        <w:rPr>
          <w:rFonts w:ascii="Calibri" w:eastAsia="Calibri" w:hAnsi="Calibri" w:cs="Calibri"/>
          <w:b/>
          <w:szCs w:val="22"/>
          <w:lang w:eastAsia="hr-HR"/>
        </w:rPr>
        <w:t xml:space="preserve"> je ovo </w:t>
      </w:r>
      <w:r w:rsidR="000C5E33" w:rsidRPr="00AE02DD">
        <w:rPr>
          <w:rFonts w:ascii="Calibri" w:eastAsia="Calibri" w:hAnsi="Calibri" w:cs="Calibri"/>
          <w:b/>
          <w:szCs w:val="22"/>
          <w:lang w:eastAsia="hr-HR"/>
        </w:rPr>
        <w:t>online natjecanje po prvi put pokrenula</w:t>
      </w:r>
      <w:r w:rsidR="000C5E33">
        <w:rPr>
          <w:rFonts w:ascii="Calibri" w:eastAsia="Calibri" w:hAnsi="Calibri" w:cs="Calibri"/>
          <w:b/>
          <w:szCs w:val="22"/>
          <w:lang w:eastAsia="hr-HR"/>
        </w:rPr>
        <w:t xml:space="preserve"> </w:t>
      </w:r>
      <w:r w:rsidR="00937EAA">
        <w:rPr>
          <w:rFonts w:ascii="Calibri" w:eastAsia="Calibri" w:hAnsi="Calibri" w:cs="Calibri"/>
          <w:b/>
          <w:szCs w:val="22"/>
          <w:lang w:eastAsia="hr-HR"/>
        </w:rPr>
        <w:t>u studenom</w:t>
      </w:r>
      <w:r w:rsidR="000C5E33">
        <w:rPr>
          <w:rFonts w:ascii="Calibri" w:eastAsia="Calibri" w:hAnsi="Calibri" w:cs="Calibri"/>
          <w:b/>
          <w:szCs w:val="22"/>
          <w:lang w:eastAsia="hr-HR"/>
        </w:rPr>
        <w:t xml:space="preserve"> prošle godine, a nakon prijave i registracije, 294 tima u prosincu prošle godine natjecala su se za prolazak u finale rješavajući tjedne zadatke iz </w:t>
      </w:r>
      <w:r w:rsidR="000C5E33" w:rsidRPr="00AE02DD">
        <w:rPr>
          <w:rFonts w:ascii="Calibri" w:eastAsia="Calibri" w:hAnsi="Calibri" w:cs="Calibri"/>
          <w:b/>
          <w:szCs w:val="22"/>
          <w:lang w:eastAsia="hr-HR"/>
        </w:rPr>
        <w:t>matematike, fizike, kemije, biologije i zemljopisa</w:t>
      </w:r>
      <w:r w:rsidR="000C5E33">
        <w:rPr>
          <w:rFonts w:ascii="Calibri" w:eastAsia="Calibri" w:hAnsi="Calibri" w:cs="Calibri"/>
          <w:b/>
          <w:szCs w:val="22"/>
          <w:lang w:eastAsia="hr-HR"/>
        </w:rPr>
        <w:t xml:space="preserve">. </w:t>
      </w:r>
    </w:p>
    <w:p w:rsidR="007810C1" w:rsidRDefault="007810C1" w:rsidP="007810C1">
      <w:pPr>
        <w:jc w:val="both"/>
        <w:rPr>
          <w:rFonts w:ascii="Calibri" w:eastAsia="Calibri" w:hAnsi="Calibri" w:cs="Calibri"/>
          <w:b/>
          <w:szCs w:val="22"/>
          <w:lang w:eastAsia="hr-HR"/>
        </w:rPr>
      </w:pPr>
    </w:p>
    <w:p w:rsidR="007810C1" w:rsidRPr="007810C1" w:rsidRDefault="007810C1" w:rsidP="007810C1">
      <w:pPr>
        <w:jc w:val="both"/>
        <w:rPr>
          <w:rFonts w:ascii="Calibri" w:hAnsi="Calibri" w:cs="Calibri"/>
          <w:szCs w:val="22"/>
        </w:rPr>
      </w:pPr>
      <w:r w:rsidRPr="007810C1">
        <w:rPr>
          <w:rFonts w:ascii="Calibri" w:eastAsia="Calibri" w:hAnsi="Calibri" w:cs="Calibri"/>
          <w:szCs w:val="22"/>
          <w:lang w:eastAsia="hr-HR"/>
        </w:rPr>
        <w:t xml:space="preserve">Pozdravljajući finaliste, </w:t>
      </w:r>
      <w:r w:rsidRPr="0041779E">
        <w:rPr>
          <w:rFonts w:ascii="Calibri" w:hAnsi="Calibri" w:cs="Calibri"/>
          <w:szCs w:val="22"/>
        </w:rPr>
        <w:t>gđa. Vladimira Senčar Perkov, Inina direktorica Sektora upravljanja ljudskim resursima, izjavila je</w:t>
      </w:r>
      <w:r>
        <w:rPr>
          <w:rFonts w:ascii="Calibri" w:hAnsi="Calibri" w:cs="Calibri"/>
          <w:szCs w:val="22"/>
        </w:rPr>
        <w:t xml:space="preserve"> </w:t>
      </w:r>
      <w:r w:rsidRPr="007810C1">
        <w:rPr>
          <w:rFonts w:ascii="Calibri" w:hAnsi="Calibri" w:cs="Calibri"/>
          <w:i/>
          <w:szCs w:val="22"/>
        </w:rPr>
        <w:t>„Dolazak do finala nije bio lagan put, pogotovo ako uzmemo u obzir činjenicu da ste se borili protiv 289 drugih timova. Smatram kako to jasno svjedoči o vašim kvalitetama i znanju koje ste dosad stekli u svom srednjoškolskom obrazovanju. Neka vam, stoga, ovaj uspjeh posluži kao poticaj i motivacija za budući rad i dokazivanje, kako u obrazovanju, tako i u onom polju koje odaberete kao svoje profesionalno usmjerenje“.</w:t>
      </w:r>
    </w:p>
    <w:p w:rsidR="007810C1" w:rsidRPr="007810C1" w:rsidRDefault="007810C1" w:rsidP="007810C1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7810C1" w:rsidRDefault="007810C1" w:rsidP="007810C1">
      <w:pPr>
        <w:jc w:val="both"/>
        <w:rPr>
          <w:rFonts w:ascii="Calibri" w:eastAsia="Calibri" w:hAnsi="Calibri" w:cs="Calibri"/>
          <w:szCs w:val="22"/>
          <w:lang w:eastAsia="hr-HR"/>
        </w:rPr>
      </w:pPr>
      <w:r w:rsidRPr="00AE02DD">
        <w:rPr>
          <w:rFonts w:ascii="Calibri" w:eastAsia="Calibri" w:hAnsi="Calibri" w:cs="Calibri"/>
          <w:szCs w:val="22"/>
          <w:lang w:eastAsia="hr-HR"/>
        </w:rPr>
        <w:t xml:space="preserve">Live finale se sastojalo od dva dijela; u prvom su natjecatelji stručnoj komisiji predstavili rješenje zadatka koji </w:t>
      </w:r>
      <w:r w:rsidR="000C5E33">
        <w:rPr>
          <w:rFonts w:ascii="Calibri" w:eastAsia="Calibri" w:hAnsi="Calibri" w:cs="Calibri"/>
          <w:szCs w:val="22"/>
          <w:lang w:eastAsia="hr-HR"/>
        </w:rPr>
        <w:t>im je prethodno zadan kao domaća zadaća</w:t>
      </w:r>
      <w:r w:rsidR="00AE02DD" w:rsidRPr="00AE02DD">
        <w:rPr>
          <w:rFonts w:ascii="Calibri" w:eastAsia="Calibri" w:hAnsi="Calibri" w:cs="Calibri"/>
          <w:szCs w:val="22"/>
          <w:lang w:eastAsia="hr-HR"/>
        </w:rPr>
        <w:t xml:space="preserve">, dok su u drugom dijelu rješavali finalni zadatak </w:t>
      </w:r>
      <w:r w:rsidR="00E40297">
        <w:rPr>
          <w:rFonts w:ascii="Calibri" w:eastAsia="Calibri" w:hAnsi="Calibri" w:cs="Calibri"/>
          <w:szCs w:val="22"/>
          <w:lang w:eastAsia="hr-HR"/>
        </w:rPr>
        <w:t>pred stručnom komisijom</w:t>
      </w:r>
      <w:r w:rsidR="00AE02DD" w:rsidRPr="00AE02DD">
        <w:rPr>
          <w:rFonts w:ascii="Calibri" w:eastAsia="Calibri" w:hAnsi="Calibri" w:cs="Calibri"/>
          <w:szCs w:val="22"/>
          <w:lang w:eastAsia="hr-HR"/>
        </w:rPr>
        <w:t>.</w:t>
      </w:r>
      <w:r w:rsidR="00D618B2">
        <w:rPr>
          <w:rFonts w:ascii="Calibri" w:eastAsia="Calibri" w:hAnsi="Calibri" w:cs="Calibri"/>
          <w:szCs w:val="22"/>
          <w:lang w:eastAsia="hr-HR"/>
        </w:rPr>
        <w:t xml:space="preserve"> </w:t>
      </w:r>
      <w:r w:rsidR="00AE02DD" w:rsidRPr="00AE02DD">
        <w:rPr>
          <w:rFonts w:ascii="Calibri" w:eastAsia="Calibri" w:hAnsi="Calibri" w:cs="Calibri"/>
          <w:szCs w:val="22"/>
          <w:lang w:eastAsia="hr-HR"/>
        </w:rPr>
        <w:t xml:space="preserve">Sukladno dobivenim ocjenama, prvo mjesto </w:t>
      </w:r>
      <w:r w:rsidRPr="00AE02DD">
        <w:rPr>
          <w:rFonts w:ascii="Calibri" w:eastAsia="Calibri" w:hAnsi="Calibri" w:cs="Calibri"/>
          <w:szCs w:val="22"/>
          <w:lang w:eastAsia="hr-HR"/>
        </w:rPr>
        <w:t xml:space="preserve">pripalo je timu </w:t>
      </w:r>
      <w:r w:rsidR="001044F1">
        <w:rPr>
          <w:rFonts w:ascii="Calibri" w:eastAsia="Calibri" w:hAnsi="Calibri" w:cs="Calibri"/>
          <w:szCs w:val="22"/>
          <w:lang w:eastAsia="hr-HR"/>
        </w:rPr>
        <w:t>„</w:t>
      </w:r>
      <w:proofErr w:type="spellStart"/>
      <w:r w:rsidR="001044F1">
        <w:rPr>
          <w:rFonts w:ascii="Calibri" w:eastAsia="Calibri" w:hAnsi="Calibri" w:cs="Calibri"/>
          <w:szCs w:val="22"/>
          <w:lang w:eastAsia="hr-HR"/>
        </w:rPr>
        <w:t>Gjimeri</w:t>
      </w:r>
      <w:proofErr w:type="spellEnd"/>
      <w:r w:rsidR="001044F1">
        <w:rPr>
          <w:rFonts w:ascii="Calibri" w:eastAsia="Calibri" w:hAnsi="Calibri" w:cs="Calibri"/>
          <w:szCs w:val="22"/>
          <w:lang w:eastAsia="hr-HR"/>
        </w:rPr>
        <w:t xml:space="preserve">“, Gimnazija </w:t>
      </w:r>
      <w:proofErr w:type="spellStart"/>
      <w:r w:rsidR="001044F1">
        <w:rPr>
          <w:rFonts w:ascii="Calibri" w:eastAsia="Calibri" w:hAnsi="Calibri" w:cs="Calibri"/>
          <w:szCs w:val="22"/>
          <w:lang w:eastAsia="hr-HR"/>
        </w:rPr>
        <w:t>Fran</w:t>
      </w:r>
      <w:proofErr w:type="spellEnd"/>
      <w:r w:rsidR="001044F1">
        <w:rPr>
          <w:rFonts w:ascii="Calibri" w:eastAsia="Calibri" w:hAnsi="Calibri" w:cs="Calibri"/>
          <w:szCs w:val="22"/>
          <w:lang w:eastAsia="hr-HR"/>
        </w:rPr>
        <w:t xml:space="preserve"> Galović iz Koprivnice,  </w:t>
      </w:r>
      <w:r w:rsidR="001044F1" w:rsidRPr="001044F1">
        <w:rPr>
          <w:rFonts w:ascii="Calibri" w:eastAsia="Calibri" w:hAnsi="Calibri" w:cs="Calibri"/>
          <w:szCs w:val="22"/>
          <w:lang w:eastAsia="hr-HR"/>
        </w:rPr>
        <w:t>drugo timu „Kukuruz“</w:t>
      </w:r>
      <w:r w:rsidR="001044F1">
        <w:rPr>
          <w:rFonts w:ascii="Calibri" w:eastAsia="Calibri" w:hAnsi="Calibri" w:cs="Calibri"/>
          <w:szCs w:val="22"/>
          <w:lang w:eastAsia="hr-HR"/>
        </w:rPr>
        <w:t xml:space="preserve">, Gimnazija Josipa Slavenskog iz Čakovca, </w:t>
      </w:r>
      <w:r w:rsidR="001044F1" w:rsidRPr="001044F1">
        <w:rPr>
          <w:rFonts w:ascii="Calibri" w:eastAsia="Calibri" w:hAnsi="Calibri" w:cs="Calibri"/>
          <w:szCs w:val="22"/>
          <w:lang w:eastAsia="hr-HR"/>
        </w:rPr>
        <w:t>dok je treće mjesto odnio tim „IMI“</w:t>
      </w:r>
      <w:r w:rsidR="001044F1">
        <w:rPr>
          <w:rFonts w:ascii="Calibri" w:eastAsia="Calibri" w:hAnsi="Calibri" w:cs="Calibri"/>
          <w:szCs w:val="22"/>
          <w:lang w:eastAsia="hr-HR"/>
        </w:rPr>
        <w:t xml:space="preserve">, Gimnazija </w:t>
      </w:r>
      <w:r w:rsidR="001044F1" w:rsidRPr="001044F1">
        <w:rPr>
          <w:rFonts w:ascii="Calibri" w:eastAsia="Calibri" w:hAnsi="Calibri" w:cs="Calibri"/>
          <w:szCs w:val="22"/>
          <w:lang w:eastAsia="hr-HR"/>
        </w:rPr>
        <w:t>dr. Ivana Kranjčeva</w:t>
      </w:r>
      <w:r w:rsidR="001044F1">
        <w:rPr>
          <w:rFonts w:ascii="Calibri" w:eastAsia="Calibri" w:hAnsi="Calibri" w:cs="Calibri"/>
          <w:szCs w:val="22"/>
          <w:lang w:eastAsia="hr-HR"/>
        </w:rPr>
        <w:t xml:space="preserve"> iz Đurđevca. </w:t>
      </w:r>
      <w:r w:rsidRPr="001044F1">
        <w:rPr>
          <w:rFonts w:ascii="Calibri" w:eastAsia="Calibri" w:hAnsi="Calibri" w:cs="Calibri"/>
          <w:szCs w:val="22"/>
          <w:lang w:eastAsia="hr-HR"/>
        </w:rPr>
        <w:t xml:space="preserve">Natjecatelji </w:t>
      </w:r>
      <w:r w:rsidR="00937EAA" w:rsidRPr="001044F1">
        <w:rPr>
          <w:rFonts w:ascii="Calibri" w:eastAsia="Calibri" w:hAnsi="Calibri" w:cs="Calibri"/>
          <w:szCs w:val="22"/>
          <w:lang w:eastAsia="hr-HR"/>
        </w:rPr>
        <w:t xml:space="preserve">iz </w:t>
      </w:r>
      <w:r w:rsidRPr="001044F1">
        <w:rPr>
          <w:rFonts w:ascii="Calibri" w:eastAsia="Calibri" w:hAnsi="Calibri" w:cs="Calibri"/>
          <w:szCs w:val="22"/>
          <w:lang w:eastAsia="hr-HR"/>
        </w:rPr>
        <w:t>pobjedničkih timova nagrađeni su vrijednim</w:t>
      </w:r>
      <w:r w:rsidRPr="00AE02DD">
        <w:rPr>
          <w:rFonts w:ascii="Calibri" w:eastAsia="Calibri" w:hAnsi="Calibri" w:cs="Calibri"/>
          <w:szCs w:val="22"/>
          <w:lang w:eastAsia="hr-HR"/>
        </w:rPr>
        <w:t xml:space="preserve"> nagradama;</w:t>
      </w:r>
      <w:bookmarkStart w:id="1" w:name="_GoBack"/>
      <w:bookmarkEnd w:id="1"/>
      <w:r w:rsidRPr="00AE02DD">
        <w:rPr>
          <w:rFonts w:ascii="Calibri" w:eastAsia="Calibri" w:hAnsi="Calibri" w:cs="Calibri"/>
          <w:szCs w:val="22"/>
          <w:lang w:eastAsia="hr-HR"/>
        </w:rPr>
        <w:t xml:space="preserve"> </w:t>
      </w:r>
      <w:proofErr w:type="spellStart"/>
      <w:r w:rsidR="00937EAA" w:rsidRPr="00937EAA">
        <w:rPr>
          <w:rFonts w:ascii="Calibri" w:eastAsia="Calibri" w:hAnsi="Calibri" w:cs="Calibri"/>
          <w:szCs w:val="22"/>
          <w:lang w:eastAsia="hr-HR"/>
        </w:rPr>
        <w:t>iPad</w:t>
      </w:r>
      <w:proofErr w:type="spellEnd"/>
      <w:r w:rsidR="00937EAA" w:rsidRPr="00937EAA">
        <w:rPr>
          <w:rFonts w:ascii="Calibri" w:eastAsia="Calibri" w:hAnsi="Calibri" w:cs="Calibri"/>
          <w:szCs w:val="22"/>
          <w:lang w:eastAsia="hr-HR"/>
        </w:rPr>
        <w:t xml:space="preserve"> Air za prvo mjesto, </w:t>
      </w:r>
      <w:proofErr w:type="spellStart"/>
      <w:r w:rsidR="00937EAA" w:rsidRPr="00937EAA">
        <w:rPr>
          <w:rFonts w:ascii="Calibri" w:eastAsia="Calibri" w:hAnsi="Calibri" w:cs="Calibri"/>
          <w:szCs w:val="22"/>
          <w:lang w:eastAsia="hr-HR"/>
        </w:rPr>
        <w:t>Kindle</w:t>
      </w:r>
      <w:proofErr w:type="spellEnd"/>
      <w:r w:rsidR="00937EAA" w:rsidRPr="00937EAA">
        <w:rPr>
          <w:rFonts w:ascii="Calibri" w:eastAsia="Calibri" w:hAnsi="Calibri" w:cs="Calibri"/>
          <w:szCs w:val="22"/>
          <w:lang w:eastAsia="hr-HR"/>
        </w:rPr>
        <w:t xml:space="preserve"> </w:t>
      </w:r>
      <w:proofErr w:type="spellStart"/>
      <w:r w:rsidR="00937EAA" w:rsidRPr="00937EAA">
        <w:rPr>
          <w:rFonts w:ascii="Calibri" w:eastAsia="Calibri" w:hAnsi="Calibri" w:cs="Calibri"/>
          <w:szCs w:val="22"/>
          <w:lang w:eastAsia="hr-HR"/>
        </w:rPr>
        <w:t>Paperwhite</w:t>
      </w:r>
      <w:proofErr w:type="spellEnd"/>
      <w:r w:rsidR="00937EAA" w:rsidRPr="00937EAA">
        <w:rPr>
          <w:rFonts w:ascii="Calibri" w:eastAsia="Calibri" w:hAnsi="Calibri" w:cs="Calibri"/>
          <w:szCs w:val="22"/>
          <w:lang w:eastAsia="hr-HR"/>
        </w:rPr>
        <w:t xml:space="preserve"> 2 za drugo mjesto te paket opreme za on-line učenje za treće, kao i stručni posjet Ininim postrojenjima za sve nagrađene</w:t>
      </w:r>
      <w:r w:rsidR="00AE02DD">
        <w:rPr>
          <w:rFonts w:ascii="Calibri" w:eastAsia="Calibri" w:hAnsi="Calibri" w:cs="Calibri"/>
          <w:szCs w:val="22"/>
          <w:lang w:eastAsia="hr-HR"/>
        </w:rPr>
        <w:t xml:space="preserve">. </w:t>
      </w:r>
      <w:r w:rsidRPr="00AE02DD">
        <w:rPr>
          <w:rFonts w:ascii="Calibri" w:eastAsia="Calibri" w:hAnsi="Calibri" w:cs="Calibri"/>
          <w:szCs w:val="22"/>
          <w:lang w:eastAsia="hr-HR"/>
        </w:rPr>
        <w:t xml:space="preserve">Također, posebna nagrada, 3D printer uručena je školi </w:t>
      </w:r>
      <w:r w:rsidR="00C437BE">
        <w:rPr>
          <w:rFonts w:ascii="Calibri" w:eastAsia="Calibri" w:hAnsi="Calibri" w:cs="Calibri"/>
          <w:szCs w:val="22"/>
          <w:lang w:eastAsia="hr-HR"/>
        </w:rPr>
        <w:t>s najvećim brojem timova koji su sudjelovali u online natjecanju</w:t>
      </w:r>
      <w:r w:rsidRPr="00AE02DD">
        <w:rPr>
          <w:rFonts w:ascii="Calibri" w:eastAsia="Calibri" w:hAnsi="Calibri" w:cs="Calibri"/>
          <w:szCs w:val="22"/>
          <w:lang w:eastAsia="hr-HR"/>
        </w:rPr>
        <w:t>; Gimnazij</w:t>
      </w:r>
      <w:r w:rsidR="00D618B2">
        <w:rPr>
          <w:rFonts w:ascii="Calibri" w:eastAsia="Calibri" w:hAnsi="Calibri" w:cs="Calibri"/>
          <w:szCs w:val="22"/>
          <w:lang w:eastAsia="hr-HR"/>
        </w:rPr>
        <w:t>i</w:t>
      </w:r>
      <w:r w:rsidRPr="00AE02DD">
        <w:rPr>
          <w:rFonts w:ascii="Calibri" w:eastAsia="Calibri" w:hAnsi="Calibri" w:cs="Calibri"/>
          <w:szCs w:val="22"/>
          <w:lang w:eastAsia="hr-HR"/>
        </w:rPr>
        <w:t xml:space="preserve"> Požega. </w:t>
      </w:r>
    </w:p>
    <w:p w:rsidR="00AE02DD" w:rsidRPr="00AE02DD" w:rsidRDefault="00AE02DD" w:rsidP="007810C1">
      <w:pPr>
        <w:jc w:val="both"/>
        <w:rPr>
          <w:rFonts w:ascii="Calibri" w:eastAsia="Calibri" w:hAnsi="Calibri" w:cs="Calibri"/>
          <w:szCs w:val="22"/>
          <w:lang w:eastAsia="hr-HR"/>
        </w:rPr>
      </w:pPr>
    </w:p>
    <w:p w:rsidR="00EB70CF" w:rsidRPr="00370B39" w:rsidRDefault="00EB70CF" w:rsidP="00EB70CF">
      <w:pPr>
        <w:jc w:val="both"/>
        <w:rPr>
          <w:rFonts w:asciiTheme="minorHAns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>
        <w:rPr>
          <w:rFonts w:asciiTheme="minorHAnsi" w:eastAsia="Calibri" w:hAnsiTheme="minorHAnsi" w:cstheme="minorHAnsi"/>
          <w:sz w:val="20"/>
          <w:szCs w:val="20"/>
        </w:rPr>
        <w:t>2</w:t>
      </w: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B70CF" w:rsidRPr="00370B39" w:rsidRDefault="00EB70CF" w:rsidP="00EB70C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370B39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EB70CF" w:rsidRPr="00370B39" w:rsidRDefault="00EB70CF" w:rsidP="00EB70CF">
      <w:pPr>
        <w:rPr>
          <w:rFonts w:asciiTheme="minorHAnsi" w:eastAsia="Calibri" w:hAnsiTheme="minorHAnsi" w:cstheme="minorHAnsi"/>
          <w:sz w:val="20"/>
          <w:szCs w:val="20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EB70CF" w:rsidRPr="00370B39" w:rsidRDefault="00EB70CF" w:rsidP="00EB70CF">
      <w:pPr>
        <w:rPr>
          <w:rStyle w:val="PageNumber"/>
        </w:rPr>
      </w:pPr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370B39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370B39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22200D" w:rsidRDefault="0022200D"/>
    <w:sectPr w:rsidR="0022200D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FE" w:rsidRDefault="003A1AFE">
      <w:r>
        <w:separator/>
      </w:r>
    </w:p>
  </w:endnote>
  <w:endnote w:type="continuationSeparator" w:id="0">
    <w:p w:rsidR="003A1AFE" w:rsidRDefault="003A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A1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A1AFE">
    <w:pPr>
      <w:pStyle w:val="Footer"/>
      <w:rPr>
        <w:sz w:val="2"/>
      </w:rPr>
    </w:pPr>
  </w:p>
  <w:p w:rsidR="001F421D" w:rsidRDefault="002361A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Dj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hdPs9kETKP3s4QU90Bjnf/AdYfCpMQSNEdicto6D9IBeoeEe5TeCCmj&#10;2VKhvsSL6WQaA5yWgoXDAHP2sK+kRScS2iV+oQ5A9gCz+qhYJGs5Yevb3BMhr3PASxX4IBWQc5td&#10;++HbIl2s5+t5Psons/UoT+t69H5T5aPZJnua1u/qqqqz70FalhetYIyroO7em1n+d97fXsm1q4bu&#10;HMqQPLLHFEHs/R9FRy+DfddG2Gt22dlQjWArtGME355O6Pdf1xH184Gvfg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Ixvw4x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3A1AFE">
    <w:pPr>
      <w:pStyle w:val="Footer"/>
      <w:rPr>
        <w:sz w:val="8"/>
        <w:szCs w:val="8"/>
      </w:rPr>
    </w:pPr>
  </w:p>
  <w:p w:rsidR="001F421D" w:rsidRDefault="00351903">
    <w:pPr>
      <w:pStyle w:val="Footer"/>
      <w:jc w:val="right"/>
      <w:rPr>
        <w:rStyle w:val="PageNumber"/>
      </w:rPr>
    </w:pP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044F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7F611F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7F611F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044F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3A1AFE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2361A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15240" b="355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nSHQIAADU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fdFp0h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3A1AF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7F611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7F611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7F611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3A1AF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7F611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7F611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3A1AFE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3A1AF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3A1AF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7F611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3A1AFE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3A1AFE">
    <w:pPr>
      <w:rPr>
        <w:sz w:val="2"/>
        <w:szCs w:val="2"/>
      </w:rPr>
    </w:pPr>
  </w:p>
  <w:p w:rsidR="001F421D" w:rsidRPr="00B976E5" w:rsidRDefault="003A1AFE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FE" w:rsidRDefault="003A1AFE">
      <w:r>
        <w:separator/>
      </w:r>
    </w:p>
  </w:footnote>
  <w:footnote w:type="continuationSeparator" w:id="0">
    <w:p w:rsidR="003A1AFE" w:rsidRDefault="003A1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AF" w:rsidRDefault="007F611F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67527869" wp14:editId="61E2352D">
          <wp:extent cx="1213485" cy="450850"/>
          <wp:effectExtent l="0" t="0" r="5715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FF0000"/>
      </w:rPr>
      <w:tab/>
    </w:r>
    <w:r w:rsidR="00815DAF">
      <w:rPr>
        <w:color w:val="FF0000"/>
      </w:rPr>
      <w:t xml:space="preserve">                      </w:t>
    </w:r>
  </w:p>
  <w:p w:rsidR="00A44C08" w:rsidRPr="00A44C08" w:rsidRDefault="003A1AFE" w:rsidP="00E55463">
    <w:pPr>
      <w:pStyle w:val="Header"/>
      <w:tabs>
        <w:tab w:val="clear" w:pos="4451"/>
        <w:tab w:val="clear" w:pos="9923"/>
        <w:tab w:val="left" w:pos="6555"/>
      </w:tabs>
      <w:rPr>
        <w:color w:val="FF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A1A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A1AFE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3A1AFE">
    <w:pPr>
      <w:pStyle w:val="Header"/>
      <w:jc w:val="right"/>
      <w:rPr>
        <w:sz w:val="2"/>
      </w:rPr>
    </w:pPr>
  </w:p>
  <w:p w:rsidR="001F421D" w:rsidRDefault="003A1AFE">
    <w:pPr>
      <w:pStyle w:val="Header"/>
      <w:jc w:val="right"/>
      <w:rPr>
        <w:sz w:val="2"/>
      </w:rPr>
    </w:pPr>
  </w:p>
  <w:p w:rsidR="001F421D" w:rsidRDefault="003A1AFE">
    <w:pPr>
      <w:pStyle w:val="Header"/>
      <w:jc w:val="right"/>
      <w:rPr>
        <w:sz w:val="2"/>
      </w:rPr>
    </w:pPr>
  </w:p>
  <w:p w:rsidR="001F421D" w:rsidRDefault="003A1AF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CF"/>
    <w:rsid w:val="00054A45"/>
    <w:rsid w:val="000A300C"/>
    <w:rsid w:val="000C5E33"/>
    <w:rsid w:val="001044F1"/>
    <w:rsid w:val="0022200D"/>
    <w:rsid w:val="002361AC"/>
    <w:rsid w:val="00351903"/>
    <w:rsid w:val="003A1AFE"/>
    <w:rsid w:val="005F0962"/>
    <w:rsid w:val="00604701"/>
    <w:rsid w:val="0061745B"/>
    <w:rsid w:val="00706D85"/>
    <w:rsid w:val="00732B19"/>
    <w:rsid w:val="0076401C"/>
    <w:rsid w:val="00765201"/>
    <w:rsid w:val="007810C1"/>
    <w:rsid w:val="0079177F"/>
    <w:rsid w:val="007F611F"/>
    <w:rsid w:val="00815DAF"/>
    <w:rsid w:val="00864090"/>
    <w:rsid w:val="00937EAA"/>
    <w:rsid w:val="009556C6"/>
    <w:rsid w:val="00990E1A"/>
    <w:rsid w:val="00A561E7"/>
    <w:rsid w:val="00AE02DD"/>
    <w:rsid w:val="00B30F74"/>
    <w:rsid w:val="00B428F7"/>
    <w:rsid w:val="00C437BE"/>
    <w:rsid w:val="00CF5353"/>
    <w:rsid w:val="00D618B2"/>
    <w:rsid w:val="00E40297"/>
    <w:rsid w:val="00EB70CF"/>
    <w:rsid w:val="00F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0CF"/>
    <w:pPr>
      <w:spacing w:after="0" w:line="240" w:lineRule="auto"/>
    </w:pPr>
    <w:rPr>
      <w:rFonts w:ascii="Arial" w:eastAsia="Times New Roman" w:hAnsi="Arial" w:cs="Times New Roman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70CF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B70CF"/>
    <w:rPr>
      <w:rFonts w:ascii="Arial" w:eastAsia="Times New Roman" w:hAnsi="Arial" w:cs="Times New Roman"/>
      <w:szCs w:val="20"/>
      <w:lang w:val="hr-HR"/>
    </w:rPr>
  </w:style>
  <w:style w:type="paragraph" w:styleId="Footer">
    <w:name w:val="footer"/>
    <w:basedOn w:val="Normal"/>
    <w:link w:val="FooterChar"/>
    <w:rsid w:val="00EB70CF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EB70CF"/>
    <w:rPr>
      <w:rFonts w:ascii="Arial" w:eastAsia="Times New Roman" w:hAnsi="Arial" w:cs="Times New Roman"/>
      <w:szCs w:val="20"/>
      <w:lang w:val="hr-HR"/>
    </w:rPr>
  </w:style>
  <w:style w:type="character" w:styleId="PageNumber">
    <w:name w:val="page number"/>
    <w:basedOn w:val="DefaultParagraphFont"/>
    <w:rsid w:val="00EB70CF"/>
  </w:style>
  <w:style w:type="paragraph" w:styleId="PlainText">
    <w:name w:val="Plain Text"/>
    <w:basedOn w:val="Normal"/>
    <w:link w:val="PlainTextChar"/>
    <w:uiPriority w:val="99"/>
    <w:unhideWhenUsed/>
    <w:rsid w:val="00EB70CF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70CF"/>
    <w:rPr>
      <w:rFonts w:ascii="Consolas" w:hAnsi="Consolas" w:cs="Consolas"/>
      <w:sz w:val="21"/>
      <w:szCs w:val="21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CF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E6D73-9650-4474-95C3-9AA70527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3</cp:revision>
  <dcterms:created xsi:type="dcterms:W3CDTF">2015-01-29T15:07:00Z</dcterms:created>
  <dcterms:modified xsi:type="dcterms:W3CDTF">2015-01-30T16:25:00Z</dcterms:modified>
</cp:coreProperties>
</file>