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5F007F" w:rsidRDefault="00FC6E29" w:rsidP="00FC6E29">
      <w:pPr>
        <w:rPr>
          <w:sz w:val="2"/>
          <w:szCs w:val="2"/>
        </w:rPr>
      </w:pPr>
      <w:bookmarkStart w:id="0" w:name="_GoBack"/>
      <w:bookmarkEnd w:id="0"/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7"/>
        <w:gridCol w:w="3917"/>
      </w:tblGrid>
      <w:tr w:rsidR="00F363C1" w:rsidRPr="007235C0">
        <w:trPr>
          <w:trHeight w:val="119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rPr>
          <w:trHeight w:val="80"/>
        </w:trPr>
        <w:tc>
          <w:tcPr>
            <w:tcW w:w="5495" w:type="dxa"/>
            <w:shd w:val="clear" w:color="auto" w:fill="auto"/>
          </w:tcPr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Korporativne komunikacije</w:t>
            </w:r>
            <w:r w:rsidRPr="00427C50">
              <w:rPr>
                <w:sz w:val="18"/>
                <w:szCs w:val="18"/>
              </w:rPr>
              <w:tab/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proofErr w:type="spellStart"/>
            <w:r w:rsidRPr="00427C50">
              <w:rPr>
                <w:sz w:val="18"/>
                <w:szCs w:val="18"/>
              </w:rPr>
              <w:t>Av</w:t>
            </w:r>
            <w:proofErr w:type="spellEnd"/>
            <w:r w:rsidRPr="00427C50">
              <w:rPr>
                <w:sz w:val="18"/>
                <w:szCs w:val="18"/>
              </w:rPr>
              <w:t>. V. Holjevca 10</w:t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Zagreb 10002</w:t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ab/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Tel:  01 6450 406</w:t>
            </w:r>
          </w:p>
          <w:p w:rsidR="00F363C1" w:rsidRPr="00CF34B7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Fax: 01 6452 406</w:t>
            </w: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</w:p>
    <w:p w:rsidR="00427C50" w:rsidRPr="00427C50" w:rsidRDefault="00F7606F" w:rsidP="00427C50">
      <w:pPr>
        <w:jc w:val="right"/>
        <w:rPr>
          <w:b/>
          <w:szCs w:val="22"/>
        </w:rPr>
      </w:pPr>
      <w:r>
        <w:rPr>
          <w:sz w:val="18"/>
        </w:rPr>
        <w:t xml:space="preserve"> </w:t>
      </w:r>
      <w:r w:rsidR="00427C50" w:rsidRPr="00427C50">
        <w:rPr>
          <w:b/>
          <w:szCs w:val="22"/>
        </w:rPr>
        <w:t xml:space="preserve">PRIOPĆENJE ZA MEDIJE </w:t>
      </w:r>
    </w:p>
    <w:p w:rsidR="00F7606F" w:rsidRDefault="00F7606F" w:rsidP="00B60DCB">
      <w:pPr>
        <w:rPr>
          <w:sz w:val="18"/>
        </w:rPr>
      </w:pP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BF0C2F" w:rsidRDefault="00BF0C2F" w:rsidP="00BF0C2F">
      <w:pPr>
        <w:pStyle w:val="CharCharCharCharCharChar1CharChar"/>
        <w:spacing w:line="276" w:lineRule="auto"/>
        <w:ind w:left="0" w:right="140" w:firstLine="0"/>
        <w:jc w:val="center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Otvorene prijave za Zeleni pojas</w:t>
      </w:r>
      <w:r w:rsidR="0041156E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2019.</w:t>
      </w:r>
    </w:p>
    <w:p w:rsidR="00BF0C2F" w:rsidRDefault="00BF0C2F" w:rsidP="00BF0C2F">
      <w:pPr>
        <w:numPr>
          <w:ilvl w:val="0"/>
          <w:numId w:val="2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Šestu godinu zaredom INA pokreće natječaj za sufinanciranje ekoloških projekata</w:t>
      </w:r>
    </w:p>
    <w:p w:rsidR="00BF0C2F" w:rsidRDefault="00BF0C2F" w:rsidP="00BF0C2F">
      <w:pPr>
        <w:numPr>
          <w:ilvl w:val="0"/>
          <w:numId w:val="2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Prijave traju od 25. travnja do 25. svibnja u ponoć putem web stranice: </w:t>
      </w:r>
      <w:hyperlink r:id="rId12" w:history="1">
        <w:r>
          <w:rPr>
            <w:rStyle w:val="Hyperlink"/>
            <w:rFonts w:asciiTheme="minorHAnsi" w:hAnsiTheme="minorHAnsi" w:cs="Arial"/>
            <w:b/>
            <w:bCs/>
            <w:sz w:val="24"/>
          </w:rPr>
          <w:t>www.ina.hr/zelenipojas</w:t>
        </w:r>
      </w:hyperlink>
      <w:r>
        <w:rPr>
          <w:rFonts w:asciiTheme="minorHAnsi" w:hAnsiTheme="minorHAnsi" w:cs="Arial"/>
          <w:b/>
          <w:bCs/>
          <w:sz w:val="24"/>
        </w:rPr>
        <w:t xml:space="preserve"> </w:t>
      </w:r>
    </w:p>
    <w:p w:rsidR="00BF0C2F" w:rsidRDefault="00BF0C2F" w:rsidP="00BF0C2F">
      <w:pPr>
        <w:numPr>
          <w:ilvl w:val="0"/>
          <w:numId w:val="2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Nagrađen najbolji projekt iz natječaja Zeleni pojas 2017.</w:t>
      </w:r>
    </w:p>
    <w:p w:rsidR="00157BE2" w:rsidRPr="000D6159" w:rsidRDefault="00157BE2" w:rsidP="000D6159">
      <w:pPr>
        <w:numPr>
          <w:ilvl w:val="0"/>
          <w:numId w:val="2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 w:rsidRPr="005271F8">
        <w:rPr>
          <w:rFonts w:asciiTheme="minorHAnsi" w:hAnsiTheme="minorHAnsi" w:cs="Arial"/>
          <w:b/>
          <w:bCs/>
          <w:sz w:val="24"/>
        </w:rPr>
        <w:t>Svjetsko priznanje i primjer dobre prakse UN-a</w:t>
      </w:r>
      <w:r>
        <w:rPr>
          <w:rFonts w:asciiTheme="minorHAnsi" w:hAnsiTheme="minorHAnsi" w:cs="Arial"/>
          <w:b/>
          <w:bCs/>
          <w:sz w:val="24"/>
        </w:rPr>
        <w:t xml:space="preserve"> 2018.: Zeleni pojas j</w:t>
      </w:r>
      <w:r w:rsidRPr="005271F8">
        <w:rPr>
          <w:rFonts w:asciiTheme="minorHAnsi" w:hAnsiTheme="minorHAnsi" w:cs="Arial"/>
          <w:b/>
          <w:bCs/>
          <w:sz w:val="24"/>
        </w:rPr>
        <w:t xml:space="preserve">edan </w:t>
      </w:r>
      <w:r w:rsidR="00967979">
        <w:rPr>
          <w:rFonts w:asciiTheme="minorHAnsi" w:hAnsiTheme="minorHAnsi" w:cs="Arial"/>
          <w:b/>
          <w:bCs/>
          <w:sz w:val="24"/>
        </w:rPr>
        <w:t xml:space="preserve">je </w:t>
      </w:r>
      <w:r w:rsidRPr="005271F8">
        <w:rPr>
          <w:rFonts w:asciiTheme="minorHAnsi" w:hAnsiTheme="minorHAnsi" w:cs="Arial"/>
          <w:b/>
          <w:bCs/>
          <w:sz w:val="24"/>
        </w:rPr>
        <w:t>od 80 najuspješnijih svjetskih primjera održivog razvoja</w:t>
      </w:r>
    </w:p>
    <w:p w:rsidR="00BF0C2F" w:rsidRDefault="00BF0C2F" w:rsidP="00BF0C2F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:rsidR="00644B4F" w:rsidRPr="00644B4F" w:rsidRDefault="00BF0C2F" w:rsidP="00644B4F">
      <w:pPr>
        <w:ind w:right="140"/>
        <w:jc w:val="both"/>
        <w:rPr>
          <w:rFonts w:ascii="Calibri" w:hAnsi="Calibri"/>
          <w:b/>
          <w:bCs/>
          <w:color w:val="000000"/>
          <w:szCs w:val="22"/>
        </w:rPr>
      </w:pPr>
      <w:r>
        <w:rPr>
          <w:rFonts w:ascii="Calibri" w:hAnsi="Calibri"/>
          <w:b/>
          <w:bCs/>
          <w:szCs w:val="22"/>
        </w:rPr>
        <w:t>Zagreb, 25. travnja 2019.</w:t>
      </w:r>
      <w:r>
        <w:rPr>
          <w:rFonts w:ascii="Calibri" w:hAnsi="Calibri"/>
          <w:szCs w:val="22"/>
        </w:rPr>
        <w:t xml:space="preserve"> – </w:t>
      </w:r>
      <w:r>
        <w:rPr>
          <w:rFonts w:asciiTheme="minorHAnsi" w:hAnsiTheme="minorHAnsi"/>
          <w:b/>
          <w:bCs/>
          <w:lang w:eastAsia="hr-HR"/>
        </w:rPr>
        <w:t xml:space="preserve">INA šestu godinu zaredom nastavlja provedbu programa Zeleni pojas u sklopu kojeg sufinancira ekološke projekte. Natječaj je namijenjen svim organizacijama civilnog društva, javnim obrazovnim ustanovama, parkovima prirode i dobrovoljnim vatrogasnim društvima u Hrvatskoj koji svoje ideje i projekte mogu prijaviti do 25. svibnja u ponoć. </w:t>
      </w:r>
      <w:r w:rsidR="00644B4F" w:rsidRPr="00644B4F">
        <w:rPr>
          <w:rFonts w:asciiTheme="minorHAnsi" w:hAnsiTheme="minorHAnsi"/>
          <w:b/>
          <w:bCs/>
          <w:lang w:eastAsia="hr-HR"/>
        </w:rPr>
        <w:t xml:space="preserve">Kroz proteklih pet godina realizirano je više od 80 projekta koje </w:t>
      </w:r>
      <w:r w:rsidR="00644B4F">
        <w:rPr>
          <w:rFonts w:asciiTheme="minorHAnsi" w:hAnsiTheme="minorHAnsi"/>
          <w:b/>
          <w:bCs/>
          <w:lang w:eastAsia="hr-HR"/>
        </w:rPr>
        <w:t>je INA</w:t>
      </w:r>
      <w:r w:rsidR="00644B4F" w:rsidRPr="00644B4F">
        <w:rPr>
          <w:rFonts w:asciiTheme="minorHAnsi" w:hAnsiTheme="minorHAnsi"/>
          <w:b/>
          <w:bCs/>
          <w:lang w:eastAsia="hr-HR"/>
        </w:rPr>
        <w:t xml:space="preserve"> </w:t>
      </w:r>
      <w:r w:rsidR="00644B4F">
        <w:rPr>
          <w:rFonts w:asciiTheme="minorHAnsi" w:hAnsiTheme="minorHAnsi"/>
          <w:b/>
          <w:bCs/>
          <w:lang w:eastAsia="hr-HR"/>
        </w:rPr>
        <w:t>sufinancirala</w:t>
      </w:r>
      <w:r w:rsidR="00644B4F" w:rsidRPr="00644B4F">
        <w:rPr>
          <w:rFonts w:asciiTheme="minorHAnsi" w:hAnsiTheme="minorHAnsi"/>
          <w:b/>
          <w:bCs/>
          <w:lang w:eastAsia="hr-HR"/>
        </w:rPr>
        <w:t xml:space="preserve"> s ukupnim iznosom od više od milijun i 700 tisuća kuna, a na projektima je sudjelovalo gotovo 2.300 </w:t>
      </w:r>
      <w:r w:rsidR="00967979">
        <w:rPr>
          <w:rFonts w:asciiTheme="minorHAnsi" w:hAnsiTheme="minorHAnsi"/>
          <w:b/>
          <w:bCs/>
          <w:lang w:eastAsia="hr-HR"/>
        </w:rPr>
        <w:t xml:space="preserve">Ininih </w:t>
      </w:r>
      <w:r w:rsidR="00644B4F" w:rsidRPr="00644B4F">
        <w:rPr>
          <w:rFonts w:asciiTheme="minorHAnsi" w:hAnsiTheme="minorHAnsi"/>
          <w:b/>
          <w:bCs/>
          <w:lang w:eastAsia="hr-HR"/>
        </w:rPr>
        <w:t>volontera.</w:t>
      </w:r>
      <w:r w:rsidR="00644B4F">
        <w:rPr>
          <w:rFonts w:asciiTheme="minorHAnsi" w:hAnsiTheme="minorHAnsi"/>
          <w:b/>
          <w:bCs/>
          <w:lang w:eastAsia="hr-HR"/>
        </w:rPr>
        <w:t xml:space="preserve"> </w:t>
      </w:r>
      <w:r w:rsidR="00644B4F">
        <w:rPr>
          <w:rFonts w:asciiTheme="minorHAnsi" w:hAnsiTheme="minorHAnsi"/>
          <w:b/>
          <w:bCs/>
        </w:rPr>
        <w:t>Posađeno je</w:t>
      </w:r>
      <w:r w:rsidR="00644B4F" w:rsidRPr="00644B4F">
        <w:rPr>
          <w:rFonts w:asciiTheme="minorHAnsi" w:hAnsiTheme="minorHAnsi"/>
          <w:b/>
          <w:bCs/>
        </w:rPr>
        <w:t xml:space="preserve"> više od 6.300 sadnica drveća, cvijeća i raslinja te </w:t>
      </w:r>
      <w:r w:rsidR="00644B4F">
        <w:rPr>
          <w:rFonts w:asciiTheme="minorHAnsi" w:hAnsiTheme="minorHAnsi"/>
          <w:b/>
          <w:bCs/>
        </w:rPr>
        <w:t>zazelenjen prostor</w:t>
      </w:r>
      <w:r w:rsidR="00644B4F" w:rsidRPr="00644B4F">
        <w:rPr>
          <w:rFonts w:asciiTheme="minorHAnsi" w:hAnsiTheme="minorHAnsi"/>
          <w:b/>
          <w:bCs/>
        </w:rPr>
        <w:t xml:space="preserve"> od gotovo 30.000 m</w:t>
      </w:r>
      <w:r w:rsidR="00644B4F" w:rsidRPr="008977D1">
        <w:rPr>
          <w:rFonts w:asciiTheme="minorHAnsi" w:hAnsiTheme="minorHAnsi"/>
          <w:b/>
          <w:bCs/>
          <w:vertAlign w:val="superscript"/>
          <w:lang w:eastAsia="hr-HR"/>
        </w:rPr>
        <w:t>2</w:t>
      </w:r>
      <w:r w:rsidR="00644B4F" w:rsidRPr="00644B4F">
        <w:rPr>
          <w:rFonts w:asciiTheme="minorHAnsi" w:hAnsiTheme="minorHAnsi"/>
          <w:b/>
          <w:bCs/>
        </w:rPr>
        <w:t>.</w:t>
      </w:r>
    </w:p>
    <w:p w:rsidR="00644B4F" w:rsidRPr="008B6397" w:rsidRDefault="00644B4F" w:rsidP="00BF0C2F">
      <w:pPr>
        <w:ind w:right="140"/>
        <w:jc w:val="both"/>
        <w:rPr>
          <w:rFonts w:ascii="Calibri" w:hAnsi="Calibri"/>
          <w:szCs w:val="22"/>
        </w:rPr>
      </w:pPr>
    </w:p>
    <w:p w:rsidR="00BF0C2F" w:rsidRPr="00881F71" w:rsidRDefault="00BF0C2F" w:rsidP="00BF0C2F">
      <w:pPr>
        <w:ind w:right="140"/>
        <w:jc w:val="both"/>
        <w:rPr>
          <w:rFonts w:ascii="Calibri" w:hAnsi="Calibri"/>
          <w:szCs w:val="22"/>
        </w:rPr>
      </w:pPr>
      <w:r w:rsidRPr="00D713CD">
        <w:rPr>
          <w:rFonts w:asciiTheme="minorHAnsi" w:hAnsiTheme="minorHAnsi"/>
          <w:lang w:eastAsia="hr-HR"/>
        </w:rPr>
        <w:t>Na predstavljanju ovogodišnjeg natječaja, koj</w:t>
      </w:r>
      <w:r w:rsidR="00967979">
        <w:rPr>
          <w:rFonts w:asciiTheme="minorHAnsi" w:hAnsiTheme="minorHAnsi"/>
          <w:lang w:eastAsia="hr-HR"/>
        </w:rPr>
        <w:t>e</w:t>
      </w:r>
      <w:r w:rsidRPr="00D713CD">
        <w:rPr>
          <w:rFonts w:asciiTheme="minorHAnsi" w:hAnsiTheme="minorHAnsi"/>
          <w:lang w:eastAsia="hr-HR"/>
        </w:rPr>
        <w:t xml:space="preserve"> je moderirala Iva Šulentić, svečano je dodijeljena nagrada projektu </w:t>
      </w:r>
      <w:r w:rsidR="00CC7F74" w:rsidRPr="00D713CD">
        <w:rPr>
          <w:rFonts w:asciiTheme="minorHAnsi" w:hAnsiTheme="minorHAnsi"/>
          <w:lang w:eastAsia="hr-HR"/>
        </w:rPr>
        <w:t>„Plava vreća 2018.“</w:t>
      </w:r>
      <w:r w:rsidRPr="00D713CD">
        <w:rPr>
          <w:rFonts w:asciiTheme="minorHAnsi" w:hAnsiTheme="minorHAnsi"/>
          <w:lang w:eastAsia="hr-HR"/>
        </w:rPr>
        <w:t xml:space="preserve"> Udruge </w:t>
      </w:r>
      <w:r w:rsidR="00CC7F74" w:rsidRPr="00D713CD">
        <w:rPr>
          <w:rFonts w:asciiTheme="minorHAnsi" w:hAnsiTheme="minorHAnsi"/>
          <w:lang w:eastAsia="hr-HR"/>
        </w:rPr>
        <w:t>Obala naših unuka</w:t>
      </w:r>
      <w:r w:rsidR="00967979">
        <w:rPr>
          <w:rFonts w:asciiTheme="minorHAnsi" w:hAnsiTheme="minorHAnsi"/>
          <w:lang w:eastAsia="hr-HR"/>
        </w:rPr>
        <w:t>,</w:t>
      </w:r>
      <w:r w:rsidRPr="00D713CD">
        <w:rPr>
          <w:rFonts w:asciiTheme="minorHAnsi" w:hAnsiTheme="minorHAnsi"/>
          <w:lang w:eastAsia="hr-HR"/>
        </w:rPr>
        <w:t xml:space="preserve"> </w:t>
      </w:r>
      <w:r w:rsidR="00CC7F74" w:rsidRPr="00D713CD">
        <w:rPr>
          <w:rFonts w:asciiTheme="minorHAnsi" w:hAnsiTheme="minorHAnsi"/>
          <w:lang w:eastAsia="hr-HR"/>
        </w:rPr>
        <w:t>koji je realiziran prošle godine te ocijenjen kao najbolje realizirani projekt u natječaju Zeleni pojas 2017.</w:t>
      </w:r>
      <w:r w:rsidRPr="00D713CD">
        <w:rPr>
          <w:rFonts w:asciiTheme="minorHAnsi" w:hAnsiTheme="minorHAnsi"/>
          <w:lang w:eastAsia="hr-HR"/>
        </w:rPr>
        <w:t xml:space="preserve"> </w:t>
      </w:r>
      <w:r w:rsidR="000B61E8" w:rsidRPr="00D713CD">
        <w:rPr>
          <w:rFonts w:asciiTheme="minorHAnsi" w:hAnsiTheme="minorHAnsi"/>
          <w:lang w:eastAsia="hr-HR"/>
        </w:rPr>
        <w:t>Udruzi je</w:t>
      </w:r>
      <w:r w:rsidR="000452A5" w:rsidRPr="00D713CD">
        <w:rPr>
          <w:rFonts w:asciiTheme="minorHAnsi" w:hAnsiTheme="minorHAnsi"/>
          <w:lang w:eastAsia="hr-HR"/>
        </w:rPr>
        <w:t>,</w:t>
      </w:r>
      <w:r w:rsidR="000B61E8" w:rsidRPr="00D713CD">
        <w:rPr>
          <w:rFonts w:asciiTheme="minorHAnsi" w:hAnsiTheme="minorHAnsi"/>
          <w:lang w:eastAsia="hr-HR"/>
        </w:rPr>
        <w:t xml:space="preserve"> o</w:t>
      </w:r>
      <w:r w:rsidRPr="00D713CD">
        <w:rPr>
          <w:rFonts w:asciiTheme="minorHAnsi" w:hAnsiTheme="minorHAnsi"/>
          <w:lang w:eastAsia="hr-HR"/>
        </w:rPr>
        <w:t xml:space="preserve">sim INA kartice u </w:t>
      </w:r>
      <w:r w:rsidR="000B61E8" w:rsidRPr="00D713CD">
        <w:rPr>
          <w:rFonts w:asciiTheme="minorHAnsi" w:hAnsiTheme="minorHAnsi"/>
          <w:lang w:eastAsia="hr-HR"/>
        </w:rPr>
        <w:t>vrijednosti od pet tisuća kuna</w:t>
      </w:r>
      <w:r w:rsidR="000452A5" w:rsidRPr="00D713CD">
        <w:rPr>
          <w:rFonts w:asciiTheme="minorHAnsi" w:hAnsiTheme="minorHAnsi"/>
          <w:lang w:eastAsia="hr-HR"/>
        </w:rPr>
        <w:t>,</w:t>
      </w:r>
      <w:r w:rsidR="000B61E8" w:rsidRPr="00D713CD">
        <w:rPr>
          <w:rFonts w:asciiTheme="minorHAnsi" w:hAnsiTheme="minorHAnsi"/>
          <w:lang w:eastAsia="hr-HR"/>
        </w:rPr>
        <w:t xml:space="preserve"> </w:t>
      </w:r>
      <w:r w:rsidR="009C2EF3" w:rsidRPr="00D713CD">
        <w:rPr>
          <w:rFonts w:asciiTheme="minorHAnsi" w:hAnsiTheme="minorHAnsi"/>
          <w:lang w:eastAsia="hr-HR"/>
        </w:rPr>
        <w:t>ravnatelj Škole primijenjene umjetnosti i dizajna Zagreb</w:t>
      </w:r>
      <w:r w:rsidR="000452A5" w:rsidRPr="00D713CD">
        <w:rPr>
          <w:rFonts w:asciiTheme="minorHAnsi" w:hAnsiTheme="minorHAnsi"/>
          <w:lang w:eastAsia="hr-HR"/>
        </w:rPr>
        <w:t xml:space="preserve"> </w:t>
      </w:r>
      <w:r w:rsidR="00782FD7">
        <w:rPr>
          <w:rFonts w:asciiTheme="minorHAnsi" w:hAnsiTheme="minorHAnsi"/>
          <w:lang w:eastAsia="hr-HR"/>
        </w:rPr>
        <w:t xml:space="preserve">g. </w:t>
      </w:r>
      <w:r w:rsidR="000452A5" w:rsidRPr="00D713CD">
        <w:rPr>
          <w:rFonts w:asciiTheme="minorHAnsi" w:hAnsiTheme="minorHAnsi"/>
          <w:lang w:eastAsia="hr-HR"/>
        </w:rPr>
        <w:t>Filip Pintarić</w:t>
      </w:r>
      <w:r w:rsidR="009C2EF3" w:rsidRPr="00D713CD">
        <w:rPr>
          <w:rFonts w:asciiTheme="minorHAnsi" w:hAnsiTheme="minorHAnsi"/>
          <w:lang w:eastAsia="hr-HR"/>
        </w:rPr>
        <w:t xml:space="preserve"> uručio </w:t>
      </w:r>
      <w:r w:rsidR="000452A5" w:rsidRPr="00D713CD">
        <w:rPr>
          <w:rFonts w:asciiTheme="minorHAnsi" w:hAnsiTheme="minorHAnsi"/>
          <w:lang w:eastAsia="hr-HR"/>
        </w:rPr>
        <w:t>i skulpturu</w:t>
      </w:r>
      <w:r w:rsidRPr="00D713CD">
        <w:rPr>
          <w:rFonts w:asciiTheme="minorHAnsi" w:hAnsiTheme="minorHAnsi"/>
          <w:lang w:eastAsia="hr-HR"/>
        </w:rPr>
        <w:t xml:space="preserve"> koju su osmislili i izradili učenici </w:t>
      </w:r>
      <w:r w:rsidR="009C2EF3" w:rsidRPr="00D713CD">
        <w:rPr>
          <w:rFonts w:asciiTheme="minorHAnsi" w:hAnsiTheme="minorHAnsi"/>
          <w:lang w:eastAsia="hr-HR"/>
        </w:rPr>
        <w:t>škole.</w:t>
      </w:r>
    </w:p>
    <w:p w:rsidR="009C2EF3" w:rsidRDefault="009C2EF3" w:rsidP="00BF0C2F">
      <w:pPr>
        <w:ind w:right="140"/>
        <w:jc w:val="both"/>
        <w:rPr>
          <w:rFonts w:ascii="Calibri" w:hAnsi="Calibri"/>
          <w:szCs w:val="22"/>
        </w:rPr>
      </w:pPr>
    </w:p>
    <w:p w:rsidR="000D6159" w:rsidRDefault="00EC624B" w:rsidP="008977D1">
      <w:pPr>
        <w:pStyle w:val="PlainText"/>
        <w:jc w:val="both"/>
        <w:rPr>
          <w:rFonts w:ascii="Calibri" w:hAnsi="Calibri"/>
          <w:sz w:val="22"/>
        </w:rPr>
      </w:pPr>
      <w:r w:rsidRPr="008977D1">
        <w:rPr>
          <w:rFonts w:asciiTheme="minorHAnsi" w:eastAsia="Times New Roman" w:hAnsiTheme="minorHAnsi" w:cs="Times New Roman"/>
          <w:sz w:val="22"/>
          <w:szCs w:val="24"/>
          <w:lang w:eastAsia="hr-HR"/>
        </w:rPr>
        <w:t xml:space="preserve">Vlatko </w:t>
      </w:r>
      <w:proofErr w:type="spellStart"/>
      <w:r w:rsidRPr="008977D1">
        <w:rPr>
          <w:rFonts w:asciiTheme="minorHAnsi" w:eastAsia="Times New Roman" w:hAnsiTheme="minorHAnsi" w:cs="Times New Roman"/>
          <w:sz w:val="22"/>
          <w:szCs w:val="24"/>
          <w:lang w:eastAsia="hr-HR"/>
        </w:rPr>
        <w:t>Ignatoski</w:t>
      </w:r>
      <w:proofErr w:type="spellEnd"/>
      <w:r w:rsidRPr="008977D1">
        <w:rPr>
          <w:rFonts w:asciiTheme="minorHAnsi" w:eastAsia="Times New Roman" w:hAnsiTheme="minorHAnsi" w:cs="Times New Roman"/>
          <w:sz w:val="22"/>
          <w:szCs w:val="24"/>
          <w:lang w:eastAsia="hr-HR"/>
        </w:rPr>
        <w:t>, predsjednik Udruge Obala naših unuka</w:t>
      </w:r>
      <w:r w:rsidR="00967979">
        <w:rPr>
          <w:rFonts w:asciiTheme="minorHAnsi" w:eastAsia="Times New Roman" w:hAnsiTheme="minorHAnsi" w:cs="Times New Roman"/>
          <w:sz w:val="22"/>
          <w:szCs w:val="24"/>
          <w:lang w:eastAsia="hr-HR"/>
        </w:rPr>
        <w:t>,</w:t>
      </w:r>
      <w:r w:rsidRPr="008977D1">
        <w:rPr>
          <w:rFonts w:asciiTheme="minorHAnsi" w:eastAsia="Times New Roman" w:hAnsiTheme="minorHAnsi" w:cs="Times New Roman"/>
          <w:sz w:val="22"/>
          <w:szCs w:val="24"/>
          <w:lang w:eastAsia="hr-HR"/>
        </w:rPr>
        <w:t xml:space="preserve"> zahvalio</w:t>
      </w:r>
      <w:r w:rsidR="00BF0C2F" w:rsidRPr="008977D1">
        <w:rPr>
          <w:rFonts w:asciiTheme="minorHAnsi" w:eastAsia="Times New Roman" w:hAnsiTheme="minorHAnsi" w:cs="Times New Roman"/>
          <w:sz w:val="22"/>
          <w:szCs w:val="24"/>
          <w:lang w:eastAsia="hr-HR"/>
        </w:rPr>
        <w:t xml:space="preserve"> je Ini što je prepoznala i podržala projekt: </w:t>
      </w:r>
      <w:r w:rsidR="00967979">
        <w:rPr>
          <w:rFonts w:asciiTheme="minorHAnsi" w:eastAsia="Times New Roman" w:hAnsiTheme="minorHAnsi" w:cs="Times New Roman"/>
          <w:sz w:val="22"/>
          <w:szCs w:val="24"/>
          <w:lang w:eastAsia="hr-HR"/>
        </w:rPr>
        <w:t>„</w:t>
      </w:r>
      <w:r w:rsidR="000D6159" w:rsidRPr="008977D1">
        <w:rPr>
          <w:rFonts w:asciiTheme="minorHAnsi" w:eastAsia="Times New Roman" w:hAnsiTheme="minorHAnsi" w:cs="Times New Roman"/>
          <w:sz w:val="22"/>
          <w:szCs w:val="24"/>
          <w:lang w:eastAsia="hr-HR"/>
        </w:rPr>
        <w:t>Projekt Plava vreća je usko usmjeren na jedan problem – naplavno smeće na obali Jadrana, ali široko povezuje mnoge sudionike. U njega su uključeni nautičari, učenici, korporativni volonteri, ljudi dobre volje i ekološki osviješteni. Za uspjeh ta</w:t>
      </w:r>
      <w:r w:rsidR="000D6159" w:rsidRPr="00C229CB">
        <w:rPr>
          <w:rFonts w:asciiTheme="minorHAnsi" w:eastAsia="Times New Roman" w:hAnsiTheme="minorHAnsi" w:cs="Times New Roman"/>
          <w:sz w:val="22"/>
          <w:szCs w:val="24"/>
          <w:lang w:eastAsia="hr-HR"/>
        </w:rPr>
        <w:t>kvog projekta nužni su sponzori, a k</w:t>
      </w:r>
      <w:r w:rsidR="000D6159" w:rsidRPr="008977D1">
        <w:rPr>
          <w:rFonts w:asciiTheme="minorHAnsi" w:eastAsia="Times New Roman" w:hAnsiTheme="minorHAnsi" w:cs="Times New Roman"/>
          <w:sz w:val="22"/>
          <w:szCs w:val="24"/>
          <w:lang w:eastAsia="hr-HR"/>
        </w:rPr>
        <w:t>roz Zeleni pojas dobil</w:t>
      </w:r>
      <w:r w:rsidR="000D6159" w:rsidRPr="00C229CB">
        <w:rPr>
          <w:rFonts w:asciiTheme="minorHAnsi" w:eastAsia="Times New Roman" w:hAnsiTheme="minorHAnsi" w:cs="Times New Roman"/>
          <w:sz w:val="22"/>
          <w:szCs w:val="24"/>
          <w:lang w:eastAsia="hr-HR"/>
        </w:rPr>
        <w:t>i smo snažan poticaj. Z</w:t>
      </w:r>
      <w:r w:rsidR="000D6159" w:rsidRPr="008977D1">
        <w:rPr>
          <w:rFonts w:asciiTheme="minorHAnsi" w:eastAsia="Times New Roman" w:hAnsiTheme="minorHAnsi" w:cs="Times New Roman"/>
          <w:sz w:val="22"/>
          <w:szCs w:val="24"/>
          <w:lang w:eastAsia="hr-HR"/>
        </w:rPr>
        <w:t>ahvaljujući Ininoj maloprodajnoj mreži za Plavu vreću se čulo cijelim Jadranom.</w:t>
      </w:r>
      <w:r w:rsidR="000D6159">
        <w:rPr>
          <w:rFonts w:asciiTheme="minorHAnsi" w:eastAsia="Times New Roman" w:hAnsiTheme="minorHAnsi" w:cs="Times New Roman"/>
          <w:sz w:val="22"/>
          <w:szCs w:val="24"/>
          <w:lang w:eastAsia="hr-HR"/>
        </w:rPr>
        <w:t>“</w:t>
      </w:r>
    </w:p>
    <w:p w:rsidR="00BF0C2F" w:rsidRDefault="000D6159" w:rsidP="000D6159">
      <w:pPr>
        <w:ind w:right="140"/>
        <w:jc w:val="both"/>
        <w:rPr>
          <w:rFonts w:ascii="Calibri" w:hAnsi="Calibri"/>
          <w:szCs w:val="22"/>
        </w:rPr>
      </w:pPr>
      <w:r w:rsidRPr="008D3981" w:rsidDel="000D6159">
        <w:rPr>
          <w:rFonts w:ascii="Calibri" w:hAnsi="Calibri"/>
          <w:szCs w:val="22"/>
        </w:rPr>
        <w:t xml:space="preserve"> </w:t>
      </w:r>
    </w:p>
    <w:p w:rsidR="00BF0C2F" w:rsidRDefault="00BF0C2F" w:rsidP="00BF0C2F">
      <w:pPr>
        <w:tabs>
          <w:tab w:val="left" w:pos="2808"/>
        </w:tabs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>Odluku o odabiru projek</w:t>
      </w:r>
      <w:r w:rsidR="00782FD7">
        <w:rPr>
          <w:rFonts w:asciiTheme="minorHAnsi" w:hAnsiTheme="minorHAnsi"/>
          <w:lang w:eastAsia="hr-HR"/>
        </w:rPr>
        <w:t>ata u sklopu Zelenog pojasa 2019</w:t>
      </w:r>
      <w:r>
        <w:rPr>
          <w:rFonts w:asciiTheme="minorHAnsi" w:hAnsiTheme="minorHAnsi"/>
          <w:lang w:eastAsia="hr-HR"/>
        </w:rPr>
        <w:t xml:space="preserve">. donijet će stručna komisija </w:t>
      </w:r>
      <w:r w:rsidR="00782FD7">
        <w:rPr>
          <w:rFonts w:asciiTheme="minorHAnsi" w:hAnsiTheme="minorHAnsi"/>
          <w:lang w:eastAsia="hr-HR"/>
        </w:rPr>
        <w:t>koju čine</w:t>
      </w:r>
      <w:r w:rsidR="00C42D1E">
        <w:rPr>
          <w:rFonts w:asciiTheme="minorHAnsi" w:hAnsiTheme="minorHAnsi"/>
          <w:lang w:eastAsia="hr-HR"/>
        </w:rPr>
        <w:t xml:space="preserve"> gđa</w:t>
      </w:r>
      <w:r>
        <w:rPr>
          <w:rFonts w:asciiTheme="minorHAnsi" w:hAnsiTheme="minorHAnsi"/>
          <w:lang w:eastAsia="hr-HR"/>
        </w:rPr>
        <w:t xml:space="preserve"> Mirjana Matešić, ravnateljica Hrvatskog poslo</w:t>
      </w:r>
      <w:r w:rsidR="00C42D1E">
        <w:rPr>
          <w:rFonts w:asciiTheme="minorHAnsi" w:hAnsiTheme="minorHAnsi"/>
          <w:lang w:eastAsia="hr-HR"/>
        </w:rPr>
        <w:t>vnog savjeta za održivi razvoj, g. Stipe Božić iz Hrvatske gorske službe</w:t>
      </w:r>
      <w:r>
        <w:rPr>
          <w:rFonts w:asciiTheme="minorHAnsi" w:hAnsiTheme="minorHAnsi"/>
          <w:lang w:eastAsia="hr-HR"/>
        </w:rPr>
        <w:t xml:space="preserve"> spašavanja</w:t>
      </w:r>
      <w:r w:rsidRPr="00967979">
        <w:rPr>
          <w:rFonts w:asciiTheme="minorHAnsi" w:hAnsiTheme="minorHAnsi"/>
          <w:lang w:eastAsia="hr-HR"/>
        </w:rPr>
        <w:t xml:space="preserve">, </w:t>
      </w:r>
      <w:r w:rsidR="005938CF" w:rsidRPr="00967979">
        <w:rPr>
          <w:rFonts w:asciiTheme="minorHAnsi" w:hAnsiTheme="minorHAnsi"/>
          <w:lang w:eastAsia="hr-HR"/>
        </w:rPr>
        <w:t>prof.</w:t>
      </w:r>
      <w:r w:rsidR="00967979">
        <w:rPr>
          <w:rFonts w:asciiTheme="minorHAnsi" w:hAnsiTheme="minorHAnsi"/>
          <w:lang w:eastAsia="hr-HR"/>
        </w:rPr>
        <w:t xml:space="preserve"> </w:t>
      </w:r>
      <w:r w:rsidR="005938CF" w:rsidRPr="00967979">
        <w:rPr>
          <w:rFonts w:asciiTheme="minorHAnsi" w:hAnsiTheme="minorHAnsi"/>
          <w:lang w:eastAsia="hr-HR"/>
        </w:rPr>
        <w:t>dr.</w:t>
      </w:r>
      <w:r w:rsidR="00967979">
        <w:rPr>
          <w:rFonts w:asciiTheme="minorHAnsi" w:hAnsiTheme="minorHAnsi"/>
          <w:lang w:eastAsia="hr-HR"/>
        </w:rPr>
        <w:t xml:space="preserve"> </w:t>
      </w:r>
      <w:proofErr w:type="spellStart"/>
      <w:r w:rsidR="005938CF" w:rsidRPr="00967979">
        <w:rPr>
          <w:rFonts w:asciiTheme="minorHAnsi" w:hAnsiTheme="minorHAnsi"/>
          <w:lang w:eastAsia="hr-HR"/>
        </w:rPr>
        <w:t>sc</w:t>
      </w:r>
      <w:proofErr w:type="spellEnd"/>
      <w:r w:rsidR="005938CF" w:rsidRPr="00967979">
        <w:rPr>
          <w:rFonts w:asciiTheme="minorHAnsi" w:hAnsiTheme="minorHAnsi"/>
          <w:lang w:eastAsia="hr-HR"/>
        </w:rPr>
        <w:t xml:space="preserve">. Maja </w:t>
      </w:r>
      <w:proofErr w:type="spellStart"/>
      <w:r w:rsidR="005938CF" w:rsidRPr="00967979">
        <w:rPr>
          <w:rFonts w:asciiTheme="minorHAnsi" w:hAnsiTheme="minorHAnsi"/>
          <w:lang w:eastAsia="hr-HR"/>
        </w:rPr>
        <w:t>Fredotović</w:t>
      </w:r>
      <w:proofErr w:type="spellEnd"/>
      <w:r w:rsidR="00967979" w:rsidRPr="008977D1">
        <w:rPr>
          <w:rFonts w:asciiTheme="minorHAnsi" w:hAnsiTheme="minorHAnsi"/>
          <w:lang w:eastAsia="hr-HR"/>
        </w:rPr>
        <w:t>,</w:t>
      </w:r>
      <w:r w:rsidR="005938CF" w:rsidRPr="00967979">
        <w:rPr>
          <w:rFonts w:asciiTheme="minorHAnsi" w:hAnsiTheme="minorHAnsi"/>
          <w:lang w:eastAsia="hr-HR"/>
        </w:rPr>
        <w:t xml:space="preserve"> dekanica Ekonomskog fakulteta u Splitu, </w:t>
      </w:r>
      <w:r w:rsidR="005938CF" w:rsidRPr="008977D1">
        <w:rPr>
          <w:rFonts w:asciiTheme="minorHAnsi" w:hAnsiTheme="minorHAnsi"/>
          <w:lang w:eastAsia="hr-HR"/>
        </w:rPr>
        <w:t xml:space="preserve">prof. dr. </w:t>
      </w:r>
      <w:proofErr w:type="spellStart"/>
      <w:r w:rsidR="005938CF" w:rsidRPr="008977D1">
        <w:rPr>
          <w:rFonts w:asciiTheme="minorHAnsi" w:hAnsiTheme="minorHAnsi"/>
          <w:lang w:eastAsia="hr-HR"/>
        </w:rPr>
        <w:lastRenderedPageBreak/>
        <w:t>sc</w:t>
      </w:r>
      <w:proofErr w:type="spellEnd"/>
      <w:r w:rsidR="005938CF" w:rsidRPr="008977D1">
        <w:rPr>
          <w:rFonts w:asciiTheme="minorHAnsi" w:hAnsiTheme="minorHAnsi"/>
          <w:lang w:eastAsia="hr-HR"/>
        </w:rPr>
        <w:t>. Vlasta Ćosović</w:t>
      </w:r>
      <w:r w:rsidR="00967979">
        <w:rPr>
          <w:rFonts w:asciiTheme="minorHAnsi" w:hAnsiTheme="minorHAnsi"/>
          <w:lang w:eastAsia="hr-HR"/>
        </w:rPr>
        <w:t>,</w:t>
      </w:r>
      <w:r w:rsidR="005938CF" w:rsidRPr="008977D1">
        <w:rPr>
          <w:rFonts w:asciiTheme="minorHAnsi" w:hAnsiTheme="minorHAnsi"/>
          <w:lang w:eastAsia="hr-HR"/>
        </w:rPr>
        <w:t xml:space="preserve"> redovita profesorica na Prirodoslovno matematičkom fakultetu u Zagrebu</w:t>
      </w:r>
      <w:r w:rsidR="005938CF" w:rsidRPr="008977D1">
        <w:rPr>
          <w:rFonts w:cs="Helvetica"/>
        </w:rPr>
        <w:t xml:space="preserve">, </w:t>
      </w:r>
      <w:r w:rsidR="00731EEB" w:rsidRPr="00967979">
        <w:rPr>
          <w:rFonts w:asciiTheme="minorHAnsi" w:hAnsiTheme="minorHAnsi"/>
          <w:lang w:eastAsia="hr-HR"/>
        </w:rPr>
        <w:t>hrvatska</w:t>
      </w:r>
      <w:r w:rsidR="00C42D1E" w:rsidRPr="00967979">
        <w:rPr>
          <w:rFonts w:asciiTheme="minorHAnsi" w:hAnsiTheme="minorHAnsi"/>
          <w:lang w:eastAsia="hr-HR"/>
        </w:rPr>
        <w:t xml:space="preserve"> </w:t>
      </w:r>
      <w:r w:rsidR="00C42D1E" w:rsidRPr="00731EEB">
        <w:rPr>
          <w:rFonts w:asciiTheme="minorHAnsi" w:hAnsiTheme="minorHAnsi"/>
          <w:lang w:eastAsia="hr-HR"/>
        </w:rPr>
        <w:t xml:space="preserve">daljinska plivačica </w:t>
      </w:r>
      <w:r w:rsidR="00731EEB" w:rsidRPr="00C42D1E">
        <w:rPr>
          <w:rFonts w:asciiTheme="minorHAnsi" w:hAnsiTheme="minorHAnsi"/>
          <w:lang w:eastAsia="hr-HR"/>
        </w:rPr>
        <w:t xml:space="preserve">Dina </w:t>
      </w:r>
      <w:proofErr w:type="spellStart"/>
      <w:r w:rsidR="00731EEB" w:rsidRPr="00C42D1E">
        <w:rPr>
          <w:rFonts w:asciiTheme="minorHAnsi" w:hAnsiTheme="minorHAnsi"/>
          <w:lang w:eastAsia="hr-HR"/>
        </w:rPr>
        <w:t>Levačić</w:t>
      </w:r>
      <w:proofErr w:type="spellEnd"/>
      <w:r w:rsidR="00731EEB" w:rsidRPr="008D3981">
        <w:rPr>
          <w:rFonts w:asciiTheme="minorHAnsi" w:hAnsiTheme="minorHAnsi"/>
          <w:lang w:eastAsia="hr-HR"/>
        </w:rPr>
        <w:t xml:space="preserve">, </w:t>
      </w:r>
      <w:r w:rsidR="00C42D1E" w:rsidRPr="008D3981">
        <w:rPr>
          <w:rFonts w:asciiTheme="minorHAnsi" w:hAnsiTheme="minorHAnsi"/>
          <w:lang w:eastAsia="hr-HR"/>
        </w:rPr>
        <w:t xml:space="preserve">gđa </w:t>
      </w:r>
      <w:r w:rsidRPr="008D3981">
        <w:rPr>
          <w:rFonts w:asciiTheme="minorHAnsi" w:hAnsiTheme="minorHAnsi"/>
          <w:lang w:eastAsia="hr-HR"/>
        </w:rPr>
        <w:t>Marina Burazer, direktorica Korporativnih komunikacija u Ini</w:t>
      </w:r>
      <w:r w:rsidR="00967979">
        <w:rPr>
          <w:rFonts w:asciiTheme="minorHAnsi" w:hAnsiTheme="minorHAnsi"/>
          <w:lang w:eastAsia="hr-HR"/>
        </w:rPr>
        <w:t>,</w:t>
      </w:r>
      <w:r w:rsidRPr="008D3981">
        <w:rPr>
          <w:rFonts w:asciiTheme="minorHAnsi" w:hAnsiTheme="minorHAnsi"/>
          <w:lang w:eastAsia="hr-HR"/>
        </w:rPr>
        <w:t xml:space="preserve"> i Angelika Brnada, direktorica Održivog razvoja i zaštite zdravlja, sigurnosti i okoliša u Ini</w:t>
      </w:r>
      <w:r w:rsidR="00CF4176" w:rsidRPr="008D3981">
        <w:rPr>
          <w:rFonts w:asciiTheme="minorHAnsi" w:hAnsiTheme="minorHAnsi"/>
          <w:lang w:eastAsia="hr-HR"/>
        </w:rPr>
        <w:t>.</w:t>
      </w:r>
      <w:r w:rsidR="00CF4176">
        <w:rPr>
          <w:rFonts w:asciiTheme="minorHAnsi" w:hAnsiTheme="minorHAnsi"/>
          <w:lang w:eastAsia="hr-HR"/>
        </w:rPr>
        <w:t xml:space="preserve"> Kao i prošlih godina</w:t>
      </w:r>
      <w:r w:rsidRPr="00C37EEF">
        <w:rPr>
          <w:rFonts w:asciiTheme="minorHAnsi" w:hAnsiTheme="minorHAnsi"/>
          <w:lang w:eastAsia="hr-HR"/>
        </w:rPr>
        <w:t>,</w:t>
      </w:r>
      <w:r w:rsidR="00CF4176">
        <w:rPr>
          <w:rFonts w:asciiTheme="minorHAnsi" w:hAnsiTheme="minorHAnsi"/>
          <w:lang w:eastAsia="hr-HR"/>
        </w:rPr>
        <w:t xml:space="preserve"> jedan projekt će</w:t>
      </w:r>
      <w:r w:rsidRPr="00C37EEF">
        <w:rPr>
          <w:rFonts w:asciiTheme="minorHAnsi" w:hAnsiTheme="minorHAnsi"/>
          <w:lang w:eastAsia="hr-HR"/>
        </w:rPr>
        <w:t xml:space="preserve"> odabrati Inini fanovi na Facebooku.</w:t>
      </w:r>
      <w:r>
        <w:rPr>
          <w:rFonts w:asciiTheme="minorHAnsi" w:hAnsiTheme="minorHAnsi"/>
          <w:lang w:eastAsia="hr-HR"/>
        </w:rPr>
        <w:t xml:space="preserve"> </w:t>
      </w:r>
    </w:p>
    <w:p w:rsidR="00BF0C2F" w:rsidRDefault="00BF0C2F" w:rsidP="00BF0C2F">
      <w:pPr>
        <w:tabs>
          <w:tab w:val="left" w:pos="2808"/>
        </w:tabs>
        <w:jc w:val="both"/>
        <w:rPr>
          <w:rFonts w:asciiTheme="minorHAnsi" w:hAnsiTheme="minorHAnsi"/>
          <w:lang w:eastAsia="hr-HR"/>
        </w:rPr>
      </w:pPr>
    </w:p>
    <w:p w:rsidR="00201C78" w:rsidRDefault="00186C5D" w:rsidP="008977D1">
      <w:pPr>
        <w:jc w:val="both"/>
        <w:rPr>
          <w:rFonts w:ascii="Times New Roman" w:hAnsi="Times New Roman"/>
          <w:sz w:val="24"/>
          <w:lang w:eastAsia="hr-HR"/>
        </w:rPr>
      </w:pPr>
      <w:r w:rsidRPr="00186C5D">
        <w:rPr>
          <w:rFonts w:asciiTheme="minorHAnsi" w:hAnsiTheme="minorHAnsi"/>
          <w:lang w:eastAsia="hr-HR"/>
        </w:rPr>
        <w:t xml:space="preserve">Dina </w:t>
      </w:r>
      <w:proofErr w:type="spellStart"/>
      <w:r w:rsidRPr="00186C5D">
        <w:rPr>
          <w:rFonts w:asciiTheme="minorHAnsi" w:hAnsiTheme="minorHAnsi"/>
          <w:lang w:eastAsia="hr-HR"/>
        </w:rPr>
        <w:t>Levačić</w:t>
      </w:r>
      <w:proofErr w:type="spellEnd"/>
      <w:r w:rsidRPr="00186C5D">
        <w:rPr>
          <w:rFonts w:asciiTheme="minorHAnsi" w:hAnsiTheme="minorHAnsi"/>
          <w:lang w:eastAsia="hr-HR"/>
        </w:rPr>
        <w:t>, hrvatska daljinska plivačica</w:t>
      </w:r>
      <w:r w:rsidR="00967979">
        <w:rPr>
          <w:rFonts w:asciiTheme="minorHAnsi" w:hAnsiTheme="minorHAnsi"/>
          <w:lang w:eastAsia="hr-HR"/>
        </w:rPr>
        <w:t>,</w:t>
      </w:r>
      <w:r w:rsidR="004B37AC">
        <w:rPr>
          <w:rFonts w:asciiTheme="minorHAnsi" w:hAnsiTheme="minorHAnsi"/>
          <w:lang w:eastAsia="hr-HR"/>
        </w:rPr>
        <w:t xml:space="preserve"> nova je </w:t>
      </w:r>
      <w:r w:rsidRPr="00186C5D">
        <w:rPr>
          <w:rFonts w:asciiTheme="minorHAnsi" w:hAnsiTheme="minorHAnsi"/>
          <w:lang w:eastAsia="hr-HR"/>
        </w:rPr>
        <w:t>članica stručnog povjerenstva Zelenog pojasa 2019.</w:t>
      </w:r>
      <w:r w:rsidR="00BF0C2F">
        <w:rPr>
          <w:rFonts w:asciiTheme="minorHAnsi" w:hAnsiTheme="minorHAnsi"/>
          <w:lang w:eastAsia="hr-HR"/>
        </w:rPr>
        <w:t xml:space="preserve">: </w:t>
      </w:r>
      <w:r w:rsidR="00967979">
        <w:rPr>
          <w:rFonts w:asciiTheme="minorHAnsi" w:hAnsiTheme="minorHAnsi"/>
          <w:lang w:eastAsia="hr-HR"/>
        </w:rPr>
        <w:t>„</w:t>
      </w:r>
      <w:r w:rsidR="00201C78">
        <w:rPr>
          <w:rFonts w:asciiTheme="minorHAnsi" w:hAnsiTheme="minorHAnsi"/>
          <w:lang w:eastAsia="hr-HR"/>
        </w:rPr>
        <w:t xml:space="preserve">S </w:t>
      </w:r>
      <w:r w:rsidR="00201C78" w:rsidRPr="00C229CB">
        <w:rPr>
          <w:rFonts w:asciiTheme="minorHAnsi" w:hAnsiTheme="minorHAnsi"/>
          <w:lang w:eastAsia="hr-HR"/>
        </w:rPr>
        <w:t>o</w:t>
      </w:r>
      <w:r w:rsidR="00201C78" w:rsidRPr="008977D1">
        <w:rPr>
          <w:rFonts w:asciiTheme="minorHAnsi" w:hAnsiTheme="minorHAnsi"/>
          <w:lang w:eastAsia="hr-HR"/>
        </w:rPr>
        <w:t>bzirom</w:t>
      </w:r>
      <w:r w:rsidR="00201C78">
        <w:rPr>
          <w:rFonts w:asciiTheme="minorHAnsi" w:hAnsiTheme="minorHAnsi"/>
          <w:lang w:eastAsia="hr-HR"/>
        </w:rPr>
        <w:t xml:space="preserve"> na to</w:t>
      </w:r>
      <w:r w:rsidR="00201C78" w:rsidRPr="008977D1">
        <w:rPr>
          <w:rFonts w:asciiTheme="minorHAnsi" w:hAnsiTheme="minorHAnsi"/>
          <w:lang w:eastAsia="hr-HR"/>
        </w:rPr>
        <w:t xml:space="preserve"> da provodim </w:t>
      </w:r>
      <w:r w:rsidR="00201C78">
        <w:rPr>
          <w:rFonts w:asciiTheme="minorHAnsi" w:hAnsiTheme="minorHAnsi"/>
          <w:lang w:eastAsia="hr-HR"/>
        </w:rPr>
        <w:t>puno</w:t>
      </w:r>
      <w:r w:rsidR="00201C78" w:rsidRPr="008977D1">
        <w:rPr>
          <w:rFonts w:asciiTheme="minorHAnsi" w:hAnsiTheme="minorHAnsi"/>
          <w:lang w:eastAsia="hr-HR"/>
        </w:rPr>
        <w:t xml:space="preserve"> vremena u moru, nažalost često svjed</w:t>
      </w:r>
      <w:r w:rsidR="00201C78" w:rsidRPr="00C229CB">
        <w:rPr>
          <w:rFonts w:asciiTheme="minorHAnsi" w:hAnsiTheme="minorHAnsi"/>
          <w:lang w:eastAsia="hr-HR"/>
        </w:rPr>
        <w:t>očim i njegovom onečišćenju</w:t>
      </w:r>
      <w:r w:rsidR="00201C78" w:rsidRPr="008977D1">
        <w:rPr>
          <w:rFonts w:asciiTheme="minorHAnsi" w:hAnsiTheme="minorHAnsi"/>
          <w:lang w:eastAsia="hr-HR"/>
        </w:rPr>
        <w:t xml:space="preserve"> te mi je stoga zadovoljstvo</w:t>
      </w:r>
      <w:r w:rsidR="00201C78" w:rsidRPr="00C229CB">
        <w:rPr>
          <w:rFonts w:asciiTheme="minorHAnsi" w:hAnsiTheme="minorHAnsi"/>
          <w:lang w:eastAsia="hr-HR"/>
        </w:rPr>
        <w:t xml:space="preserve"> što ću </w:t>
      </w:r>
      <w:r w:rsidR="00201C78" w:rsidRPr="008977D1">
        <w:rPr>
          <w:rFonts w:asciiTheme="minorHAnsi" w:hAnsiTheme="minorHAnsi"/>
          <w:lang w:eastAsia="hr-HR"/>
        </w:rPr>
        <w:t>biti dio projekta koji potiče očuvanje mora, ali i ostatka prirode u Hrvatskoj.</w:t>
      </w:r>
      <w:r w:rsidR="00967979">
        <w:rPr>
          <w:rFonts w:asciiTheme="minorHAnsi" w:hAnsiTheme="minorHAnsi"/>
          <w:lang w:eastAsia="hr-HR"/>
        </w:rPr>
        <w:t>“</w:t>
      </w:r>
      <w:r w:rsidR="00201C78">
        <w:t> </w:t>
      </w:r>
    </w:p>
    <w:p w:rsidR="009B3349" w:rsidRPr="00C34A9A" w:rsidRDefault="00201C78" w:rsidP="009B334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8D3981" w:rsidDel="00201C78">
        <w:rPr>
          <w:rFonts w:ascii="Calibri" w:hAnsi="Calibri"/>
          <w:szCs w:val="22"/>
        </w:rPr>
        <w:t xml:space="preserve"> </w:t>
      </w:r>
      <w:r w:rsidR="00FA712C">
        <w:rPr>
          <w:rFonts w:asciiTheme="minorHAnsi" w:hAnsiTheme="minorHAnsi"/>
        </w:rPr>
        <w:br/>
      </w:r>
      <w:r w:rsidR="009B3349" w:rsidRPr="00C34A9A">
        <w:rPr>
          <w:rFonts w:asciiTheme="minorHAnsi" w:hAnsiTheme="minorHAnsi"/>
          <w:sz w:val="22"/>
        </w:rPr>
        <w:t>Inin program Zeleni pojas je kao primjer dobre prakse uvršten u </w:t>
      </w:r>
      <w:hyperlink r:id="rId13" w:tgtFrame="_blank" w:history="1">
        <w:r w:rsidR="009B3349" w:rsidRPr="00C34A9A">
          <w:rPr>
            <w:rFonts w:asciiTheme="minorHAnsi" w:hAnsiTheme="minorHAnsi"/>
            <w:sz w:val="22"/>
          </w:rPr>
          <w:t>Globalno izvješće o održivom razvoju</w:t>
        </w:r>
      </w:hyperlink>
      <w:r w:rsidR="009B3349" w:rsidRPr="00C34A9A">
        <w:rPr>
          <w:rFonts w:asciiTheme="minorHAnsi" w:hAnsiTheme="minorHAnsi"/>
          <w:sz w:val="22"/>
        </w:rPr>
        <w:t xml:space="preserve"> za 2018. godinu. On je prepoznat kao program koji direktno pridonosi očuvanju života na Zemlji</w:t>
      </w:r>
      <w:r w:rsidR="00967979" w:rsidRPr="00967979">
        <w:rPr>
          <w:rFonts w:asciiTheme="minorHAnsi" w:hAnsiTheme="minorHAnsi"/>
          <w:sz w:val="22"/>
        </w:rPr>
        <w:t>,</w:t>
      </w:r>
      <w:r w:rsidR="009B3349" w:rsidRPr="00967979">
        <w:rPr>
          <w:rFonts w:asciiTheme="minorHAnsi" w:hAnsiTheme="minorHAnsi"/>
          <w:sz w:val="22"/>
        </w:rPr>
        <w:t xml:space="preserve"> </w:t>
      </w:r>
      <w:r w:rsidR="005938CF" w:rsidRPr="00967979">
        <w:rPr>
          <w:rFonts w:asciiTheme="minorHAnsi" w:hAnsiTheme="minorHAnsi"/>
          <w:sz w:val="22"/>
        </w:rPr>
        <w:t>jednom od 17 Globaln</w:t>
      </w:r>
      <w:r w:rsidR="00967979">
        <w:rPr>
          <w:rFonts w:asciiTheme="minorHAnsi" w:hAnsiTheme="minorHAnsi"/>
          <w:sz w:val="22"/>
        </w:rPr>
        <w:t>ih</w:t>
      </w:r>
      <w:r w:rsidR="005938CF" w:rsidRPr="00967979">
        <w:rPr>
          <w:rFonts w:asciiTheme="minorHAnsi" w:hAnsiTheme="minorHAnsi"/>
          <w:sz w:val="22"/>
        </w:rPr>
        <w:t xml:space="preserve"> ciljev</w:t>
      </w:r>
      <w:r w:rsidR="00967979">
        <w:rPr>
          <w:rFonts w:asciiTheme="minorHAnsi" w:hAnsiTheme="minorHAnsi"/>
          <w:sz w:val="22"/>
        </w:rPr>
        <w:t>a</w:t>
      </w:r>
      <w:r w:rsidR="005938CF" w:rsidRPr="00967979">
        <w:rPr>
          <w:rFonts w:asciiTheme="minorHAnsi" w:hAnsiTheme="minorHAnsi"/>
          <w:sz w:val="22"/>
        </w:rPr>
        <w:t xml:space="preserve"> održivog razvoja </w:t>
      </w:r>
      <w:r w:rsidR="009B3349" w:rsidRPr="00967979">
        <w:rPr>
          <w:rFonts w:asciiTheme="minorHAnsi" w:hAnsiTheme="minorHAnsi"/>
          <w:sz w:val="22"/>
        </w:rPr>
        <w:t>Ujedinjeni</w:t>
      </w:r>
      <w:r w:rsidR="005938CF" w:rsidRPr="00967979">
        <w:rPr>
          <w:rFonts w:asciiTheme="minorHAnsi" w:hAnsiTheme="minorHAnsi"/>
          <w:sz w:val="22"/>
        </w:rPr>
        <w:t>h</w:t>
      </w:r>
      <w:r w:rsidR="009B3349" w:rsidRPr="00967979">
        <w:rPr>
          <w:rFonts w:asciiTheme="minorHAnsi" w:hAnsiTheme="minorHAnsi"/>
          <w:sz w:val="22"/>
        </w:rPr>
        <w:t xml:space="preserve"> narod</w:t>
      </w:r>
      <w:r w:rsidR="005938CF" w:rsidRPr="00967979">
        <w:rPr>
          <w:rFonts w:asciiTheme="minorHAnsi" w:hAnsiTheme="minorHAnsi"/>
          <w:sz w:val="22"/>
        </w:rPr>
        <w:t>a</w:t>
      </w:r>
      <w:r w:rsidR="009B3349" w:rsidRPr="00967979">
        <w:rPr>
          <w:rFonts w:asciiTheme="minorHAnsi" w:hAnsiTheme="minorHAnsi"/>
          <w:sz w:val="22"/>
        </w:rPr>
        <w:t xml:space="preserve">. </w:t>
      </w:r>
      <w:r w:rsidR="009B3349" w:rsidRPr="00C34A9A">
        <w:rPr>
          <w:rFonts w:asciiTheme="minorHAnsi" w:hAnsiTheme="minorHAnsi"/>
          <w:sz w:val="22"/>
        </w:rPr>
        <w:t xml:space="preserve">Zeleni pojas tako se našao u izabranom društvu 80-ak najuspješnijih svjetskih primjera održivog razvoja iz korporativnog svijeta te uz bok najvećih svjetskih kompanija poput Googlea. </w:t>
      </w:r>
    </w:p>
    <w:p w:rsidR="00C34A9A" w:rsidRDefault="00C34A9A" w:rsidP="00BF0C2F">
      <w:pPr>
        <w:tabs>
          <w:tab w:val="left" w:pos="2808"/>
        </w:tabs>
        <w:jc w:val="both"/>
        <w:rPr>
          <w:rFonts w:asciiTheme="minorHAnsi" w:hAnsiTheme="minorHAnsi"/>
          <w:lang w:eastAsia="hr-HR"/>
        </w:rPr>
      </w:pPr>
    </w:p>
    <w:p w:rsidR="00BF0C2F" w:rsidRDefault="00BF0C2F" w:rsidP="00BF0C2F">
      <w:pPr>
        <w:tabs>
          <w:tab w:val="left" w:pos="2808"/>
        </w:tabs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 xml:space="preserve">Svi detalji o uvjetima natječaja i potrebnoj dokumentaciji, kao i projektima odabranima na dosadašnjim izdanjima Zelenog pojasa, dostupni su na stranici </w:t>
      </w:r>
      <w:hyperlink r:id="rId14" w:history="1">
        <w:r>
          <w:rPr>
            <w:rStyle w:val="Hyperlink"/>
            <w:rFonts w:asciiTheme="minorHAnsi" w:hAnsiTheme="minorHAnsi"/>
            <w:lang w:eastAsia="hr-HR"/>
          </w:rPr>
          <w:t>www.ina.hr/zelenipojas</w:t>
        </w:r>
      </w:hyperlink>
      <w:r>
        <w:rPr>
          <w:rFonts w:asciiTheme="minorHAnsi" w:hAnsiTheme="minorHAnsi"/>
          <w:lang w:eastAsia="hr-HR"/>
        </w:rPr>
        <w:t xml:space="preserve"> putem koje se odvijaju i prijave.</w:t>
      </w:r>
    </w:p>
    <w:p w:rsidR="00BF0C2F" w:rsidRDefault="00BF0C2F" w:rsidP="00001A1D">
      <w:pPr>
        <w:tabs>
          <w:tab w:val="left" w:pos="3465"/>
        </w:tabs>
        <w:spacing w:line="276" w:lineRule="auto"/>
        <w:jc w:val="both"/>
        <w:rPr>
          <w:rFonts w:ascii="Calibri" w:eastAsiaTheme="minorHAnsi" w:hAnsi="Calibri" w:cs="Consolas"/>
          <w:b/>
          <w:bCs/>
          <w:color w:val="005A9C"/>
          <w:sz w:val="28"/>
          <w:szCs w:val="28"/>
          <w:lang w:eastAsia="hr-HR"/>
        </w:rPr>
      </w:pPr>
    </w:p>
    <w:p w:rsidR="00427C50" w:rsidRDefault="00427C50" w:rsidP="00427C50">
      <w:pPr>
        <w:rPr>
          <w:sz w:val="20"/>
          <w:szCs w:val="20"/>
        </w:rPr>
      </w:pPr>
    </w:p>
    <w:p w:rsidR="00427C50" w:rsidRPr="00005769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005769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427C50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F1501D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</w:t>
      </w:r>
      <w:r w:rsidRPr="00F46CD5">
        <w:rPr>
          <w:rFonts w:asciiTheme="minorHAnsi" w:eastAsia="Calibri" w:hAnsiTheme="minorHAnsi" w:cs="Arial"/>
          <w:sz w:val="20"/>
          <w:szCs w:val="20"/>
        </w:rPr>
        <w:t>Sisak, dok se regionalna maloprodajna mreža sastoji od 500 maloprodajnih mjesta u Hrvatskoj i u susjednim zemljama. INA Grupa je članica MOL Grupe.</w:t>
      </w: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427C50" w:rsidRPr="00E154FC" w:rsidRDefault="00427C50" w:rsidP="00427C50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5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427C50" w:rsidRDefault="00427C50" w:rsidP="00427C50">
      <w:pPr>
        <w:rPr>
          <w:sz w:val="20"/>
          <w:szCs w:val="20"/>
        </w:rPr>
      </w:pPr>
    </w:p>
    <w:p w:rsidR="00427C50" w:rsidRPr="00B656C3" w:rsidRDefault="00427C50" w:rsidP="00427C50">
      <w:pPr>
        <w:rPr>
          <w:sz w:val="20"/>
          <w:szCs w:val="20"/>
        </w:rPr>
      </w:pPr>
    </w:p>
    <w:sectPr w:rsidR="00427C50" w:rsidRPr="00B656C3" w:rsidSect="003B0A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A3" w:rsidRDefault="00B716A3" w:rsidP="00C11370">
      <w:r>
        <w:separator/>
      </w:r>
    </w:p>
  </w:endnote>
  <w:endnote w:type="continuationSeparator" w:id="0">
    <w:p w:rsidR="00B716A3" w:rsidRDefault="00B716A3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7606F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7606F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7606F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7606F" w:rsidRPr="002B598A" w:rsidRDefault="00F7606F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7606F" w:rsidRPr="002B598A" w:rsidRDefault="00F7606F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7606F" w:rsidRPr="002B598A" w:rsidRDefault="00F7606F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F7606F" w:rsidRPr="002B598A" w:rsidRDefault="00F7606F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F7606F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Innocenzo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XI n.71, 22100 COMO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1211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7606F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7606F" w:rsidRDefault="00F7606F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7606F" w:rsidRPr="002B598A" w:rsidRDefault="00F7606F" w:rsidP="008D7EBB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Fasimon,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Ákos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Székely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Pr="002B598A">
                  <w:rPr>
                    <w:sz w:val="11"/>
                    <w:szCs w:val="11"/>
                  </w:rPr>
                  <w:t xml:space="preserve">Ivan Krešić, Davor Mayer, </w:t>
                </w:r>
                <w:r w:rsidRPr="00464A02">
                  <w:rPr>
                    <w:sz w:val="11"/>
                    <w:szCs w:val="11"/>
                  </w:rPr>
                  <w:t xml:space="preserve">Zsolt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Pethő</w:t>
                </w:r>
                <w:proofErr w:type="spellEnd"/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: Damir </w:t>
                </w:r>
                <w:proofErr w:type="spellStart"/>
                <w:r w:rsidRPr="002B598A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7606F" w:rsidRPr="002B598A" w:rsidRDefault="00F7606F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7606F" w:rsidRDefault="00F7606F" w:rsidP="00F04886"/>
      </w:tc>
    </w:tr>
    <w:tr w:rsidR="00F7606F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7606F" w:rsidRPr="00CD53EE" w:rsidRDefault="00F7606F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7606F" w:rsidRDefault="00F7606F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F7606F" w:rsidRPr="00F7606F" w:rsidTr="00F7606F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F7606F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F7606F" w:rsidRPr="00F7606F" w:rsidRDefault="00F7606F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F7606F">
            <w:rPr>
              <w:rFonts w:cs="Arial"/>
              <w:i/>
              <w:vanish/>
              <w:sz w:val="11"/>
              <w:szCs w:val="11"/>
            </w:rPr>
            <w:t>copy no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8977D1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8977D1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F7606F" w:rsidRPr="00F7606F" w:rsidTr="00F7606F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F7606F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F7606F" w:rsidRPr="00F7606F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F7606F" w:rsidRPr="00F7606F" w:rsidRDefault="00F7606F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F7606F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8977D1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8977D1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F7606F" w:rsidRPr="00D2744E" w:rsidRDefault="00F7606F" w:rsidP="009131DA">
    <w:pPr>
      <w:rPr>
        <w:sz w:val="2"/>
        <w:szCs w:val="2"/>
      </w:rPr>
    </w:pPr>
  </w:p>
  <w:p w:rsidR="00F7606F" w:rsidRPr="00F7606F" w:rsidRDefault="00F7606F" w:rsidP="00F76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977D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977D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A3" w:rsidRDefault="00B716A3" w:rsidP="00C11370">
      <w:r>
        <w:separator/>
      </w:r>
    </w:p>
  </w:footnote>
  <w:footnote w:type="continuationSeparator" w:id="0">
    <w:p w:rsidR="00B716A3" w:rsidRDefault="00B716A3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F7606F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2" name="Picture 2" descr="C:\Users\zhenezi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enezi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0A84"/>
    <w:multiLevelType w:val="hybridMultilevel"/>
    <w:tmpl w:val="C6C4ECE2"/>
    <w:lvl w:ilvl="0" w:tplc="BFB04F6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643E"/>
    <w:multiLevelType w:val="hybridMultilevel"/>
    <w:tmpl w:val="F0DA64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95DAD"/>
    <w:multiLevelType w:val="hybridMultilevel"/>
    <w:tmpl w:val="EB4EB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A5F2E3D"/>
    <w:multiLevelType w:val="hybridMultilevel"/>
    <w:tmpl w:val="4AB69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6F"/>
    <w:rsid w:val="000019FC"/>
    <w:rsid w:val="00001A1D"/>
    <w:rsid w:val="0000534C"/>
    <w:rsid w:val="00012EC6"/>
    <w:rsid w:val="00015425"/>
    <w:rsid w:val="00017190"/>
    <w:rsid w:val="00026DD3"/>
    <w:rsid w:val="00044D71"/>
    <w:rsid w:val="000452A5"/>
    <w:rsid w:val="00047738"/>
    <w:rsid w:val="00055F64"/>
    <w:rsid w:val="00071D86"/>
    <w:rsid w:val="00077887"/>
    <w:rsid w:val="00091AFC"/>
    <w:rsid w:val="00091C7B"/>
    <w:rsid w:val="00092FD1"/>
    <w:rsid w:val="000A1F20"/>
    <w:rsid w:val="000B0200"/>
    <w:rsid w:val="000B2913"/>
    <w:rsid w:val="000B61E8"/>
    <w:rsid w:val="000C52D5"/>
    <w:rsid w:val="000D401A"/>
    <w:rsid w:val="000D6159"/>
    <w:rsid w:val="000E5E90"/>
    <w:rsid w:val="001049F4"/>
    <w:rsid w:val="00107C4D"/>
    <w:rsid w:val="0013694A"/>
    <w:rsid w:val="00136FFA"/>
    <w:rsid w:val="00141DDB"/>
    <w:rsid w:val="00144C0B"/>
    <w:rsid w:val="00157BE2"/>
    <w:rsid w:val="00173D79"/>
    <w:rsid w:val="00180B8B"/>
    <w:rsid w:val="001830C6"/>
    <w:rsid w:val="00183994"/>
    <w:rsid w:val="00186323"/>
    <w:rsid w:val="00186C5D"/>
    <w:rsid w:val="00191574"/>
    <w:rsid w:val="00193912"/>
    <w:rsid w:val="0019475C"/>
    <w:rsid w:val="00196CCB"/>
    <w:rsid w:val="001A4D58"/>
    <w:rsid w:val="001B26D4"/>
    <w:rsid w:val="001E7160"/>
    <w:rsid w:val="00201C78"/>
    <w:rsid w:val="00202B5C"/>
    <w:rsid w:val="00211556"/>
    <w:rsid w:val="002305A8"/>
    <w:rsid w:val="0024253B"/>
    <w:rsid w:val="00253A51"/>
    <w:rsid w:val="002620F6"/>
    <w:rsid w:val="00270D13"/>
    <w:rsid w:val="00285EED"/>
    <w:rsid w:val="00290378"/>
    <w:rsid w:val="00293D6F"/>
    <w:rsid w:val="002A23BD"/>
    <w:rsid w:val="002A2CF9"/>
    <w:rsid w:val="002A7200"/>
    <w:rsid w:val="002B040F"/>
    <w:rsid w:val="002B6027"/>
    <w:rsid w:val="002C08BB"/>
    <w:rsid w:val="002D5863"/>
    <w:rsid w:val="002D7556"/>
    <w:rsid w:val="002E4210"/>
    <w:rsid w:val="002E5910"/>
    <w:rsid w:val="002E6953"/>
    <w:rsid w:val="002F133D"/>
    <w:rsid w:val="0030324B"/>
    <w:rsid w:val="00304A2F"/>
    <w:rsid w:val="0031778E"/>
    <w:rsid w:val="00321001"/>
    <w:rsid w:val="0032162F"/>
    <w:rsid w:val="00332E2E"/>
    <w:rsid w:val="0033578D"/>
    <w:rsid w:val="00352F37"/>
    <w:rsid w:val="00353A6C"/>
    <w:rsid w:val="00354A7E"/>
    <w:rsid w:val="00356887"/>
    <w:rsid w:val="003666B4"/>
    <w:rsid w:val="00374622"/>
    <w:rsid w:val="00376716"/>
    <w:rsid w:val="00377250"/>
    <w:rsid w:val="00382E87"/>
    <w:rsid w:val="00387DB4"/>
    <w:rsid w:val="003A007A"/>
    <w:rsid w:val="003A59EB"/>
    <w:rsid w:val="003B0A1B"/>
    <w:rsid w:val="003B68EE"/>
    <w:rsid w:val="003C1D95"/>
    <w:rsid w:val="003D1ECA"/>
    <w:rsid w:val="003D4053"/>
    <w:rsid w:val="003E4C34"/>
    <w:rsid w:val="00405654"/>
    <w:rsid w:val="004108E3"/>
    <w:rsid w:val="0041156E"/>
    <w:rsid w:val="00423727"/>
    <w:rsid w:val="00427C50"/>
    <w:rsid w:val="004500FC"/>
    <w:rsid w:val="00452C3E"/>
    <w:rsid w:val="00455B37"/>
    <w:rsid w:val="00460F31"/>
    <w:rsid w:val="0046192F"/>
    <w:rsid w:val="00464898"/>
    <w:rsid w:val="00465703"/>
    <w:rsid w:val="004717BA"/>
    <w:rsid w:val="00473F7C"/>
    <w:rsid w:val="00476990"/>
    <w:rsid w:val="00480482"/>
    <w:rsid w:val="004B37AC"/>
    <w:rsid w:val="004B6427"/>
    <w:rsid w:val="004C2FB5"/>
    <w:rsid w:val="004C4514"/>
    <w:rsid w:val="004C47E8"/>
    <w:rsid w:val="004E29DD"/>
    <w:rsid w:val="004E341D"/>
    <w:rsid w:val="004F2BEA"/>
    <w:rsid w:val="00503862"/>
    <w:rsid w:val="0050393A"/>
    <w:rsid w:val="00520873"/>
    <w:rsid w:val="005271F8"/>
    <w:rsid w:val="005541E8"/>
    <w:rsid w:val="00555177"/>
    <w:rsid w:val="00555D1E"/>
    <w:rsid w:val="00564EEA"/>
    <w:rsid w:val="00584ADD"/>
    <w:rsid w:val="005938CF"/>
    <w:rsid w:val="005A4974"/>
    <w:rsid w:val="005B2F55"/>
    <w:rsid w:val="005C0B39"/>
    <w:rsid w:val="005D43FB"/>
    <w:rsid w:val="005E0F01"/>
    <w:rsid w:val="005E21CD"/>
    <w:rsid w:val="005E2581"/>
    <w:rsid w:val="005F47B8"/>
    <w:rsid w:val="005F7E1C"/>
    <w:rsid w:val="00601B4E"/>
    <w:rsid w:val="00607AF2"/>
    <w:rsid w:val="00611DEA"/>
    <w:rsid w:val="00616027"/>
    <w:rsid w:val="00620781"/>
    <w:rsid w:val="00626A82"/>
    <w:rsid w:val="00627F2E"/>
    <w:rsid w:val="006304FE"/>
    <w:rsid w:val="0063278E"/>
    <w:rsid w:val="00632E61"/>
    <w:rsid w:val="00644B4F"/>
    <w:rsid w:val="00665C5A"/>
    <w:rsid w:val="00677FC6"/>
    <w:rsid w:val="00690A9C"/>
    <w:rsid w:val="006A448D"/>
    <w:rsid w:val="006A614A"/>
    <w:rsid w:val="006B307D"/>
    <w:rsid w:val="006B56D8"/>
    <w:rsid w:val="006C0980"/>
    <w:rsid w:val="006C510C"/>
    <w:rsid w:val="006D2841"/>
    <w:rsid w:val="006D7DCD"/>
    <w:rsid w:val="006F110E"/>
    <w:rsid w:val="006F4D88"/>
    <w:rsid w:val="006F6820"/>
    <w:rsid w:val="0071422B"/>
    <w:rsid w:val="007168CB"/>
    <w:rsid w:val="00720CB2"/>
    <w:rsid w:val="007235C0"/>
    <w:rsid w:val="00723CC5"/>
    <w:rsid w:val="00731EEB"/>
    <w:rsid w:val="007335A3"/>
    <w:rsid w:val="00740804"/>
    <w:rsid w:val="0075703C"/>
    <w:rsid w:val="00757EF1"/>
    <w:rsid w:val="0076568C"/>
    <w:rsid w:val="00777BEB"/>
    <w:rsid w:val="00780806"/>
    <w:rsid w:val="0078091D"/>
    <w:rsid w:val="007812A6"/>
    <w:rsid w:val="00782FD7"/>
    <w:rsid w:val="0079099E"/>
    <w:rsid w:val="00792333"/>
    <w:rsid w:val="007A0EAE"/>
    <w:rsid w:val="007C62F4"/>
    <w:rsid w:val="007D128C"/>
    <w:rsid w:val="007D1E78"/>
    <w:rsid w:val="007D2924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1F71"/>
    <w:rsid w:val="008830E1"/>
    <w:rsid w:val="00887134"/>
    <w:rsid w:val="008977D1"/>
    <w:rsid w:val="008A1085"/>
    <w:rsid w:val="008A5A50"/>
    <w:rsid w:val="008A5B85"/>
    <w:rsid w:val="008A72A6"/>
    <w:rsid w:val="008B3E3E"/>
    <w:rsid w:val="008C03DE"/>
    <w:rsid w:val="008D3981"/>
    <w:rsid w:val="008E4909"/>
    <w:rsid w:val="008F4F4D"/>
    <w:rsid w:val="00900B34"/>
    <w:rsid w:val="00912E32"/>
    <w:rsid w:val="0091786C"/>
    <w:rsid w:val="00921DE1"/>
    <w:rsid w:val="00922812"/>
    <w:rsid w:val="00923CAE"/>
    <w:rsid w:val="00931AE9"/>
    <w:rsid w:val="00950644"/>
    <w:rsid w:val="0096259C"/>
    <w:rsid w:val="00962C7A"/>
    <w:rsid w:val="00963967"/>
    <w:rsid w:val="00965860"/>
    <w:rsid w:val="00967979"/>
    <w:rsid w:val="009720C7"/>
    <w:rsid w:val="00975B18"/>
    <w:rsid w:val="0097718B"/>
    <w:rsid w:val="009841C4"/>
    <w:rsid w:val="00995E87"/>
    <w:rsid w:val="009B2269"/>
    <w:rsid w:val="009B3349"/>
    <w:rsid w:val="009C2EF3"/>
    <w:rsid w:val="009C3F52"/>
    <w:rsid w:val="009D2E0E"/>
    <w:rsid w:val="009F6A50"/>
    <w:rsid w:val="009F7B49"/>
    <w:rsid w:val="00A044C5"/>
    <w:rsid w:val="00A04F71"/>
    <w:rsid w:val="00A1118A"/>
    <w:rsid w:val="00A16C6D"/>
    <w:rsid w:val="00A24260"/>
    <w:rsid w:val="00A43E01"/>
    <w:rsid w:val="00A44380"/>
    <w:rsid w:val="00A51414"/>
    <w:rsid w:val="00A5302A"/>
    <w:rsid w:val="00A54CCE"/>
    <w:rsid w:val="00A60119"/>
    <w:rsid w:val="00A67CC6"/>
    <w:rsid w:val="00AA6293"/>
    <w:rsid w:val="00AC06BC"/>
    <w:rsid w:val="00AD2AD0"/>
    <w:rsid w:val="00AD47C0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6A3"/>
    <w:rsid w:val="00B717A4"/>
    <w:rsid w:val="00B7619E"/>
    <w:rsid w:val="00B775FB"/>
    <w:rsid w:val="00B80EDB"/>
    <w:rsid w:val="00B83F0D"/>
    <w:rsid w:val="00B976E5"/>
    <w:rsid w:val="00BA0C47"/>
    <w:rsid w:val="00BB1614"/>
    <w:rsid w:val="00BB2B16"/>
    <w:rsid w:val="00BB7F7D"/>
    <w:rsid w:val="00BC2166"/>
    <w:rsid w:val="00BC6F19"/>
    <w:rsid w:val="00BC71C8"/>
    <w:rsid w:val="00BD15ED"/>
    <w:rsid w:val="00BD1C46"/>
    <w:rsid w:val="00BD6B46"/>
    <w:rsid w:val="00BD6DFE"/>
    <w:rsid w:val="00BF0C2F"/>
    <w:rsid w:val="00C02000"/>
    <w:rsid w:val="00C11370"/>
    <w:rsid w:val="00C16FA5"/>
    <w:rsid w:val="00C229CB"/>
    <w:rsid w:val="00C30CA7"/>
    <w:rsid w:val="00C349B9"/>
    <w:rsid w:val="00C34A9A"/>
    <w:rsid w:val="00C35028"/>
    <w:rsid w:val="00C369BE"/>
    <w:rsid w:val="00C3744E"/>
    <w:rsid w:val="00C42D1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C7F74"/>
    <w:rsid w:val="00CD2AC3"/>
    <w:rsid w:val="00CE3F06"/>
    <w:rsid w:val="00CE4C49"/>
    <w:rsid w:val="00CE6837"/>
    <w:rsid w:val="00CE75AE"/>
    <w:rsid w:val="00CF34B7"/>
    <w:rsid w:val="00CF4176"/>
    <w:rsid w:val="00CF6118"/>
    <w:rsid w:val="00D061CB"/>
    <w:rsid w:val="00D07A08"/>
    <w:rsid w:val="00D146C3"/>
    <w:rsid w:val="00D15AA6"/>
    <w:rsid w:val="00D31F2E"/>
    <w:rsid w:val="00D568CF"/>
    <w:rsid w:val="00D57133"/>
    <w:rsid w:val="00D57BB9"/>
    <w:rsid w:val="00D60F5D"/>
    <w:rsid w:val="00D713CD"/>
    <w:rsid w:val="00D77A76"/>
    <w:rsid w:val="00D80BCE"/>
    <w:rsid w:val="00D839F5"/>
    <w:rsid w:val="00D86777"/>
    <w:rsid w:val="00D96778"/>
    <w:rsid w:val="00D97BD2"/>
    <w:rsid w:val="00DA659C"/>
    <w:rsid w:val="00DB259E"/>
    <w:rsid w:val="00DD0333"/>
    <w:rsid w:val="00DD2EC5"/>
    <w:rsid w:val="00DD766D"/>
    <w:rsid w:val="00DE0B02"/>
    <w:rsid w:val="00DE2EFE"/>
    <w:rsid w:val="00DE783D"/>
    <w:rsid w:val="00DF5FD1"/>
    <w:rsid w:val="00E002E3"/>
    <w:rsid w:val="00E01046"/>
    <w:rsid w:val="00E07700"/>
    <w:rsid w:val="00E101B4"/>
    <w:rsid w:val="00E15641"/>
    <w:rsid w:val="00E16398"/>
    <w:rsid w:val="00E2478A"/>
    <w:rsid w:val="00E2486F"/>
    <w:rsid w:val="00E27CFD"/>
    <w:rsid w:val="00E422B9"/>
    <w:rsid w:val="00E46755"/>
    <w:rsid w:val="00E53AF0"/>
    <w:rsid w:val="00E547BD"/>
    <w:rsid w:val="00E65AAE"/>
    <w:rsid w:val="00E65F1B"/>
    <w:rsid w:val="00E66181"/>
    <w:rsid w:val="00E7005C"/>
    <w:rsid w:val="00E74678"/>
    <w:rsid w:val="00E81198"/>
    <w:rsid w:val="00E8227D"/>
    <w:rsid w:val="00E82779"/>
    <w:rsid w:val="00E91C28"/>
    <w:rsid w:val="00E91EEE"/>
    <w:rsid w:val="00E93A50"/>
    <w:rsid w:val="00EA3F8B"/>
    <w:rsid w:val="00EB0CE7"/>
    <w:rsid w:val="00EB6DB5"/>
    <w:rsid w:val="00EC11DC"/>
    <w:rsid w:val="00EC624B"/>
    <w:rsid w:val="00EE2482"/>
    <w:rsid w:val="00EF2246"/>
    <w:rsid w:val="00EF37DF"/>
    <w:rsid w:val="00F14874"/>
    <w:rsid w:val="00F27D43"/>
    <w:rsid w:val="00F315EA"/>
    <w:rsid w:val="00F363C1"/>
    <w:rsid w:val="00F374CD"/>
    <w:rsid w:val="00F45B30"/>
    <w:rsid w:val="00F543C1"/>
    <w:rsid w:val="00F57892"/>
    <w:rsid w:val="00F61520"/>
    <w:rsid w:val="00F61ECB"/>
    <w:rsid w:val="00F63C49"/>
    <w:rsid w:val="00F71197"/>
    <w:rsid w:val="00F7128A"/>
    <w:rsid w:val="00F7606F"/>
    <w:rsid w:val="00F82BBA"/>
    <w:rsid w:val="00F95A08"/>
    <w:rsid w:val="00FA00FA"/>
    <w:rsid w:val="00FA3D02"/>
    <w:rsid w:val="00FA5B8B"/>
    <w:rsid w:val="00FA712C"/>
    <w:rsid w:val="00FA75AA"/>
    <w:rsid w:val="00FB34CD"/>
    <w:rsid w:val="00FC4CE7"/>
    <w:rsid w:val="00FC6E29"/>
    <w:rsid w:val="00FC72B5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5A020B-ED5D-4040-B451-21C2891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A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A1D"/>
    <w:pPr>
      <w:ind w:left="720"/>
    </w:pPr>
    <w:rPr>
      <w:rFonts w:ascii="Calibri" w:eastAsiaTheme="minorHAnsi" w:hAnsi="Calibri"/>
      <w:szCs w:val="22"/>
      <w:lang w:eastAsia="hr-HR"/>
    </w:rPr>
  </w:style>
  <w:style w:type="paragraph" w:customStyle="1" w:styleId="CharCharCharCharCharChar1CharChar">
    <w:name w:val="Char Char Char Char Char Char1 Char Char"/>
    <w:basedOn w:val="Normal"/>
    <w:rsid w:val="00BF0C2F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BF0C2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C7F74"/>
    <w:rPr>
      <w:rFonts w:ascii="Arial" w:eastAsia="Times New Roman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7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2B5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2B5"/>
    <w:rPr>
      <w:rFonts w:ascii="Arial" w:eastAsia="Times New Roman" w:hAnsi="Arial"/>
      <w:b/>
      <w:bCs/>
      <w:lang w:eastAsia="en-US"/>
    </w:rPr>
  </w:style>
  <w:style w:type="paragraph" w:styleId="NormalWeb">
    <w:name w:val="Normal (Web)"/>
    <w:basedOn w:val="Normal"/>
    <w:uiPriority w:val="99"/>
    <w:rsid w:val="00C34A9A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dn.iccwbo.org/content/uploads/sites/3/2018/07/un-hlpf-2018-business-review.pd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ina.hr/zelenipojas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r@ina.hr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a.hr/zelenipoja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ezi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DF409-9545-4CDD-BA21-AF02CA9D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Henezi Željko</dc:creator>
  <cp:keywords/>
  <cp:lastModifiedBy>Hasija Marina</cp:lastModifiedBy>
  <cp:revision>2</cp:revision>
  <dcterms:created xsi:type="dcterms:W3CDTF">2019-04-24T08:53:00Z</dcterms:created>
  <dcterms:modified xsi:type="dcterms:W3CDTF">2019-04-24T08:53:00Z</dcterms:modified>
</cp:coreProperties>
</file>