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A5" w:rsidRPr="00616BBE" w:rsidRDefault="007475A5" w:rsidP="007475A5">
      <w:pPr>
        <w:rPr>
          <w:sz w:val="18"/>
          <w:szCs w:val="18"/>
        </w:rPr>
      </w:pPr>
    </w:p>
    <w:tbl>
      <w:tblPr>
        <w:tblpPr w:leftFromText="180" w:rightFromText="180" w:horzAnchor="margin" w:tblpXSpec="right" w:tblpY="-1620"/>
        <w:tblW w:w="0" w:type="auto"/>
        <w:tblLayout w:type="fixed"/>
        <w:tblLook w:val="0000" w:firstRow="0" w:lastRow="0" w:firstColumn="0" w:lastColumn="0" w:noHBand="0" w:noVBand="0"/>
      </w:tblPr>
      <w:tblGrid>
        <w:gridCol w:w="3960"/>
      </w:tblGrid>
      <w:tr w:rsidR="00FC6E29" w:rsidRPr="00616BBE" w:rsidTr="007B67B2">
        <w:trPr>
          <w:trHeight w:val="1665"/>
        </w:trPr>
        <w:tc>
          <w:tcPr>
            <w:tcW w:w="3960" w:type="dxa"/>
          </w:tcPr>
          <w:p w:rsidR="00FC6E29" w:rsidRPr="00616BBE" w:rsidRDefault="00FC6E29" w:rsidP="007B67B2">
            <w:pPr>
              <w:rPr>
                <w:sz w:val="10"/>
                <w:szCs w:val="10"/>
              </w:rPr>
            </w:pPr>
            <w:bookmarkStart w:id="0" w:name="Adresa"/>
          </w:p>
          <w:bookmarkEnd w:id="0"/>
          <w:p w:rsidR="00FC6E29" w:rsidRPr="007475A5" w:rsidRDefault="00FC6E29" w:rsidP="007B67B2">
            <w:pPr>
              <w:jc w:val="center"/>
              <w:rPr>
                <w:sz w:val="28"/>
                <w:szCs w:val="28"/>
              </w:rPr>
            </w:pPr>
            <w:r w:rsidRPr="00616BBE">
              <w:rPr>
                <w:sz w:val="20"/>
              </w:rPr>
              <w:fldChar w:fldCharType="begin"/>
            </w:r>
            <w:r w:rsidRPr="00616BBE">
              <w:rPr>
                <w:sz w:val="20"/>
              </w:rPr>
              <w:instrText xml:space="preserve"> FILLIN "Adresa" \* MERGEFORMAT </w:instrText>
            </w:r>
            <w:r w:rsidRPr="00616BBE">
              <w:rPr>
                <w:sz w:val="20"/>
              </w:rPr>
              <w:fldChar w:fldCharType="separate"/>
            </w:r>
            <w:r w:rsidR="00B656C3" w:rsidRPr="00616BBE">
              <w:rPr>
                <w:sz w:val="20"/>
              </w:rPr>
              <w:t xml:space="preserve">   </w:t>
            </w:r>
            <w:r w:rsidRPr="00616BBE">
              <w:rPr>
                <w:sz w:val="20"/>
              </w:rPr>
              <w:fldChar w:fldCharType="end"/>
            </w:r>
            <w:r w:rsidR="002148DA" w:rsidRPr="00616BBE">
              <w:rPr>
                <w:rFonts w:ascii="Calibri" w:hAnsi="Calibri"/>
                <w:b/>
                <w:sz w:val="36"/>
                <w:szCs w:val="36"/>
              </w:rPr>
              <w:t xml:space="preserve"> </w:t>
            </w:r>
            <w:r w:rsidR="002148DA" w:rsidRPr="007475A5">
              <w:rPr>
                <w:rFonts w:ascii="Calibri" w:hAnsi="Calibri"/>
                <w:b/>
                <w:sz w:val="28"/>
                <w:szCs w:val="28"/>
              </w:rPr>
              <w:t>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B40303" w:rsidRPr="00B40303" w:rsidRDefault="00B40303" w:rsidP="00B40303">
      <w:pPr>
        <w:jc w:val="both"/>
        <w:rPr>
          <w:rFonts w:ascii="Calibri" w:eastAsia="Calibri" w:hAnsi="Calibri" w:cs="Calibri"/>
          <w:szCs w:val="22"/>
        </w:rPr>
      </w:pPr>
      <w:r w:rsidRPr="00B40303">
        <w:rPr>
          <w:rFonts w:ascii="Calibri" w:eastAsia="Calibri" w:hAnsi="Calibri" w:cs="Calibri"/>
          <w:b/>
          <w:bCs/>
          <w:color w:val="005A9C"/>
          <w:sz w:val="28"/>
          <w:szCs w:val="28"/>
          <w:lang w:eastAsia="hr-HR"/>
        </w:rPr>
        <w:lastRenderedPageBreak/>
        <w:t xml:space="preserve">Rafinerija nafte Rijeka započinje s proizvodnjom početkom rujna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b/>
          <w:bCs/>
          <w:color w:val="005A9C"/>
          <w:sz w:val="24"/>
          <w:lang w:eastAsia="hr-HR"/>
        </w:rPr>
        <w:t xml:space="preserve">                                                          </w:t>
      </w:r>
    </w:p>
    <w:p w:rsidR="00B40303" w:rsidRPr="00B40303" w:rsidRDefault="00B40303" w:rsidP="00B40303">
      <w:pPr>
        <w:numPr>
          <w:ilvl w:val="0"/>
          <w:numId w:val="4"/>
        </w:numPr>
        <w:jc w:val="both"/>
        <w:rPr>
          <w:rFonts w:ascii="Calibri" w:hAnsi="Calibri" w:cs="Calibri"/>
          <w:szCs w:val="22"/>
        </w:rPr>
      </w:pPr>
      <w:r w:rsidRPr="00B40303">
        <w:rPr>
          <w:rFonts w:ascii="Calibri" w:hAnsi="Calibri" w:cs="Calibri"/>
          <w:b/>
          <w:bCs/>
          <w:sz w:val="24"/>
        </w:rPr>
        <w:t>Nakon obustave rada uslijed požara, RNR se vraća u proizvodnju</w:t>
      </w:r>
    </w:p>
    <w:p w:rsidR="00B40303" w:rsidRPr="00B40303" w:rsidRDefault="00B40303" w:rsidP="00B40303">
      <w:pPr>
        <w:numPr>
          <w:ilvl w:val="0"/>
          <w:numId w:val="4"/>
        </w:numPr>
        <w:jc w:val="both"/>
        <w:rPr>
          <w:rFonts w:ascii="Calibri" w:hAnsi="Calibri" w:cs="Calibri"/>
          <w:szCs w:val="22"/>
        </w:rPr>
      </w:pPr>
      <w:r w:rsidRPr="00B40303">
        <w:rPr>
          <w:rFonts w:ascii="Calibri" w:hAnsi="Calibri" w:cs="Calibri"/>
          <w:b/>
          <w:bCs/>
          <w:sz w:val="24"/>
        </w:rPr>
        <w:t xml:space="preserve">Očevid potvrdio uzrok požara, izvršena procjena štete </w:t>
      </w:r>
    </w:p>
    <w:p w:rsidR="00B40303" w:rsidRPr="00B40303" w:rsidRDefault="00B40303" w:rsidP="00B40303">
      <w:pPr>
        <w:numPr>
          <w:ilvl w:val="0"/>
          <w:numId w:val="4"/>
        </w:numPr>
        <w:jc w:val="both"/>
        <w:rPr>
          <w:rFonts w:ascii="Calibri" w:hAnsi="Calibri" w:cs="Calibri"/>
          <w:szCs w:val="22"/>
        </w:rPr>
      </w:pPr>
      <w:r w:rsidRPr="00B40303">
        <w:rPr>
          <w:rFonts w:ascii="Calibri" w:hAnsi="Calibri" w:cs="Calibri"/>
          <w:b/>
          <w:bCs/>
          <w:sz w:val="24"/>
        </w:rPr>
        <w:t xml:space="preserve">Usvojene mjere poboljšanja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b/>
          <w:bCs/>
          <w:szCs w:val="22"/>
        </w:rPr>
        <w:t>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b/>
          <w:bCs/>
          <w:szCs w:val="22"/>
        </w:rPr>
        <w:t>Zagreb, 28. kolovoza 2014.– Nakon požara koji se 17. kolovoza 2014. dogodio na Postrojenju atmosferske destilacije i posljedične obustave rada, Rafinerija nafte Rijeka započinje s proizvodnjom početkom rujna. Rezultati očevida potvrdili su kako je uzrok požara propuštanje atmosferskog ostatka na drenažnom čepu kućišta jedne od pumpi nakon čega je uslijedilo samozapaljenje atmosferskog ostatka. Uzrok popuštanja čepa je oštećenje navoja na kućištu, najvjerojatnije uzrokovano korozijom. Pri redovitom održavanju pumpe, kojeg je dio obavljen u kolovozu ove godine, nisu zabilježena bilo kakva odstupanja stanja opreme koje bi ukazivala na potencijalnu opasnost. Šteta uzrokovana požarom procjenjuje se na 750 tisuća kuna.</w:t>
      </w:r>
      <w:r w:rsidRPr="00B40303">
        <w:rPr>
          <w:rFonts w:ascii="Calibri" w:eastAsia="Calibri" w:hAnsi="Calibri" w:cs="Calibri"/>
          <w:szCs w:val="22"/>
        </w:rPr>
        <w:t xml:space="preserve">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b/>
          <w:bCs/>
          <w:szCs w:val="22"/>
        </w:rPr>
        <w:t> </w:t>
      </w:r>
    </w:p>
    <w:p w:rsidR="00B40303" w:rsidRPr="00B40303" w:rsidRDefault="003429FA" w:rsidP="00B40303">
      <w:pPr>
        <w:jc w:val="both"/>
        <w:rPr>
          <w:rFonts w:ascii="Calibri" w:eastAsia="Calibri" w:hAnsi="Calibri" w:cs="Calibri"/>
          <w:szCs w:val="22"/>
        </w:rPr>
      </w:pPr>
      <w:r w:rsidRPr="003429FA">
        <w:rPr>
          <w:rFonts w:ascii="Calibri" w:eastAsia="Calibri" w:hAnsi="Calibri" w:cs="Calibri"/>
          <w:szCs w:val="22"/>
        </w:rPr>
        <w:t xml:space="preserve">Sukladno analizi Inspekcije zaštite okoliša, a koja je izvršena 18. kolovoza, vidljivo je da nije došlo do prekoračenja graničnih vrijednosti niti za jedan mjereni parametar. </w:t>
      </w:r>
      <w:bookmarkStart w:id="1" w:name="_GoBack"/>
      <w:bookmarkEnd w:id="1"/>
      <w:r w:rsidR="00B40303" w:rsidRPr="00B40303">
        <w:rPr>
          <w:rFonts w:ascii="Calibri" w:eastAsia="Calibri" w:hAnsi="Calibri" w:cs="Calibri"/>
          <w:szCs w:val="22"/>
        </w:rPr>
        <w:t>Kao posljedica požara, došlo je do neznatnog onečišćenja tla oko sustava zahvaćenog vatrom, a koje je prikupljeno i zbrinuto putem ovlaštene tvrtke za zbrinjavanje otpada, o čemu je također obaviještena Inspekcija zaštite okoliša. Obzirom kako se svaki procesni incident analizira s ciljem daljnjih poboljšanja sustava i sigurnosti, Rafinerija nafte Rijeka usvojila je</w:t>
      </w:r>
      <w:r w:rsidR="00B40303" w:rsidRPr="00B40303">
        <w:rPr>
          <w:rFonts w:ascii="Calibri" w:eastAsia="Calibri" w:hAnsi="Calibri" w:cs="Calibri"/>
          <w:color w:val="1F497D"/>
          <w:szCs w:val="22"/>
        </w:rPr>
        <w:t xml:space="preserve"> </w:t>
      </w:r>
      <w:r w:rsidR="00B40303" w:rsidRPr="00B40303">
        <w:rPr>
          <w:rFonts w:ascii="Calibri" w:eastAsia="Calibri" w:hAnsi="Calibri" w:cs="Calibri"/>
          <w:szCs w:val="22"/>
        </w:rPr>
        <w:t xml:space="preserve">nakon analize požara mjere za poboljšanje kao što su unaprjeđenje zaštite od korozije, unaprjeđenje programa ispitivanja ispravnosti pumpi i dodatno unapređenje suradnje s Javnom vatrogasnom postrojbom Primorsko goranske Županije.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color w:val="1F497D"/>
          <w:szCs w:val="22"/>
        </w:rPr>
        <w:t> </w:t>
      </w:r>
    </w:p>
    <w:p w:rsidR="00B40303" w:rsidRPr="00B40303" w:rsidRDefault="00B40303" w:rsidP="00B40303">
      <w:pPr>
        <w:jc w:val="both"/>
        <w:rPr>
          <w:rFonts w:ascii="Calibri" w:eastAsia="Calibri" w:hAnsi="Calibri" w:cs="Calibri"/>
          <w:szCs w:val="22"/>
        </w:rPr>
      </w:pPr>
      <w:r w:rsidRPr="00B40303">
        <w:rPr>
          <w:rFonts w:ascii="Calibri" w:eastAsia="Calibri" w:hAnsi="Calibri" w:cs="Calibri"/>
          <w:szCs w:val="22"/>
        </w:rPr>
        <w:t xml:space="preserve">Podsjećamo, požar koji je izbio u 22.15 sati ugašen je u najkraćem roku zahvaljujući pravovremenoj intervenciji Ininih vatrogasnih postrojbi uz podršku Javne vatrogasne postrojbe Grada Rijeke. Opskrba tržišta Ininim gorivima ni na koji način nije bila ugrožena ovim incidentom. </w:t>
      </w:r>
    </w:p>
    <w:p w:rsidR="007102D3" w:rsidRDefault="007102D3" w:rsidP="007102D3">
      <w:pPr>
        <w:jc w:val="both"/>
        <w:rPr>
          <w:rFonts w:ascii="Calibri" w:hAnsi="Calibri" w:cs="Calibri"/>
          <w:b/>
          <w:szCs w:val="22"/>
        </w:rPr>
      </w:pPr>
    </w:p>
    <w:p w:rsidR="002148DA" w:rsidRPr="004C7130" w:rsidRDefault="002148DA" w:rsidP="004C7130">
      <w:pPr>
        <w:jc w:val="both"/>
        <w:rPr>
          <w:rFonts w:ascii="Calibri" w:hAnsi="Calibri" w:cs="Calibri"/>
          <w:szCs w:val="22"/>
        </w:rPr>
      </w:pPr>
      <w:r w:rsidRPr="00616BBE">
        <w:rPr>
          <w:rFonts w:ascii="Calibri" w:eastAsia="Calibri" w:hAnsi="Calibri"/>
          <w:b/>
          <w:i/>
          <w:sz w:val="20"/>
          <w:szCs w:val="20"/>
        </w:rPr>
        <w:t xml:space="preserve">O INA Grupi </w:t>
      </w:r>
    </w:p>
    <w:p w:rsidR="002148DA" w:rsidRPr="00616BBE" w:rsidRDefault="002148DA" w:rsidP="002148DA">
      <w:pPr>
        <w:jc w:val="both"/>
        <w:rPr>
          <w:rFonts w:ascii="Calibri" w:eastAsia="Calibri" w:hAnsi="Calibri"/>
          <w:i/>
          <w:sz w:val="20"/>
          <w:szCs w:val="20"/>
        </w:rPr>
      </w:pPr>
      <w:r w:rsidRPr="00616BBE">
        <w:rPr>
          <w:rFonts w:ascii="Calibri" w:eastAsia="Calibri" w:hAnsi="Calibri"/>
          <w:i/>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w:t>
      </w:r>
      <w:r w:rsidR="007102D3">
        <w:rPr>
          <w:rFonts w:ascii="Calibri" w:eastAsia="Calibri" w:hAnsi="Calibri"/>
          <w:i/>
          <w:sz w:val="20"/>
          <w:szCs w:val="20"/>
        </w:rPr>
        <w:t>9</w:t>
      </w:r>
      <w:r w:rsidRPr="00616BBE">
        <w:rPr>
          <w:rFonts w:ascii="Calibri" w:eastAsia="Calibri" w:hAnsi="Calibri"/>
          <w:i/>
          <w:sz w:val="20"/>
          <w:szCs w:val="20"/>
        </w:rPr>
        <w:t xml:space="preserve"> benzinskih postaja u Hrvatskoj i u susjednim zemljama.</w:t>
      </w:r>
    </w:p>
    <w:p w:rsidR="002148DA" w:rsidRPr="00616BBE" w:rsidRDefault="002148DA" w:rsidP="002148DA">
      <w:pPr>
        <w:jc w:val="both"/>
        <w:rPr>
          <w:rFonts w:ascii="Calibri" w:eastAsia="Calibri" w:hAnsi="Calibri"/>
          <w:i/>
          <w:sz w:val="20"/>
          <w:szCs w:val="20"/>
        </w:rPr>
      </w:pP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r w:rsidRPr="00616BBE">
        <w:rPr>
          <w:rFonts w:ascii="Calibri" w:eastAsia="Calibri" w:hAnsi="Calibri"/>
          <w:i/>
          <w:sz w:val="20"/>
          <w:szCs w:val="20"/>
        </w:rPr>
        <w:t xml:space="preserve">Tel:  01 6450 552|Fax: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D2" w:rsidRDefault="009B72D2" w:rsidP="00C11370">
      <w:r>
        <w:separator/>
      </w:r>
    </w:p>
  </w:endnote>
  <w:endnote w:type="continuationSeparator" w:id="0">
    <w:p w:rsidR="009B72D2" w:rsidRDefault="009B72D2"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CB7CD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CB7CDF">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D2" w:rsidRDefault="009B72D2" w:rsidP="00C11370">
      <w:r>
        <w:separator/>
      </w:r>
    </w:p>
  </w:footnote>
  <w:footnote w:type="continuationSeparator" w:id="0">
    <w:p w:rsidR="009B72D2" w:rsidRDefault="009B72D2"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08" w:rsidRPr="00A44C08" w:rsidRDefault="00573955">
    <w:pPr>
      <w:pStyle w:val="Header"/>
      <w:rPr>
        <w:color w:val="FF0000"/>
      </w:rPr>
    </w:pPr>
    <w:r>
      <w:rPr>
        <w:noProof/>
        <w:color w:val="FF0000"/>
        <w:lang w:eastAsia="hr-HR"/>
      </w:rPr>
      <w:drawing>
        <wp:inline distT="0" distB="0" distL="0" distR="0" wp14:anchorId="3702B8F8" wp14:editId="7E7ED629">
          <wp:extent cx="1213485" cy="4508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2E1D"/>
    <w:rsid w:val="0005565F"/>
    <w:rsid w:val="00055F64"/>
    <w:rsid w:val="0005727C"/>
    <w:rsid w:val="00061911"/>
    <w:rsid w:val="00071D86"/>
    <w:rsid w:val="00075F38"/>
    <w:rsid w:val="00091C7B"/>
    <w:rsid w:val="00092FD1"/>
    <w:rsid w:val="000A1F20"/>
    <w:rsid w:val="000C0130"/>
    <w:rsid w:val="000C3F00"/>
    <w:rsid w:val="000D401A"/>
    <w:rsid w:val="000D730A"/>
    <w:rsid w:val="001049F4"/>
    <w:rsid w:val="00107C4D"/>
    <w:rsid w:val="00136FFA"/>
    <w:rsid w:val="00180B8B"/>
    <w:rsid w:val="001830C6"/>
    <w:rsid w:val="00183994"/>
    <w:rsid w:val="00191574"/>
    <w:rsid w:val="00193912"/>
    <w:rsid w:val="00196CCB"/>
    <w:rsid w:val="001A1257"/>
    <w:rsid w:val="001A4D58"/>
    <w:rsid w:val="001B0E33"/>
    <w:rsid w:val="001B26D4"/>
    <w:rsid w:val="001E4FBE"/>
    <w:rsid w:val="001E7160"/>
    <w:rsid w:val="001F421D"/>
    <w:rsid w:val="001F61AC"/>
    <w:rsid w:val="00202B5C"/>
    <w:rsid w:val="00211556"/>
    <w:rsid w:val="002148DA"/>
    <w:rsid w:val="0022447B"/>
    <w:rsid w:val="002305A8"/>
    <w:rsid w:val="0023794C"/>
    <w:rsid w:val="00253A51"/>
    <w:rsid w:val="0025538A"/>
    <w:rsid w:val="002620F6"/>
    <w:rsid w:val="00270D13"/>
    <w:rsid w:val="00285EED"/>
    <w:rsid w:val="002A1FCB"/>
    <w:rsid w:val="002A2CF9"/>
    <w:rsid w:val="002B040F"/>
    <w:rsid w:val="002C08BB"/>
    <w:rsid w:val="002D5863"/>
    <w:rsid w:val="002D7556"/>
    <w:rsid w:val="002E2964"/>
    <w:rsid w:val="002E5910"/>
    <w:rsid w:val="002F09A3"/>
    <w:rsid w:val="002F36CA"/>
    <w:rsid w:val="002F3EB1"/>
    <w:rsid w:val="00304A2F"/>
    <w:rsid w:val="0031778E"/>
    <w:rsid w:val="00321001"/>
    <w:rsid w:val="00323CC9"/>
    <w:rsid w:val="0033578D"/>
    <w:rsid w:val="0034147C"/>
    <w:rsid w:val="003429FA"/>
    <w:rsid w:val="00352F37"/>
    <w:rsid w:val="003666B4"/>
    <w:rsid w:val="00374622"/>
    <w:rsid w:val="00374688"/>
    <w:rsid w:val="00377250"/>
    <w:rsid w:val="00382E87"/>
    <w:rsid w:val="00387DB4"/>
    <w:rsid w:val="003A59EB"/>
    <w:rsid w:val="003B0A1B"/>
    <w:rsid w:val="003B0C3F"/>
    <w:rsid w:val="003B68EE"/>
    <w:rsid w:val="003C1D95"/>
    <w:rsid w:val="003C2046"/>
    <w:rsid w:val="003D3637"/>
    <w:rsid w:val="003D4053"/>
    <w:rsid w:val="00405654"/>
    <w:rsid w:val="00417960"/>
    <w:rsid w:val="00417D07"/>
    <w:rsid w:val="00417F3C"/>
    <w:rsid w:val="00423727"/>
    <w:rsid w:val="004413A7"/>
    <w:rsid w:val="00451546"/>
    <w:rsid w:val="00452C3E"/>
    <w:rsid w:val="00465703"/>
    <w:rsid w:val="004717BA"/>
    <w:rsid w:val="00480482"/>
    <w:rsid w:val="00483324"/>
    <w:rsid w:val="004B6427"/>
    <w:rsid w:val="004C0CCF"/>
    <w:rsid w:val="004C4514"/>
    <w:rsid w:val="004C47E8"/>
    <w:rsid w:val="004C7130"/>
    <w:rsid w:val="004D2FD9"/>
    <w:rsid w:val="004E220D"/>
    <w:rsid w:val="004E29DD"/>
    <w:rsid w:val="004E4BF6"/>
    <w:rsid w:val="004F2BEA"/>
    <w:rsid w:val="004F7EB7"/>
    <w:rsid w:val="00501508"/>
    <w:rsid w:val="0050393A"/>
    <w:rsid w:val="00507B1A"/>
    <w:rsid w:val="00520873"/>
    <w:rsid w:val="005541E8"/>
    <w:rsid w:val="00555177"/>
    <w:rsid w:val="00564EEA"/>
    <w:rsid w:val="00573955"/>
    <w:rsid w:val="00584ADD"/>
    <w:rsid w:val="005A0BC6"/>
    <w:rsid w:val="005A4974"/>
    <w:rsid w:val="005B2DB1"/>
    <w:rsid w:val="005B2F55"/>
    <w:rsid w:val="005C0B39"/>
    <w:rsid w:val="005D43FB"/>
    <w:rsid w:val="005D70FA"/>
    <w:rsid w:val="005E2581"/>
    <w:rsid w:val="005E67FF"/>
    <w:rsid w:val="005F47B8"/>
    <w:rsid w:val="005F7E1C"/>
    <w:rsid w:val="00601B4E"/>
    <w:rsid w:val="00607872"/>
    <w:rsid w:val="00616027"/>
    <w:rsid w:val="00616BBE"/>
    <w:rsid w:val="00623D4D"/>
    <w:rsid w:val="00626A82"/>
    <w:rsid w:val="00627F2E"/>
    <w:rsid w:val="006304FE"/>
    <w:rsid w:val="0063520D"/>
    <w:rsid w:val="00665767"/>
    <w:rsid w:val="00690A9C"/>
    <w:rsid w:val="006A6CA2"/>
    <w:rsid w:val="006B3370"/>
    <w:rsid w:val="006B4654"/>
    <w:rsid w:val="006C0980"/>
    <w:rsid w:val="006C43BC"/>
    <w:rsid w:val="006C510C"/>
    <w:rsid w:val="006D7DCD"/>
    <w:rsid w:val="006F110E"/>
    <w:rsid w:val="006F4D88"/>
    <w:rsid w:val="006F6820"/>
    <w:rsid w:val="007102D3"/>
    <w:rsid w:val="0071422B"/>
    <w:rsid w:val="007168CB"/>
    <w:rsid w:val="00720CB2"/>
    <w:rsid w:val="007235C0"/>
    <w:rsid w:val="00737BE7"/>
    <w:rsid w:val="00741927"/>
    <w:rsid w:val="00742B4F"/>
    <w:rsid w:val="007475A5"/>
    <w:rsid w:val="00751FBC"/>
    <w:rsid w:val="0075703C"/>
    <w:rsid w:val="00773049"/>
    <w:rsid w:val="00777BEB"/>
    <w:rsid w:val="00780806"/>
    <w:rsid w:val="0078091D"/>
    <w:rsid w:val="007812A6"/>
    <w:rsid w:val="0079099E"/>
    <w:rsid w:val="007A0EAE"/>
    <w:rsid w:val="007A7D02"/>
    <w:rsid w:val="007B67B2"/>
    <w:rsid w:val="007C62F4"/>
    <w:rsid w:val="007D2924"/>
    <w:rsid w:val="007D6FC3"/>
    <w:rsid w:val="007E3E71"/>
    <w:rsid w:val="007E769C"/>
    <w:rsid w:val="007F53FE"/>
    <w:rsid w:val="0080059F"/>
    <w:rsid w:val="00802DFF"/>
    <w:rsid w:val="00804CDB"/>
    <w:rsid w:val="008055F8"/>
    <w:rsid w:val="00810667"/>
    <w:rsid w:val="00812280"/>
    <w:rsid w:val="008127FA"/>
    <w:rsid w:val="008213B0"/>
    <w:rsid w:val="00830A5D"/>
    <w:rsid w:val="0087153B"/>
    <w:rsid w:val="00876FA7"/>
    <w:rsid w:val="00882B22"/>
    <w:rsid w:val="008830E1"/>
    <w:rsid w:val="008A1085"/>
    <w:rsid w:val="008A5A50"/>
    <w:rsid w:val="008A72A6"/>
    <w:rsid w:val="008C03DE"/>
    <w:rsid w:val="008C6126"/>
    <w:rsid w:val="008E4909"/>
    <w:rsid w:val="008E678F"/>
    <w:rsid w:val="008F4F4D"/>
    <w:rsid w:val="0091786C"/>
    <w:rsid w:val="00921DE1"/>
    <w:rsid w:val="00922812"/>
    <w:rsid w:val="00931AE9"/>
    <w:rsid w:val="0093239E"/>
    <w:rsid w:val="009423E6"/>
    <w:rsid w:val="00950644"/>
    <w:rsid w:val="0096259C"/>
    <w:rsid w:val="00963967"/>
    <w:rsid w:val="009647DC"/>
    <w:rsid w:val="00995E87"/>
    <w:rsid w:val="009961DA"/>
    <w:rsid w:val="009A252D"/>
    <w:rsid w:val="009B72D2"/>
    <w:rsid w:val="009C3F52"/>
    <w:rsid w:val="009C653E"/>
    <w:rsid w:val="009D2E0E"/>
    <w:rsid w:val="009F6A50"/>
    <w:rsid w:val="009F74FE"/>
    <w:rsid w:val="00A044C5"/>
    <w:rsid w:val="00A04F71"/>
    <w:rsid w:val="00A1118A"/>
    <w:rsid w:val="00A24260"/>
    <w:rsid w:val="00A320CC"/>
    <w:rsid w:val="00A36101"/>
    <w:rsid w:val="00A435B3"/>
    <w:rsid w:val="00A44C08"/>
    <w:rsid w:val="00A46061"/>
    <w:rsid w:val="00A51414"/>
    <w:rsid w:val="00A5302A"/>
    <w:rsid w:val="00A54CCE"/>
    <w:rsid w:val="00A60119"/>
    <w:rsid w:val="00AA6293"/>
    <w:rsid w:val="00AA6E39"/>
    <w:rsid w:val="00AD2AD0"/>
    <w:rsid w:val="00AD47C0"/>
    <w:rsid w:val="00AD7181"/>
    <w:rsid w:val="00AF2AB5"/>
    <w:rsid w:val="00AF683D"/>
    <w:rsid w:val="00B0162E"/>
    <w:rsid w:val="00B01804"/>
    <w:rsid w:val="00B165C8"/>
    <w:rsid w:val="00B17298"/>
    <w:rsid w:val="00B30848"/>
    <w:rsid w:val="00B32A9E"/>
    <w:rsid w:val="00B32DD7"/>
    <w:rsid w:val="00B40303"/>
    <w:rsid w:val="00B50D40"/>
    <w:rsid w:val="00B656C3"/>
    <w:rsid w:val="00B67C38"/>
    <w:rsid w:val="00B717A4"/>
    <w:rsid w:val="00B775FB"/>
    <w:rsid w:val="00B80EDB"/>
    <w:rsid w:val="00B906B4"/>
    <w:rsid w:val="00B937F9"/>
    <w:rsid w:val="00B976E5"/>
    <w:rsid w:val="00BB1614"/>
    <w:rsid w:val="00BB7F7D"/>
    <w:rsid w:val="00BC4913"/>
    <w:rsid w:val="00BC7DE4"/>
    <w:rsid w:val="00BD1C46"/>
    <w:rsid w:val="00BD2AAD"/>
    <w:rsid w:val="00BD6B46"/>
    <w:rsid w:val="00BD70E3"/>
    <w:rsid w:val="00BE09CD"/>
    <w:rsid w:val="00BE0A98"/>
    <w:rsid w:val="00BE0B2E"/>
    <w:rsid w:val="00C05BEB"/>
    <w:rsid w:val="00C11370"/>
    <w:rsid w:val="00C30CA7"/>
    <w:rsid w:val="00C349B9"/>
    <w:rsid w:val="00C3744E"/>
    <w:rsid w:val="00C45112"/>
    <w:rsid w:val="00C466F5"/>
    <w:rsid w:val="00C57E91"/>
    <w:rsid w:val="00C62672"/>
    <w:rsid w:val="00C64860"/>
    <w:rsid w:val="00C83217"/>
    <w:rsid w:val="00C83B13"/>
    <w:rsid w:val="00C95DE0"/>
    <w:rsid w:val="00CA2A27"/>
    <w:rsid w:val="00CB7CDF"/>
    <w:rsid w:val="00CC23F2"/>
    <w:rsid w:val="00CD2AC3"/>
    <w:rsid w:val="00CE6837"/>
    <w:rsid w:val="00CF6118"/>
    <w:rsid w:val="00D061CB"/>
    <w:rsid w:val="00D07A08"/>
    <w:rsid w:val="00D146C3"/>
    <w:rsid w:val="00D15AA6"/>
    <w:rsid w:val="00D31F2E"/>
    <w:rsid w:val="00D568CF"/>
    <w:rsid w:val="00D57000"/>
    <w:rsid w:val="00D57133"/>
    <w:rsid w:val="00D57BB9"/>
    <w:rsid w:val="00D60F5D"/>
    <w:rsid w:val="00D61326"/>
    <w:rsid w:val="00D839F5"/>
    <w:rsid w:val="00D86777"/>
    <w:rsid w:val="00D96778"/>
    <w:rsid w:val="00D96EF6"/>
    <w:rsid w:val="00D97BD2"/>
    <w:rsid w:val="00DA659C"/>
    <w:rsid w:val="00DB259E"/>
    <w:rsid w:val="00DD0333"/>
    <w:rsid w:val="00DD2EC5"/>
    <w:rsid w:val="00DD48B3"/>
    <w:rsid w:val="00DD4C99"/>
    <w:rsid w:val="00DE0B02"/>
    <w:rsid w:val="00DE2EFE"/>
    <w:rsid w:val="00DE7D43"/>
    <w:rsid w:val="00E01046"/>
    <w:rsid w:val="00E07700"/>
    <w:rsid w:val="00E101B4"/>
    <w:rsid w:val="00E2478A"/>
    <w:rsid w:val="00E2486F"/>
    <w:rsid w:val="00E25E26"/>
    <w:rsid w:val="00E27CFD"/>
    <w:rsid w:val="00E471BF"/>
    <w:rsid w:val="00E547BD"/>
    <w:rsid w:val="00E65AAE"/>
    <w:rsid w:val="00E65F1B"/>
    <w:rsid w:val="00E66181"/>
    <w:rsid w:val="00E66716"/>
    <w:rsid w:val="00E671EE"/>
    <w:rsid w:val="00E8227D"/>
    <w:rsid w:val="00E82779"/>
    <w:rsid w:val="00E93A50"/>
    <w:rsid w:val="00EA4E0D"/>
    <w:rsid w:val="00EB6DB5"/>
    <w:rsid w:val="00EC11DC"/>
    <w:rsid w:val="00EE2482"/>
    <w:rsid w:val="00F14874"/>
    <w:rsid w:val="00F27D43"/>
    <w:rsid w:val="00F35E84"/>
    <w:rsid w:val="00F363C1"/>
    <w:rsid w:val="00F374CD"/>
    <w:rsid w:val="00F45B30"/>
    <w:rsid w:val="00F5728F"/>
    <w:rsid w:val="00F57892"/>
    <w:rsid w:val="00F61520"/>
    <w:rsid w:val="00F61ECB"/>
    <w:rsid w:val="00F63C49"/>
    <w:rsid w:val="00F71197"/>
    <w:rsid w:val="00F7128A"/>
    <w:rsid w:val="00F82BBA"/>
    <w:rsid w:val="00FA00FA"/>
    <w:rsid w:val="00FA5B8B"/>
    <w:rsid w:val="00FA75AA"/>
    <w:rsid w:val="00FC6E29"/>
    <w:rsid w:val="00FD2459"/>
    <w:rsid w:val="00FE05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54384455">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AA8E-723B-42DB-B5B4-B81006F5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47</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11</cp:revision>
  <dcterms:created xsi:type="dcterms:W3CDTF">2014-07-21T12:47:00Z</dcterms:created>
  <dcterms:modified xsi:type="dcterms:W3CDTF">2014-08-28T14:34:00Z</dcterms:modified>
</cp:coreProperties>
</file>