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bookmarkStart w:id="0" w:name="_GoBack"/>
      <w:bookmarkEnd w:id="0"/>
      <w:r w:rsidRPr="005F007F">
        <w:rPr>
          <w:sz w:val="2"/>
          <w:szCs w:val="2"/>
        </w:rPr>
        <w:tab/>
      </w:r>
    </w:p>
    <w:p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  <w:szCs w:val="18"/>
        </w:rPr>
        <w:lastRenderedPageBreak/>
        <w:t>Sektor korporativnih komunikacija</w:t>
      </w:r>
      <w:r w:rsidRPr="003A7A0B">
        <w:rPr>
          <w:rFonts w:cs="Arial"/>
          <w:sz w:val="18"/>
        </w:rPr>
        <w:tab/>
      </w: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  <w:proofErr w:type="spellStart"/>
      <w:r w:rsidRPr="003A7A0B">
        <w:rPr>
          <w:rFonts w:cs="Arial"/>
          <w:sz w:val="18"/>
        </w:rPr>
        <w:t>Av</w:t>
      </w:r>
      <w:proofErr w:type="spellEnd"/>
      <w:r w:rsidRPr="003A7A0B">
        <w:rPr>
          <w:rFonts w:cs="Arial"/>
          <w:sz w:val="18"/>
        </w:rPr>
        <w:t>. V. Holjevca 10</w:t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Zagreb 10002</w:t>
      </w:r>
    </w:p>
    <w:p w:rsidR="003A7A0B" w:rsidRPr="003A7A0B" w:rsidRDefault="003A7A0B" w:rsidP="003A7A0B">
      <w:pPr>
        <w:rPr>
          <w:rFonts w:cs="Arial"/>
          <w:sz w:val="2"/>
        </w:rPr>
      </w:pPr>
    </w:p>
    <w:p w:rsidR="003A7A0B" w:rsidRPr="003A7A0B" w:rsidRDefault="003A7A0B" w:rsidP="003A7A0B">
      <w:pPr>
        <w:rPr>
          <w:rFonts w:cs="Arial"/>
          <w:sz w:val="2"/>
        </w:rPr>
        <w:sectPr w:rsidR="003A7A0B" w:rsidRPr="003A7A0B" w:rsidSect="00963967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lastRenderedPageBreak/>
        <w:tab/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Tel:  01 6450 406</w:t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Fax: 01 6452 406</w:t>
      </w: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</w:p>
    <w:tbl>
      <w:tblPr>
        <w:tblpPr w:leftFromText="180" w:rightFromText="180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3A7A0B" w:rsidRPr="003A7A0B" w:rsidTr="00796BAC">
        <w:trPr>
          <w:trHeight w:val="1665"/>
        </w:trPr>
        <w:tc>
          <w:tcPr>
            <w:tcW w:w="3960" w:type="dxa"/>
          </w:tcPr>
          <w:p w:rsidR="003A7A0B" w:rsidRPr="003A7A0B" w:rsidRDefault="003A7A0B" w:rsidP="003A7A0B">
            <w:pPr>
              <w:rPr>
                <w:rFonts w:cs="Arial"/>
                <w:b/>
                <w:sz w:val="28"/>
                <w:szCs w:val="28"/>
              </w:rPr>
            </w:pPr>
          </w:p>
          <w:p w:rsidR="003A7A0B" w:rsidRPr="003A7A0B" w:rsidRDefault="00936116" w:rsidP="003A7A0B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PRIOPĆENJE</w:t>
            </w:r>
          </w:p>
          <w:p w:rsidR="003A7A0B" w:rsidRPr="003A7A0B" w:rsidRDefault="003A7A0B" w:rsidP="003A7A0B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A7A0B" w:rsidRPr="003A7A0B" w:rsidRDefault="003A7A0B" w:rsidP="003A7A0B">
      <w:pPr>
        <w:rPr>
          <w:rFonts w:cs="Arial"/>
          <w:sz w:val="18"/>
        </w:rPr>
        <w:sectPr w:rsidR="003A7A0B" w:rsidRPr="003A7A0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A7A0B" w:rsidRPr="003A7A0B" w:rsidRDefault="003A7A0B" w:rsidP="003A7A0B">
      <w:pPr>
        <w:rPr>
          <w:rFonts w:cs="Arial"/>
        </w:rPr>
      </w:pPr>
    </w:p>
    <w:p w:rsidR="003A7A0B" w:rsidRPr="003A7A0B" w:rsidRDefault="003A7A0B" w:rsidP="003A7A0B">
      <w:pPr>
        <w:rPr>
          <w:rFonts w:cs="Arial"/>
        </w:rPr>
      </w:pPr>
    </w:p>
    <w:p w:rsidR="003A7A0B" w:rsidRPr="00936116" w:rsidRDefault="003A7A0B" w:rsidP="003A7A0B">
      <w:pPr>
        <w:rPr>
          <w:rFonts w:cs="Arial"/>
          <w:b/>
          <w:sz w:val="2"/>
          <w:szCs w:val="2"/>
        </w:rPr>
      </w:pPr>
      <w:r w:rsidRPr="00936116">
        <w:rPr>
          <w:rFonts w:cs="Arial"/>
          <w:b/>
        </w:rPr>
        <w:fldChar w:fldCharType="begin"/>
      </w:r>
      <w:r w:rsidRPr="00936116">
        <w:rPr>
          <w:rFonts w:cs="Arial"/>
          <w:b/>
        </w:rPr>
        <w:instrText xml:space="preserve"> FILLIN  \* MERGEFORMAT </w:instrText>
      </w:r>
      <w:r w:rsidRPr="00936116">
        <w:rPr>
          <w:rFonts w:cs="Arial"/>
          <w:b/>
        </w:rPr>
        <w:fldChar w:fldCharType="separate"/>
      </w:r>
      <w:r w:rsidRPr="00936116">
        <w:rPr>
          <w:rFonts w:cs="Arial"/>
          <w:b/>
          <w:sz w:val="18"/>
        </w:rPr>
        <w:t xml:space="preserve">Datum :  </w:t>
      </w:r>
      <w:r w:rsidR="00936116" w:rsidRPr="00936116">
        <w:rPr>
          <w:rFonts w:cs="Arial"/>
          <w:b/>
          <w:sz w:val="18"/>
        </w:rPr>
        <w:t>6. 10</w:t>
      </w:r>
      <w:r w:rsidRPr="00936116">
        <w:rPr>
          <w:rFonts w:cs="Arial"/>
          <w:b/>
          <w:sz w:val="18"/>
        </w:rPr>
        <w:t>. 2014.</w:t>
      </w:r>
      <w:r w:rsidRPr="00936116">
        <w:rPr>
          <w:rFonts w:cs="Arial"/>
          <w:b/>
        </w:rPr>
        <w:fldChar w:fldCharType="end"/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ab/>
      </w:r>
    </w:p>
    <w:p w:rsidR="00FC6E29" w:rsidRDefault="00FC6E29" w:rsidP="00936116">
      <w:pPr>
        <w:jc w:val="both"/>
        <w:rPr>
          <w:rStyle w:val="PageNumber"/>
          <w:rFonts w:cs="Arial"/>
        </w:rPr>
        <w:sectPr w:rsidR="00FC6E29" w:rsidSect="003B0A1B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936116" w:rsidRDefault="00936116" w:rsidP="00936116">
      <w:pPr>
        <w:jc w:val="both"/>
        <w:rPr>
          <w:rFonts w:eastAsia="Calibri" w:cs="Arial"/>
          <w:sz w:val="20"/>
          <w:szCs w:val="20"/>
          <w:lang w:eastAsia="hr-HR"/>
        </w:rPr>
      </w:pPr>
    </w:p>
    <w:p w:rsidR="00936116" w:rsidRPr="00936116" w:rsidRDefault="00936116" w:rsidP="00936116">
      <w:pPr>
        <w:jc w:val="both"/>
        <w:rPr>
          <w:rFonts w:eastAsia="Calibri" w:cs="Arial"/>
          <w:sz w:val="20"/>
          <w:szCs w:val="20"/>
          <w:lang w:eastAsia="hr-HR"/>
        </w:rPr>
      </w:pPr>
      <w:r w:rsidRPr="00936116">
        <w:rPr>
          <w:rFonts w:eastAsia="Calibri" w:cs="Arial"/>
          <w:sz w:val="20"/>
          <w:szCs w:val="20"/>
          <w:lang w:eastAsia="hr-HR"/>
        </w:rPr>
        <w:t xml:space="preserve">Nastavno na medijske objave u kojima se govori o takozvanoj „zatajenoj studiji Ine“, a  prema kojoj bi Rafinerija nafte Sisak mogla poslovati pozitivno, željeli bismo ukazati na sljedeće činjenice. </w:t>
      </w:r>
    </w:p>
    <w:p w:rsidR="00936116" w:rsidRPr="00936116" w:rsidRDefault="00936116" w:rsidP="00936116">
      <w:pPr>
        <w:jc w:val="both"/>
        <w:rPr>
          <w:rFonts w:eastAsia="Calibri" w:cs="Arial"/>
          <w:sz w:val="20"/>
          <w:szCs w:val="20"/>
          <w:lang w:eastAsia="hr-HR"/>
        </w:rPr>
      </w:pPr>
    </w:p>
    <w:p w:rsidR="00936116" w:rsidRPr="00936116" w:rsidRDefault="00936116" w:rsidP="00936116">
      <w:pPr>
        <w:jc w:val="both"/>
        <w:rPr>
          <w:rFonts w:eastAsia="Calibri" w:cs="Arial"/>
          <w:sz w:val="20"/>
          <w:szCs w:val="20"/>
          <w:lang w:eastAsia="hr-HR"/>
        </w:rPr>
      </w:pPr>
      <w:r w:rsidRPr="00936116">
        <w:rPr>
          <w:rFonts w:eastAsia="Calibri" w:cs="Arial"/>
          <w:sz w:val="20"/>
          <w:szCs w:val="20"/>
          <w:lang w:eastAsia="hr-HR"/>
        </w:rPr>
        <w:t>Takozvana „interna Inina studija“ predstavlja poslovnu analizu pripremljenu krajem 2012. godine u svrhu rasprave o poslovnom planu za nadolazeću godinu. U tom smislu, analiza se temeljila na kratkoročnim pretpostavkama za 2013. godinu te se ni u kojem slučaju nije odnosila na razdoblje od pet godina, kako se također tvrdi u objavama.</w:t>
      </w:r>
    </w:p>
    <w:p w:rsidR="00936116" w:rsidRPr="00936116" w:rsidRDefault="00936116" w:rsidP="00936116">
      <w:pPr>
        <w:jc w:val="both"/>
        <w:rPr>
          <w:rFonts w:eastAsia="Calibri" w:cs="Arial"/>
          <w:sz w:val="20"/>
          <w:szCs w:val="20"/>
          <w:lang w:eastAsia="hr-HR"/>
        </w:rPr>
      </w:pPr>
    </w:p>
    <w:p w:rsidR="00936116" w:rsidRPr="00936116" w:rsidRDefault="00936116" w:rsidP="00936116">
      <w:pPr>
        <w:jc w:val="both"/>
        <w:rPr>
          <w:rFonts w:eastAsia="Calibri" w:cs="Arial"/>
          <w:sz w:val="20"/>
          <w:szCs w:val="20"/>
          <w:lang w:eastAsia="hr-HR"/>
        </w:rPr>
      </w:pPr>
      <w:r w:rsidRPr="00936116">
        <w:rPr>
          <w:rFonts w:eastAsia="Calibri" w:cs="Arial"/>
          <w:sz w:val="20"/>
          <w:szCs w:val="20"/>
          <w:lang w:eastAsia="hr-HR"/>
        </w:rPr>
        <w:t>Iz konteksta su izvučena predviđanja o takozvanoj „profitabilnosti“ Rafinerije nafte Sisak u iznosu od gotovo 40 milijuna dolara jer taj iznos predstavlja godišnju rafinerijsku maržu koja</w:t>
      </w:r>
      <w:r w:rsidRPr="00936116">
        <w:rPr>
          <w:rFonts w:eastAsia="Calibri" w:cs="Arial"/>
          <w:color w:val="1F497D"/>
          <w:sz w:val="20"/>
          <w:szCs w:val="20"/>
          <w:lang w:eastAsia="hr-HR"/>
        </w:rPr>
        <w:t xml:space="preserve"> </w:t>
      </w:r>
      <w:r w:rsidRPr="00936116">
        <w:rPr>
          <w:rFonts w:eastAsia="Calibri" w:cs="Arial"/>
          <w:sz w:val="20"/>
          <w:szCs w:val="20"/>
          <w:lang w:eastAsia="hr-HR"/>
        </w:rPr>
        <w:t>se računa prije izračuna dobiti i ne uključuje sve troškove. Također, u medijskim natpisima nije naglašeno, a što je vidljivo iz materijala,  kako su navedena kratkoročna predviđanja povezana s cijenama domaće nafte, odnosno nižim</w:t>
      </w:r>
      <w:r w:rsidR="008F5B6E">
        <w:rPr>
          <w:rFonts w:eastAsia="Calibri" w:cs="Arial"/>
          <w:sz w:val="20"/>
          <w:szCs w:val="20"/>
          <w:lang w:eastAsia="hr-HR"/>
        </w:rPr>
        <w:t>a</w:t>
      </w:r>
      <w:r w:rsidRPr="00936116">
        <w:rPr>
          <w:rFonts w:eastAsia="Calibri" w:cs="Arial"/>
          <w:sz w:val="20"/>
          <w:szCs w:val="20"/>
          <w:lang w:eastAsia="hr-HR"/>
        </w:rPr>
        <w:t xml:space="preserve"> od onih koje se mogu ostvariti na tržištu, a što je dugoročno neodrživ model koji negativno utječe na poslovanje istraživanja i proizvodnje. </w:t>
      </w:r>
    </w:p>
    <w:p w:rsidR="00936116" w:rsidRPr="00936116" w:rsidRDefault="00936116" w:rsidP="00936116">
      <w:pPr>
        <w:jc w:val="both"/>
        <w:rPr>
          <w:rFonts w:eastAsia="Calibri" w:cs="Arial"/>
          <w:sz w:val="20"/>
          <w:szCs w:val="20"/>
          <w:lang w:eastAsia="hr-HR"/>
        </w:rPr>
      </w:pPr>
    </w:p>
    <w:p w:rsidR="00936116" w:rsidRPr="00936116" w:rsidRDefault="00936116" w:rsidP="00936116">
      <w:pPr>
        <w:jc w:val="both"/>
        <w:rPr>
          <w:rFonts w:eastAsia="Calibri" w:cs="Arial"/>
          <w:sz w:val="20"/>
          <w:szCs w:val="20"/>
          <w:lang w:eastAsia="hr-HR"/>
        </w:rPr>
      </w:pPr>
      <w:r w:rsidRPr="00936116">
        <w:rPr>
          <w:rFonts w:eastAsia="Calibri" w:cs="Arial"/>
          <w:sz w:val="20"/>
          <w:szCs w:val="20"/>
          <w:lang w:eastAsia="hr-HR"/>
        </w:rPr>
        <w:t xml:space="preserve">Količinski, prerada od 600,000 tona nije dovoljna za kontinuiran rad rafinerije, a povećanje kapaciteta prerade nafte, uzrokuje dodatne gubitke. Zbog neisplativosti prerade, sisačka rafinerija već nekoliko godina radi samo povremeno - primjerice ove godine radila je samo dva mjeseca, a prošle godine pet. Ovakav režim rada, kada je Rafinerija najveći dio vremena u stvari u hladnom pogonu, kontinuirano povećava troškove energije i održavanja, koji također nisu uzeti u obzir.  </w:t>
      </w:r>
    </w:p>
    <w:p w:rsidR="00936116" w:rsidRPr="00936116" w:rsidRDefault="00936116" w:rsidP="00936116">
      <w:pPr>
        <w:jc w:val="both"/>
        <w:rPr>
          <w:rFonts w:eastAsia="Calibri" w:cs="Arial"/>
          <w:sz w:val="20"/>
          <w:szCs w:val="20"/>
          <w:lang w:eastAsia="hr-HR"/>
        </w:rPr>
      </w:pPr>
    </w:p>
    <w:p w:rsidR="00936116" w:rsidRPr="00936116" w:rsidRDefault="00936116" w:rsidP="00936116">
      <w:pPr>
        <w:jc w:val="both"/>
        <w:rPr>
          <w:rFonts w:eastAsia="Calibri" w:cs="Arial"/>
          <w:sz w:val="20"/>
          <w:szCs w:val="20"/>
          <w:lang w:eastAsia="hr-HR"/>
        </w:rPr>
      </w:pPr>
      <w:r w:rsidRPr="00936116">
        <w:rPr>
          <w:rFonts w:eastAsia="Calibri" w:cs="Arial"/>
          <w:sz w:val="20"/>
          <w:szCs w:val="20"/>
          <w:lang w:eastAsia="hr-HR"/>
        </w:rPr>
        <w:t>Nadalje, rafinerijsko poslovanje potrebno je promatrati kao cjelinu koje pod ovakvim uvjetima poslovanja donosi značajne operativne gubitke od ukupno EBIT 8,5 milijardi kuna u protekle tri godine i prvoj polovici 2014. INA je proteklih godina uložila maksimalan napor kako bi smanjila gubitke svojih rafinerija s obzirom na uvjete na tržištu i višak kapaciteta na regionalnom i širem europskom tržištu. Tržišta Hrvatske, Slovenije, Srbije, Bosne i Hercegovine te Albanije su u 2013. imala čak 35% veće rafinerijske kapacitete od potražnje za naftnim derivatima. Uz to, INA se suočava s konkurentnim uvozom s obzirom da je više milijuna tona uvoznih kapaciteta dostupno s Mediteranskog tržišta.</w:t>
      </w:r>
    </w:p>
    <w:p w:rsidR="00936116" w:rsidRPr="00936116" w:rsidRDefault="00936116" w:rsidP="00936116">
      <w:pPr>
        <w:jc w:val="both"/>
        <w:rPr>
          <w:rFonts w:eastAsia="Calibri" w:cs="Arial"/>
          <w:sz w:val="20"/>
          <w:szCs w:val="20"/>
          <w:lang w:eastAsia="hr-HR"/>
        </w:rPr>
      </w:pPr>
    </w:p>
    <w:p w:rsidR="003A7A0B" w:rsidRPr="00936116" w:rsidRDefault="00936116" w:rsidP="00936116">
      <w:pPr>
        <w:jc w:val="both"/>
        <w:rPr>
          <w:rFonts w:cs="Arial"/>
          <w:sz w:val="20"/>
          <w:szCs w:val="20"/>
        </w:rPr>
      </w:pPr>
      <w:r w:rsidRPr="00936116">
        <w:rPr>
          <w:rFonts w:eastAsia="Calibri" w:cs="Arial"/>
          <w:sz w:val="20"/>
          <w:szCs w:val="20"/>
          <w:lang w:eastAsia="hr-HR"/>
        </w:rPr>
        <w:t>Unatoč brojnim mjerama poboljšanja učinkovitosti i optimizacije proizvodnje, negativni trend nije bilo moguće preokrenuti te je restrukturiranje rafinerijskog poslovanja ključno za Inu, kao i prerada nafte na onoj lokaciji koja ima potencijal za osiguranje dugoročno održivog rafinerijskog poslovanja. Možemo napomenuti i da su se slične analize i rasprave vodile i prije 16 godina, kada su tržišni uvjeti vezani za rafinerijsko poslovanje bili mnogo povoljniji. Čak su i tada analize ukazivale na važnost ekonomski održivog poslovanja cijele kompanije čiji je preduvjet bilo optimiziranje preradbenih kapaciteta Ininih rafinerija, posebice Siska.</w:t>
      </w:r>
    </w:p>
    <w:sectPr w:rsidR="003A7A0B" w:rsidRPr="00936116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9F" w:rsidRDefault="0072399F" w:rsidP="00C11370">
      <w:r>
        <w:separator/>
      </w:r>
    </w:p>
  </w:endnote>
  <w:endnote w:type="continuationSeparator" w:id="0">
    <w:p w:rsidR="0072399F" w:rsidRDefault="0072399F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C349C" wp14:editId="127B02A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C499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C499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C499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C499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Footer"/>
      <w:rPr>
        <w:sz w:val="2"/>
      </w:rPr>
    </w:pPr>
  </w:p>
  <w:p w:rsidR="003A7A0B" w:rsidRDefault="003A7A0B">
    <w:pPr>
      <w:pStyle w:val="Footer"/>
      <w:rPr>
        <w:sz w:val="2"/>
      </w:rPr>
    </w:pPr>
  </w:p>
  <w:p w:rsidR="003A7A0B" w:rsidRPr="000164F0" w:rsidRDefault="003A7A0B">
    <w:pPr>
      <w:pStyle w:val="Footer"/>
      <w:rPr>
        <w:sz w:val="8"/>
        <w:szCs w:val="8"/>
      </w:rPr>
    </w:pPr>
  </w:p>
  <w:p w:rsidR="003A7A0B" w:rsidRDefault="003A7A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A7A0B" w:rsidRDefault="003A7A0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A7A0B" w:rsidRPr="00473D9C" w:rsidRDefault="003A7A0B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A7A0B" w:rsidRPr="00473D9C" w:rsidRDefault="003A7A0B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A7A0B" w:rsidRPr="00126238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A7A0B" w:rsidRPr="00A17F18" w:rsidRDefault="003A7A0B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A7A0B" w:rsidRPr="00473D9C" w:rsidRDefault="003A7A0B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A7A0B" w:rsidRPr="00473D9C" w:rsidRDefault="003A7A0B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A7A0B" w:rsidRDefault="003A7A0B" w:rsidP="001C57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38E851C" wp14:editId="0D9536E0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7468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66EF97" wp14:editId="780240E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14AEA3" wp14:editId="017C6A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3611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3611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9F" w:rsidRDefault="0072399F" w:rsidP="00C11370">
      <w:r>
        <w:separator/>
      </w:r>
    </w:p>
  </w:footnote>
  <w:footnote w:type="continuationSeparator" w:id="0">
    <w:p w:rsidR="0072399F" w:rsidRDefault="0072399F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33204015" wp14:editId="77472A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9504" behindDoc="0" locked="0" layoutInCell="1" allowOverlap="1" wp14:anchorId="6EE8DDC1" wp14:editId="76902DD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0B" w:rsidRDefault="003A7A0B">
    <w:pPr>
      <w:pStyle w:val="Header"/>
      <w:jc w:val="right"/>
      <w:rPr>
        <w:sz w:val="2"/>
      </w:rPr>
    </w:pPr>
  </w:p>
  <w:p w:rsidR="003A7A0B" w:rsidRDefault="003A7A0B">
    <w:pPr>
      <w:pStyle w:val="Header"/>
      <w:jc w:val="right"/>
      <w:rPr>
        <w:sz w:val="2"/>
      </w:rPr>
    </w:pPr>
  </w:p>
  <w:p w:rsidR="003A7A0B" w:rsidRPr="0056798D" w:rsidRDefault="003A7A0B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D401A"/>
    <w:rsid w:val="001049F4"/>
    <w:rsid w:val="00107C4D"/>
    <w:rsid w:val="00135445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E7160"/>
    <w:rsid w:val="001F421D"/>
    <w:rsid w:val="00202B5C"/>
    <w:rsid w:val="00206203"/>
    <w:rsid w:val="00211556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18CB"/>
    <w:rsid w:val="00382E87"/>
    <w:rsid w:val="00387DB4"/>
    <w:rsid w:val="003A59EB"/>
    <w:rsid w:val="003A7A0B"/>
    <w:rsid w:val="003B0A1B"/>
    <w:rsid w:val="003B68EE"/>
    <w:rsid w:val="003C1D95"/>
    <w:rsid w:val="003C2046"/>
    <w:rsid w:val="003D4053"/>
    <w:rsid w:val="003F5393"/>
    <w:rsid w:val="00405654"/>
    <w:rsid w:val="00423727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4BF6"/>
    <w:rsid w:val="004F2BEA"/>
    <w:rsid w:val="00501508"/>
    <w:rsid w:val="0050393A"/>
    <w:rsid w:val="00520873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6027"/>
    <w:rsid w:val="00626A82"/>
    <w:rsid w:val="00627F2E"/>
    <w:rsid w:val="006304FE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2399F"/>
    <w:rsid w:val="00724A39"/>
    <w:rsid w:val="00733699"/>
    <w:rsid w:val="00737BE7"/>
    <w:rsid w:val="0075703C"/>
    <w:rsid w:val="00777BEB"/>
    <w:rsid w:val="00780806"/>
    <w:rsid w:val="0078091D"/>
    <w:rsid w:val="007812A6"/>
    <w:rsid w:val="0079099E"/>
    <w:rsid w:val="007A0EAE"/>
    <w:rsid w:val="007C499A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909"/>
    <w:rsid w:val="008F4F4D"/>
    <w:rsid w:val="008F5B6E"/>
    <w:rsid w:val="0091786C"/>
    <w:rsid w:val="00921DE1"/>
    <w:rsid w:val="00922812"/>
    <w:rsid w:val="00931AE9"/>
    <w:rsid w:val="00936116"/>
    <w:rsid w:val="00950644"/>
    <w:rsid w:val="0096259C"/>
    <w:rsid w:val="00963967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37E2"/>
    <w:rsid w:val="00A24260"/>
    <w:rsid w:val="00A435B3"/>
    <w:rsid w:val="00A51414"/>
    <w:rsid w:val="00A5302A"/>
    <w:rsid w:val="00A54CCE"/>
    <w:rsid w:val="00A60119"/>
    <w:rsid w:val="00AA6293"/>
    <w:rsid w:val="00AD2AD0"/>
    <w:rsid w:val="00AD47C0"/>
    <w:rsid w:val="00B0162E"/>
    <w:rsid w:val="00B01804"/>
    <w:rsid w:val="00B165C8"/>
    <w:rsid w:val="00B17298"/>
    <w:rsid w:val="00B224C1"/>
    <w:rsid w:val="00B32DD7"/>
    <w:rsid w:val="00B656C3"/>
    <w:rsid w:val="00B67C38"/>
    <w:rsid w:val="00B717A4"/>
    <w:rsid w:val="00B775FB"/>
    <w:rsid w:val="00B80EDB"/>
    <w:rsid w:val="00B83287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E0BEB"/>
    <w:rsid w:val="00EE2482"/>
    <w:rsid w:val="00EF6080"/>
    <w:rsid w:val="00F14874"/>
    <w:rsid w:val="00F27D43"/>
    <w:rsid w:val="00F363C1"/>
    <w:rsid w:val="00F374CD"/>
    <w:rsid w:val="00F45B30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CFE3-90E9-45D6-BF7B-6BD449C2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5</cp:revision>
  <dcterms:created xsi:type="dcterms:W3CDTF">2014-10-06T14:04:00Z</dcterms:created>
  <dcterms:modified xsi:type="dcterms:W3CDTF">2014-10-06T14:33:00Z</dcterms:modified>
</cp:coreProperties>
</file>