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1F0D1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843BF3" w:rsidRPr="0076546A" w:rsidRDefault="00843BF3" w:rsidP="00843BF3">
      <w:pPr>
        <w:tabs>
          <w:tab w:val="left" w:pos="8220"/>
        </w:tabs>
        <w:ind w:left="5664"/>
        <w:jc w:val="right"/>
        <w:rPr>
          <w:rFonts w:cs="Arial"/>
          <w:b/>
        </w:rPr>
        <w:sectPr w:rsidR="00843BF3" w:rsidRPr="0076546A" w:rsidSect="001F0D1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:rsidR="00843BF3" w:rsidRPr="0076546A" w:rsidRDefault="00843BF3" w:rsidP="00843BF3">
      <w:pPr>
        <w:jc w:val="both"/>
        <w:rPr>
          <w:rFonts w:cs="Arial"/>
          <w:sz w:val="20"/>
        </w:rPr>
        <w:sectPr w:rsidR="00843BF3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Pr="0076546A" w:rsidRDefault="00843BF3" w:rsidP="00843BF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843BF3" w:rsidRPr="0076546A" w:rsidSect="001F0D1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Default="00843BF3" w:rsidP="00843BF3">
      <w:pPr>
        <w:jc w:val="both"/>
        <w:rPr>
          <w:rFonts w:ascii="Open Sans" w:hAnsi="Open Sans"/>
          <w:color w:val="1C0D06"/>
        </w:rPr>
      </w:pPr>
    </w:p>
    <w:p w:rsidR="00843BF3" w:rsidRDefault="006E6515" w:rsidP="00843BF3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 </w:t>
      </w:r>
      <w:r w:rsidR="00292BC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Središnjem poslovnom objektu I</w:t>
      </w:r>
      <w:r w:rsidR="005526AC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ne</w:t>
      </w:r>
      <w:r w:rsidR="00292BC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 </w:t>
      </w:r>
      <w:r w:rsidR="0095558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Zagrebu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održana vježba evakuacije </w:t>
      </w:r>
      <w:r w:rsidR="0095558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i spašavanja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 slučaju </w:t>
      </w:r>
      <w:r w:rsidR="00292BC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razornog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potresa</w:t>
      </w:r>
    </w:p>
    <w:p w:rsidR="003E45F9" w:rsidRPr="006D4ADC" w:rsidRDefault="006D4ADC" w:rsidP="00781849">
      <w:pPr>
        <w:numPr>
          <w:ilvl w:val="0"/>
          <w:numId w:val="1"/>
        </w:numPr>
        <w:jc w:val="both"/>
        <w:rPr>
          <w:rFonts w:ascii="Calibri" w:hAnsi="Calibri"/>
        </w:rPr>
      </w:pPr>
      <w:r w:rsidRPr="006D4ADC">
        <w:rPr>
          <w:rFonts w:asciiTheme="minorHAnsi" w:hAnsiTheme="minorHAnsi" w:cs="Calibri"/>
          <w:b/>
          <w:sz w:val="24"/>
        </w:rPr>
        <w:t xml:space="preserve">U vježbi evakuacije </w:t>
      </w:r>
      <w:r w:rsidR="00955581">
        <w:rPr>
          <w:rFonts w:asciiTheme="minorHAnsi" w:hAnsiTheme="minorHAnsi" w:cs="Calibri"/>
          <w:b/>
          <w:sz w:val="24"/>
        </w:rPr>
        <w:t xml:space="preserve">i spašavanja </w:t>
      </w:r>
      <w:r w:rsidR="00292BC3">
        <w:rPr>
          <w:rFonts w:asciiTheme="minorHAnsi" w:hAnsiTheme="minorHAnsi" w:cs="Calibri"/>
          <w:b/>
          <w:sz w:val="24"/>
        </w:rPr>
        <w:t xml:space="preserve">sudjelovalo je </w:t>
      </w:r>
      <w:r w:rsidRPr="006D4ADC">
        <w:rPr>
          <w:rFonts w:asciiTheme="minorHAnsi" w:hAnsiTheme="minorHAnsi" w:cs="Calibri"/>
          <w:b/>
          <w:sz w:val="24"/>
        </w:rPr>
        <w:t xml:space="preserve">više </w:t>
      </w:r>
      <w:r w:rsidR="00292BC3">
        <w:rPr>
          <w:rFonts w:asciiTheme="minorHAnsi" w:hAnsiTheme="minorHAnsi" w:cs="Calibri"/>
          <w:b/>
          <w:sz w:val="24"/>
        </w:rPr>
        <w:t xml:space="preserve">od </w:t>
      </w:r>
      <w:r w:rsidRPr="006D4ADC">
        <w:rPr>
          <w:rFonts w:asciiTheme="minorHAnsi" w:hAnsiTheme="minorHAnsi" w:cs="Calibri"/>
          <w:b/>
          <w:sz w:val="24"/>
        </w:rPr>
        <w:t xml:space="preserve">1000 </w:t>
      </w:r>
      <w:r w:rsidR="00292BC3">
        <w:rPr>
          <w:rFonts w:asciiTheme="minorHAnsi" w:hAnsiTheme="minorHAnsi" w:cs="Calibri"/>
          <w:b/>
          <w:sz w:val="24"/>
        </w:rPr>
        <w:t xml:space="preserve">radnika Središnjeg poslovnog objekta predvođenih </w:t>
      </w:r>
      <w:r w:rsidR="00FF156E">
        <w:rPr>
          <w:rFonts w:asciiTheme="minorHAnsi" w:hAnsiTheme="minorHAnsi" w:cs="Calibri"/>
          <w:b/>
          <w:sz w:val="24"/>
        </w:rPr>
        <w:t>operativnim</w:t>
      </w:r>
      <w:r w:rsidR="00292BC3">
        <w:rPr>
          <w:rFonts w:asciiTheme="minorHAnsi" w:hAnsiTheme="minorHAnsi" w:cs="Calibri"/>
          <w:b/>
          <w:sz w:val="24"/>
        </w:rPr>
        <w:t xml:space="preserve"> timovima </w:t>
      </w:r>
      <w:r w:rsidR="00FF156E">
        <w:rPr>
          <w:rFonts w:asciiTheme="minorHAnsi" w:hAnsiTheme="minorHAnsi" w:cs="Calibri"/>
          <w:b/>
          <w:sz w:val="24"/>
        </w:rPr>
        <w:t>I</w:t>
      </w:r>
      <w:r w:rsidR="005526AC">
        <w:rPr>
          <w:rFonts w:asciiTheme="minorHAnsi" w:hAnsiTheme="minorHAnsi" w:cs="Calibri"/>
          <w:b/>
          <w:sz w:val="24"/>
        </w:rPr>
        <w:t>ne</w:t>
      </w:r>
      <w:r w:rsidR="00FF156E">
        <w:rPr>
          <w:rFonts w:asciiTheme="minorHAnsi" w:hAnsiTheme="minorHAnsi" w:cs="Calibri"/>
          <w:b/>
          <w:sz w:val="24"/>
        </w:rPr>
        <w:t xml:space="preserve"> </w:t>
      </w:r>
      <w:r w:rsidR="00292BC3">
        <w:rPr>
          <w:rFonts w:asciiTheme="minorHAnsi" w:hAnsiTheme="minorHAnsi" w:cs="Calibri"/>
          <w:b/>
          <w:sz w:val="24"/>
        </w:rPr>
        <w:t xml:space="preserve">zajedno sa specijalističkim </w:t>
      </w:r>
      <w:r w:rsidR="00FF156E">
        <w:rPr>
          <w:rFonts w:asciiTheme="minorHAnsi" w:hAnsiTheme="minorHAnsi" w:cs="Calibri"/>
          <w:b/>
          <w:sz w:val="24"/>
        </w:rPr>
        <w:t>snagama</w:t>
      </w:r>
      <w:r w:rsidR="00292BC3">
        <w:rPr>
          <w:rFonts w:asciiTheme="minorHAnsi" w:hAnsiTheme="minorHAnsi" w:cs="Calibri"/>
          <w:b/>
          <w:sz w:val="24"/>
        </w:rPr>
        <w:t xml:space="preserve"> za zaštitu i spašavanje </w:t>
      </w:r>
      <w:r w:rsidR="008A0692">
        <w:rPr>
          <w:rFonts w:asciiTheme="minorHAnsi" w:hAnsiTheme="minorHAnsi" w:cs="Calibri"/>
          <w:b/>
          <w:sz w:val="24"/>
        </w:rPr>
        <w:t xml:space="preserve">Grada Zagreba, </w:t>
      </w:r>
      <w:r w:rsidR="00292BC3">
        <w:rPr>
          <w:rFonts w:asciiTheme="minorHAnsi" w:hAnsiTheme="minorHAnsi" w:cs="Calibri"/>
          <w:b/>
          <w:sz w:val="24"/>
        </w:rPr>
        <w:t>s ciljem pripreme i uvježbavanja postupanja u slučaju kriznih situacija</w:t>
      </w:r>
    </w:p>
    <w:p w:rsidR="006D4ADC" w:rsidRPr="006D4ADC" w:rsidRDefault="006D4ADC" w:rsidP="006D4ADC">
      <w:pPr>
        <w:ind w:left="720"/>
        <w:jc w:val="both"/>
        <w:rPr>
          <w:rFonts w:ascii="Calibri" w:hAnsi="Calibri"/>
        </w:rPr>
      </w:pPr>
    </w:p>
    <w:p w:rsidR="001F0D1A" w:rsidRDefault="00701389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Zagreb, </w:t>
      </w:r>
      <w:r w:rsidR="006E6515">
        <w:rPr>
          <w:rFonts w:asciiTheme="minorHAnsi" w:eastAsia="Calibri" w:hAnsiTheme="minorHAnsi"/>
          <w:b/>
          <w:bCs/>
          <w:szCs w:val="22"/>
          <w:lang w:eastAsia="hr-HR"/>
        </w:rPr>
        <w:t>30.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0A7D25">
        <w:rPr>
          <w:rFonts w:asciiTheme="minorHAnsi" w:eastAsia="Calibri" w:hAnsiTheme="minorHAnsi"/>
          <w:b/>
          <w:bCs/>
          <w:szCs w:val="22"/>
          <w:lang w:eastAsia="hr-HR"/>
        </w:rPr>
        <w:t xml:space="preserve">studenog </w:t>
      </w:r>
      <w:r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Pr="00802B81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>Danas je</w:t>
      </w:r>
      <w:r w:rsidR="009C033A">
        <w:rPr>
          <w:rFonts w:asciiTheme="minorHAnsi" w:eastAsia="Calibri" w:hAnsiTheme="minorHAnsi"/>
          <w:b/>
          <w:szCs w:val="22"/>
          <w:lang w:eastAsia="hr-HR"/>
        </w:rPr>
        <w:t xml:space="preserve"> u Ininoj upravnoj zgradi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 xml:space="preserve"> održana 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vježba evakuacije </w:t>
      </w:r>
      <w:r w:rsidR="00292BC3">
        <w:rPr>
          <w:rFonts w:asciiTheme="minorHAnsi" w:eastAsia="Calibri" w:hAnsiTheme="minorHAnsi"/>
          <w:b/>
          <w:szCs w:val="22"/>
          <w:lang w:eastAsia="hr-HR"/>
        </w:rPr>
        <w:t xml:space="preserve">i spašavanja 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u slučaju razornog potresa. U simulaciji </w:t>
      </w:r>
      <w:r w:rsidR="00292BC3">
        <w:rPr>
          <w:rFonts w:asciiTheme="minorHAnsi" w:eastAsia="Calibri" w:hAnsiTheme="minorHAnsi"/>
          <w:b/>
          <w:szCs w:val="22"/>
          <w:lang w:eastAsia="hr-HR"/>
        </w:rPr>
        <w:t xml:space="preserve">razornog 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potresa koji je pogodio šire područje </w:t>
      </w:r>
      <w:r w:rsidR="00292BC3">
        <w:rPr>
          <w:rFonts w:asciiTheme="minorHAnsi" w:eastAsia="Calibri" w:hAnsiTheme="minorHAnsi"/>
          <w:b/>
          <w:szCs w:val="22"/>
          <w:lang w:eastAsia="hr-HR"/>
        </w:rPr>
        <w:t xml:space="preserve">Grada 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Zagreba, u Ininoj Upravnoj zgradi nalazilo se oko 1000 </w:t>
      </w:r>
      <w:r w:rsidR="00292BC3">
        <w:rPr>
          <w:rFonts w:asciiTheme="minorHAnsi" w:eastAsia="Calibri" w:hAnsiTheme="minorHAnsi"/>
          <w:b/>
          <w:szCs w:val="22"/>
          <w:lang w:eastAsia="hr-HR"/>
        </w:rPr>
        <w:t xml:space="preserve">radnika i posjetitelja </w:t>
      </w:r>
      <w:r w:rsidR="001F0D1A">
        <w:rPr>
          <w:rFonts w:asciiTheme="minorHAnsi" w:eastAsia="Calibri" w:hAnsiTheme="minorHAnsi"/>
          <w:b/>
          <w:szCs w:val="22"/>
          <w:lang w:eastAsia="hr-HR"/>
        </w:rPr>
        <w:t>te je kao posljedica potresa došlo do oštećenja objekta</w:t>
      </w:r>
      <w:r w:rsidR="00C73FAE">
        <w:rPr>
          <w:rFonts w:asciiTheme="minorHAnsi" w:eastAsia="Calibri" w:hAnsiTheme="minorHAnsi"/>
          <w:b/>
          <w:szCs w:val="22"/>
          <w:lang w:eastAsia="hr-HR"/>
        </w:rPr>
        <w:t>,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 urušavanja vanjskog stepeništa</w:t>
      </w:r>
      <w:r w:rsidR="00C73FAE">
        <w:rPr>
          <w:rFonts w:asciiTheme="minorHAnsi" w:eastAsia="Calibri" w:hAnsiTheme="minorHAnsi"/>
          <w:b/>
          <w:szCs w:val="22"/>
          <w:lang w:eastAsia="hr-HR"/>
        </w:rPr>
        <w:t xml:space="preserve"> i </w:t>
      </w:r>
      <w:r w:rsidR="007C6848">
        <w:rPr>
          <w:rFonts w:asciiTheme="minorHAnsi" w:eastAsia="Calibri" w:hAnsiTheme="minorHAnsi"/>
          <w:b/>
          <w:szCs w:val="22"/>
          <w:lang w:eastAsia="hr-HR"/>
        </w:rPr>
        <w:t xml:space="preserve">manjeg </w:t>
      </w:r>
      <w:r w:rsidR="00C73FAE">
        <w:rPr>
          <w:rFonts w:asciiTheme="minorHAnsi" w:eastAsia="Calibri" w:hAnsiTheme="minorHAnsi"/>
          <w:b/>
          <w:szCs w:val="22"/>
          <w:lang w:eastAsia="hr-HR"/>
        </w:rPr>
        <w:t>požara na krovu zgrade.</w:t>
      </w:r>
      <w:r w:rsidR="001F0D1A">
        <w:rPr>
          <w:rFonts w:asciiTheme="minorHAnsi" w:eastAsia="Calibri" w:hAnsiTheme="minorHAnsi"/>
          <w:b/>
          <w:szCs w:val="22"/>
          <w:lang w:eastAsia="hr-HR"/>
        </w:rPr>
        <w:t xml:space="preserve"> </w:t>
      </w:r>
    </w:p>
    <w:p w:rsidR="00774BC8" w:rsidRDefault="00774BC8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B940DB" w:rsidRPr="00B940DB" w:rsidRDefault="00B940DB" w:rsidP="00B940DB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B940DB">
        <w:rPr>
          <w:rFonts w:asciiTheme="minorHAnsi" w:eastAsia="Calibri" w:hAnsiTheme="minorHAnsi"/>
          <w:szCs w:val="22"/>
          <w:lang w:eastAsia="hr-HR"/>
        </w:rPr>
        <w:t>U vježbi evakuacije sudjelovao je Inin operativni stožer</w:t>
      </w:r>
      <w:r w:rsidR="007835F0">
        <w:rPr>
          <w:rFonts w:asciiTheme="minorHAnsi" w:eastAsia="Calibri" w:hAnsiTheme="minorHAnsi"/>
          <w:szCs w:val="22"/>
          <w:lang w:eastAsia="hr-HR"/>
        </w:rPr>
        <w:t xml:space="preserve"> i </w:t>
      </w:r>
      <w:r w:rsidRPr="00B940DB">
        <w:rPr>
          <w:rFonts w:asciiTheme="minorHAnsi" w:eastAsia="Calibri" w:hAnsiTheme="minorHAnsi"/>
          <w:szCs w:val="22"/>
          <w:lang w:eastAsia="hr-HR"/>
        </w:rPr>
        <w:t xml:space="preserve">timovi za evakuaciju </w:t>
      </w:r>
      <w:r w:rsidR="007C6848">
        <w:rPr>
          <w:rFonts w:asciiTheme="minorHAnsi" w:eastAsia="Calibri" w:hAnsiTheme="minorHAnsi"/>
          <w:szCs w:val="22"/>
          <w:lang w:eastAsia="hr-HR"/>
        </w:rPr>
        <w:t>S</w:t>
      </w:r>
      <w:r w:rsidR="007C6848" w:rsidRPr="00B940DB">
        <w:rPr>
          <w:rFonts w:asciiTheme="minorHAnsi" w:eastAsia="Calibri" w:hAnsiTheme="minorHAnsi"/>
          <w:szCs w:val="22"/>
          <w:lang w:eastAsia="hr-HR"/>
        </w:rPr>
        <w:t xml:space="preserve">redišnjeg </w:t>
      </w:r>
      <w:r w:rsidRPr="00B940DB">
        <w:rPr>
          <w:rFonts w:asciiTheme="minorHAnsi" w:eastAsia="Calibri" w:hAnsiTheme="minorHAnsi"/>
          <w:szCs w:val="22"/>
          <w:lang w:eastAsia="hr-HR"/>
        </w:rPr>
        <w:t>poslovnog objekta te dežurni profesionalni vatrogasci vatrogasne postrojbe Žitnjak</w:t>
      </w:r>
      <w:r>
        <w:rPr>
          <w:rFonts w:asciiTheme="minorHAnsi" w:eastAsia="Calibri" w:hAnsiTheme="minorHAnsi"/>
          <w:szCs w:val="22"/>
          <w:lang w:eastAsia="hr-HR"/>
        </w:rPr>
        <w:t xml:space="preserve">, </w:t>
      </w:r>
      <w:r w:rsidRPr="00B940DB">
        <w:rPr>
          <w:rFonts w:asciiTheme="minorHAnsi" w:eastAsia="Calibri" w:hAnsiTheme="minorHAnsi"/>
          <w:szCs w:val="22"/>
          <w:lang w:eastAsia="hr-HR"/>
        </w:rPr>
        <w:t>Ured za upravljanje u hitnim situacijama Grada Zagreba, Hrvatska udruga z</w:t>
      </w:r>
      <w:r w:rsidR="002877F8">
        <w:rPr>
          <w:rFonts w:asciiTheme="minorHAnsi" w:eastAsia="Calibri" w:hAnsiTheme="minorHAnsi"/>
          <w:szCs w:val="22"/>
          <w:lang w:eastAsia="hr-HR"/>
        </w:rPr>
        <w:t>a</w:t>
      </w:r>
      <w:r w:rsidRPr="00B940DB">
        <w:rPr>
          <w:rFonts w:asciiTheme="minorHAnsi" w:eastAsia="Calibri" w:hAnsiTheme="minorHAnsi"/>
          <w:szCs w:val="22"/>
          <w:lang w:eastAsia="hr-HR"/>
        </w:rPr>
        <w:t xml:space="preserve"> obuku potražnih pasa, Specijalistička postrojba civilne zaštite Grada Zagreb</w:t>
      </w:r>
      <w:r w:rsidR="006D4ADC">
        <w:rPr>
          <w:rFonts w:asciiTheme="minorHAnsi" w:eastAsia="Calibri" w:hAnsiTheme="minorHAnsi"/>
          <w:szCs w:val="22"/>
          <w:lang w:eastAsia="hr-HR"/>
        </w:rPr>
        <w:t>a, J</w:t>
      </w:r>
      <w:r w:rsidR="005526AC">
        <w:rPr>
          <w:rFonts w:asciiTheme="minorHAnsi" w:eastAsia="Calibri" w:hAnsiTheme="minorHAnsi"/>
          <w:szCs w:val="22"/>
          <w:lang w:eastAsia="hr-HR"/>
        </w:rPr>
        <w:t>avna vatrogasna postrojba</w:t>
      </w:r>
      <w:r w:rsidR="006D4ADC">
        <w:rPr>
          <w:rFonts w:asciiTheme="minorHAnsi" w:eastAsia="Calibri" w:hAnsiTheme="minorHAnsi"/>
          <w:szCs w:val="22"/>
          <w:lang w:eastAsia="hr-HR"/>
        </w:rPr>
        <w:t xml:space="preserve"> Grada Zagreba, Gradsko društvo Crvenog križa Zagreb, Ministarstvo unutarnjih poslova – PU Zagrebačka, Nastavni zavod za hitnu medicinu Grada Zagreba i ovlaštene osobe </w:t>
      </w:r>
      <w:r w:rsidR="005526AC">
        <w:rPr>
          <w:rFonts w:asciiTheme="minorHAnsi" w:eastAsia="Calibri" w:hAnsiTheme="minorHAnsi"/>
          <w:szCs w:val="22"/>
          <w:lang w:eastAsia="hr-HR"/>
        </w:rPr>
        <w:t>Ine</w:t>
      </w:r>
      <w:r w:rsidR="006D4ADC">
        <w:rPr>
          <w:rFonts w:asciiTheme="minorHAnsi" w:eastAsia="Calibri" w:hAnsiTheme="minorHAnsi"/>
          <w:szCs w:val="22"/>
          <w:lang w:eastAsia="hr-HR"/>
        </w:rPr>
        <w:t xml:space="preserve">. </w:t>
      </w:r>
    </w:p>
    <w:p w:rsidR="00B940DB" w:rsidRPr="007E452C" w:rsidRDefault="00B940DB" w:rsidP="007E452C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FF156E" w:rsidRDefault="006D4ADC" w:rsidP="005526AC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Direktorica </w:t>
      </w:r>
      <w:r w:rsidR="008A0692">
        <w:rPr>
          <w:rFonts w:asciiTheme="minorHAnsi" w:eastAsia="Calibri" w:hAnsiTheme="minorHAnsi"/>
          <w:szCs w:val="22"/>
          <w:lang w:eastAsia="hr-HR"/>
        </w:rPr>
        <w:t>O</w:t>
      </w:r>
      <w:r w:rsidR="00781849">
        <w:rPr>
          <w:rFonts w:asciiTheme="minorHAnsi" w:eastAsia="Calibri" w:hAnsiTheme="minorHAnsi"/>
          <w:szCs w:val="22"/>
          <w:lang w:eastAsia="hr-HR"/>
        </w:rPr>
        <w:t xml:space="preserve">drživog razvoja i zaštite zdravlja sigurnosti i okoliša Angelika Brnada izjavila je: </w:t>
      </w:r>
      <w:r w:rsidR="005526AC" w:rsidRPr="005526AC">
        <w:rPr>
          <w:rFonts w:asciiTheme="minorHAnsi" w:eastAsia="Calibri" w:hAnsiTheme="minorHAnsi"/>
          <w:i/>
          <w:szCs w:val="22"/>
          <w:lang w:eastAsia="hr-HR"/>
        </w:rPr>
        <w:t>„</w:t>
      </w:r>
      <w:r w:rsidR="007835F0" w:rsidRPr="005526AC">
        <w:rPr>
          <w:rFonts w:asciiTheme="minorHAnsi" w:eastAsia="Calibri" w:hAnsiTheme="minorHAnsi"/>
          <w:i/>
          <w:szCs w:val="22"/>
          <w:lang w:eastAsia="hr-HR"/>
        </w:rPr>
        <w:t>Budući da je Grad Zagreb smješten na izrazito seizmički aktivnom području, inicijativom operativnog tima središnjeg poslovnog objekta</w:t>
      </w:r>
      <w:r w:rsidR="005526AC">
        <w:rPr>
          <w:rFonts w:asciiTheme="minorHAnsi" w:eastAsia="Calibri" w:hAnsiTheme="minorHAnsi"/>
          <w:i/>
          <w:szCs w:val="22"/>
          <w:lang w:eastAsia="hr-HR"/>
        </w:rPr>
        <w:t xml:space="preserve"> Ine</w:t>
      </w:r>
      <w:r w:rsidR="007835F0" w:rsidRPr="005526AC">
        <w:rPr>
          <w:rFonts w:asciiTheme="minorHAnsi" w:eastAsia="Calibri" w:hAnsiTheme="minorHAnsi"/>
          <w:i/>
          <w:szCs w:val="22"/>
          <w:lang w:eastAsia="hr-HR"/>
        </w:rPr>
        <w:t xml:space="preserve"> danas je 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>prove</w:t>
      </w:r>
      <w:r w:rsidR="007835F0" w:rsidRPr="005526AC">
        <w:rPr>
          <w:rFonts w:asciiTheme="minorHAnsi" w:eastAsia="Calibri" w:hAnsiTheme="minorHAnsi"/>
          <w:i/>
          <w:szCs w:val="22"/>
          <w:lang w:eastAsia="hr-HR"/>
        </w:rPr>
        <w:t>dena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 xml:space="preserve"> vježb</w:t>
      </w:r>
      <w:r w:rsidR="007835F0" w:rsidRPr="005526AC">
        <w:rPr>
          <w:rFonts w:asciiTheme="minorHAnsi" w:eastAsia="Calibri" w:hAnsiTheme="minorHAnsi"/>
          <w:i/>
          <w:szCs w:val="22"/>
          <w:lang w:eastAsia="hr-HR"/>
        </w:rPr>
        <w:t>a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7C6848" w:rsidRPr="005526AC">
        <w:rPr>
          <w:rFonts w:asciiTheme="minorHAnsi" w:eastAsia="Calibri" w:hAnsiTheme="minorHAnsi"/>
          <w:i/>
          <w:szCs w:val="22"/>
          <w:lang w:eastAsia="hr-HR"/>
        </w:rPr>
        <w:t xml:space="preserve">evakuacije i </w:t>
      </w:r>
      <w:r w:rsidR="00781849" w:rsidRPr="005526AC">
        <w:rPr>
          <w:rFonts w:asciiTheme="minorHAnsi" w:eastAsia="Calibri" w:hAnsiTheme="minorHAnsi"/>
          <w:i/>
          <w:szCs w:val="22"/>
          <w:lang w:eastAsia="hr-HR"/>
        </w:rPr>
        <w:t xml:space="preserve">spašavanja 1000 </w:t>
      </w:r>
      <w:r w:rsidR="007835F0" w:rsidRPr="005526AC">
        <w:rPr>
          <w:rFonts w:asciiTheme="minorHAnsi" w:eastAsia="Calibri" w:hAnsiTheme="minorHAnsi"/>
          <w:i/>
          <w:szCs w:val="22"/>
          <w:lang w:eastAsia="hr-HR"/>
        </w:rPr>
        <w:t xml:space="preserve">radnika 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 xml:space="preserve">na temelju pretpostavljene situacije razornog </w:t>
      </w:r>
      <w:r w:rsidR="00781849" w:rsidRPr="005526AC">
        <w:rPr>
          <w:rFonts w:asciiTheme="minorHAnsi" w:eastAsia="Calibri" w:hAnsiTheme="minorHAnsi"/>
          <w:i/>
          <w:szCs w:val="22"/>
          <w:lang w:eastAsia="hr-HR"/>
        </w:rPr>
        <w:t xml:space="preserve"> potresa 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>na  području Grada</w:t>
      </w:r>
      <w:r w:rsidR="00781849" w:rsidRPr="005526AC">
        <w:rPr>
          <w:rFonts w:asciiTheme="minorHAnsi" w:eastAsia="Calibri" w:hAnsiTheme="minorHAnsi"/>
          <w:i/>
          <w:szCs w:val="22"/>
          <w:lang w:eastAsia="hr-HR"/>
        </w:rPr>
        <w:t xml:space="preserve"> Zagreb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>a</w:t>
      </w:r>
      <w:r w:rsidR="00781849" w:rsidRPr="005526AC">
        <w:rPr>
          <w:rFonts w:asciiTheme="minorHAnsi" w:eastAsia="Calibri" w:hAnsiTheme="minorHAnsi"/>
          <w:i/>
          <w:szCs w:val="22"/>
          <w:lang w:eastAsia="hr-HR"/>
        </w:rPr>
        <w:t xml:space="preserve">. </w:t>
      </w:r>
      <w:r w:rsidR="00FF156E" w:rsidRPr="005526AC">
        <w:rPr>
          <w:rFonts w:asciiTheme="minorHAnsi" w:eastAsia="Calibri" w:hAnsiTheme="minorHAnsi"/>
          <w:i/>
          <w:szCs w:val="22"/>
          <w:lang w:eastAsia="hr-HR"/>
        </w:rPr>
        <w:t>Ovakva kompleksna vježba imala je za cilj utvrditi organiziranost, uvježbanost te provjeru koordiniranosti svih sudionika u uvjetima velikih nesreća, kao i podizanje razine educiranosti i spremnosti postupanja radnika u slučaju iznenadnog događaja.</w:t>
      </w:r>
      <w:r w:rsidR="005526AC" w:rsidRPr="005526AC">
        <w:rPr>
          <w:rFonts w:asciiTheme="minorHAnsi" w:eastAsia="Calibri" w:hAnsiTheme="minorHAnsi"/>
          <w:i/>
          <w:szCs w:val="22"/>
          <w:lang w:eastAsia="hr-HR"/>
        </w:rPr>
        <w:t>“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 </w:t>
      </w:r>
    </w:p>
    <w:p w:rsidR="005526AC" w:rsidRPr="005526AC" w:rsidRDefault="005526AC" w:rsidP="005526AC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7E452C" w:rsidRDefault="00781849" w:rsidP="007E452C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5526AC">
        <w:rPr>
          <w:rFonts w:asciiTheme="minorHAnsi" w:eastAsia="Calibri" w:hAnsiTheme="minorHAnsi"/>
          <w:szCs w:val="22"/>
          <w:lang w:eastAsia="hr-HR"/>
        </w:rPr>
        <w:t>Uz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 suradnju sa </w:t>
      </w:r>
      <w:r w:rsidRPr="005526AC">
        <w:rPr>
          <w:rFonts w:asciiTheme="minorHAnsi" w:eastAsia="Calibri" w:hAnsiTheme="minorHAnsi"/>
          <w:szCs w:val="22"/>
          <w:lang w:eastAsia="hr-HR"/>
        </w:rPr>
        <w:t xml:space="preserve"> 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stručnim </w:t>
      </w:r>
      <w:r w:rsidRPr="005526AC">
        <w:rPr>
          <w:rFonts w:asciiTheme="minorHAnsi" w:eastAsia="Calibri" w:hAnsiTheme="minorHAnsi"/>
          <w:szCs w:val="22"/>
          <w:lang w:eastAsia="hr-HR"/>
        </w:rPr>
        <w:t>ekipa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>ma</w:t>
      </w:r>
      <w:r w:rsidRPr="005526AC">
        <w:rPr>
          <w:rFonts w:asciiTheme="minorHAnsi" w:eastAsia="Calibri" w:hAnsiTheme="minorHAnsi"/>
          <w:szCs w:val="22"/>
          <w:lang w:eastAsia="hr-HR"/>
        </w:rPr>
        <w:t xml:space="preserve"> 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obučenim </w:t>
      </w:r>
      <w:r w:rsidRPr="005526AC">
        <w:rPr>
          <w:rFonts w:asciiTheme="minorHAnsi" w:eastAsia="Calibri" w:hAnsiTheme="minorHAnsi"/>
          <w:szCs w:val="22"/>
          <w:lang w:eastAsia="hr-HR"/>
        </w:rPr>
        <w:t xml:space="preserve">za 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postupke evakuacije i spašavanja te pružanja prve </w:t>
      </w:r>
      <w:r w:rsidRPr="005526AC">
        <w:rPr>
          <w:rFonts w:asciiTheme="minorHAnsi" w:eastAsia="Calibri" w:hAnsiTheme="minorHAnsi"/>
          <w:szCs w:val="22"/>
          <w:lang w:eastAsia="hr-HR"/>
        </w:rPr>
        <w:t xml:space="preserve">pomoći, vježba je uspješno </w:t>
      </w:r>
      <w:r w:rsidR="00FF156E" w:rsidRPr="005526AC">
        <w:rPr>
          <w:rFonts w:asciiTheme="minorHAnsi" w:eastAsia="Calibri" w:hAnsiTheme="minorHAnsi"/>
          <w:szCs w:val="22"/>
          <w:lang w:eastAsia="hr-HR"/>
        </w:rPr>
        <w:t xml:space="preserve">provedena. </w:t>
      </w:r>
    </w:p>
    <w:p w:rsidR="00C73FAE" w:rsidRPr="005526AC" w:rsidRDefault="00C73FAE" w:rsidP="005526AC">
      <w:pPr>
        <w:jc w:val="both"/>
        <w:rPr>
          <w:rFonts w:asciiTheme="minorHAnsi" w:eastAsia="Calibri" w:hAnsiTheme="minorHAnsi"/>
          <w:szCs w:val="22"/>
          <w:lang w:eastAsia="hr-HR"/>
        </w:rPr>
      </w:pPr>
      <w:bookmarkStart w:id="0" w:name="_GoBack"/>
      <w:bookmarkEnd w:id="0"/>
    </w:p>
    <w:p w:rsidR="00C73FAE" w:rsidRDefault="00C73FAE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3A71D9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1F0D1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AF" w:rsidRDefault="00852AAF">
      <w:r>
        <w:separator/>
      </w:r>
    </w:p>
  </w:endnote>
  <w:endnote w:type="continuationSeparator" w:id="0">
    <w:p w:rsidR="00852AAF" w:rsidRDefault="008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 w:rsidP="001F0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849" w:rsidRDefault="00781849" w:rsidP="001F0D1A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Footer"/>
    </w:pPr>
  </w:p>
  <w:p w:rsidR="00781849" w:rsidRDefault="0078184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Footer"/>
      <w:rPr>
        <w:sz w:val="2"/>
      </w:rPr>
    </w:pPr>
  </w:p>
  <w:p w:rsidR="00781849" w:rsidRDefault="0078184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8C866D0" wp14:editId="2B1CFA1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D9D71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781849" w:rsidRPr="000164F0" w:rsidRDefault="00781849">
    <w:pPr>
      <w:pStyle w:val="Footer"/>
      <w:rPr>
        <w:sz w:val="8"/>
        <w:szCs w:val="8"/>
      </w:rPr>
    </w:pPr>
  </w:p>
  <w:p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976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976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81849" w:rsidRDefault="00781849">
    <w:pPr>
      <w:pStyle w:val="Footer"/>
      <w:rPr>
        <w:sz w:val="6"/>
      </w:rPr>
    </w:pPr>
  </w:p>
  <w:p w:rsidR="00781849" w:rsidRDefault="0078184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Pr="00BE07FB" w:rsidRDefault="0078184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293CE" wp14:editId="0ADD04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F328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781849" w:rsidRPr="00BE07FB" w:rsidRDefault="0078184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781849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781849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</w:p>
      </w:tc>
    </w:tr>
    <w:tr w:rsidR="00781849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</w:p>
      </w:tc>
    </w:tr>
  </w:tbl>
  <w:p w:rsidR="00781849" w:rsidRPr="00BE07FB" w:rsidRDefault="00781849">
    <w:pPr>
      <w:rPr>
        <w:sz w:val="2"/>
        <w:szCs w:val="2"/>
      </w:rPr>
    </w:pPr>
  </w:p>
  <w:p w:rsidR="00781849" w:rsidRPr="00B976E5" w:rsidRDefault="00781849" w:rsidP="001F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 w:rsidP="001F0D1A">
    <w:pPr>
      <w:pStyle w:val="Footer"/>
      <w:ind w:right="360"/>
      <w:rPr>
        <w:sz w:val="2"/>
      </w:rPr>
    </w:pPr>
  </w:p>
  <w:p w:rsidR="00781849" w:rsidRDefault="00781849">
    <w:pPr>
      <w:pStyle w:val="Footer"/>
      <w:rPr>
        <w:sz w:val="2"/>
      </w:rPr>
    </w:pPr>
  </w:p>
  <w:p w:rsidR="00781849" w:rsidRDefault="00781849" w:rsidP="001F0D1A">
    <w:pPr>
      <w:pStyle w:val="Footer"/>
      <w:ind w:right="360"/>
      <w:rPr>
        <w:sz w:val="2"/>
      </w:rPr>
    </w:pPr>
  </w:p>
  <w:p w:rsidR="00781849" w:rsidRDefault="00781849" w:rsidP="001F0D1A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781849" w:rsidRPr="00374688" w:rsidTr="001F0D1A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781849" w:rsidRPr="00374688" w:rsidRDefault="00781849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781849" w:rsidRDefault="00781849" w:rsidP="001F0D1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81849" w:rsidRPr="00374688" w:rsidTr="001F0D1A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781849" w:rsidRPr="00374688" w:rsidRDefault="0078184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781849" w:rsidRPr="00374688" w:rsidRDefault="0078184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52AAF">
            <w:fldChar w:fldCharType="begin"/>
          </w:r>
          <w:r w:rsidR="00852AAF">
            <w:instrText xml:space="preserve"> NUMPAGES   \* MERGEFORMAT </w:instrText>
          </w:r>
          <w:r w:rsidR="00852AAF">
            <w:fldChar w:fldCharType="separate"/>
          </w:r>
          <w:r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852AA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81849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781849" w:rsidRPr="00374688" w:rsidRDefault="0078184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849" w:rsidRPr="00374688" w:rsidRDefault="0078184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781849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781849" w:rsidRPr="00374688" w:rsidRDefault="0078184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781849" w:rsidRPr="00374688" w:rsidRDefault="00781849" w:rsidP="001F0D1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52AAF">
            <w:fldChar w:fldCharType="begin"/>
          </w:r>
          <w:r w:rsidR="00852AAF">
            <w:instrText xml:space="preserve"> NUMPAGES   \* MERGEFORMAT </w:instrText>
          </w:r>
          <w:r w:rsidR="00852AAF">
            <w:fldChar w:fldCharType="separate"/>
          </w:r>
          <w:r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852AAF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781849" w:rsidRDefault="0078184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 w:rsidTr="001F0D1A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 w:rsidTr="001F0D1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81849" w:rsidRPr="00E22D6A" w:rsidRDefault="00781849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81849" w:rsidRPr="00126238" w:rsidRDefault="00781849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81849" w:rsidRPr="00CD53EE" w:rsidRDefault="00781849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E938AF" w:rsidRDefault="00781849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E938AF" w:rsidRDefault="00781849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E938AF" w:rsidRDefault="00781849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81849" w:rsidRPr="00126238" w:rsidRDefault="00781849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81849" w:rsidRPr="00126238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81849" w:rsidRDefault="00781849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781849" w:rsidRPr="00721675" w:rsidRDefault="00781849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81849" w:rsidRPr="00CD53EE" w:rsidTr="001F0D1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CD53EE" w:rsidRDefault="00781849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781849" w:rsidRPr="00AC0994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781849" w:rsidRPr="00AC0994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81849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E938AF" w:rsidRDefault="00781849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781849" w:rsidRPr="00AC0994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781849" w:rsidRPr="00126238" w:rsidRDefault="00781849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81849" w:rsidRPr="00CD53EE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 w:rsidTr="001F0D1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81849" w:rsidRPr="00A17F18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81849" w:rsidRPr="00A17F18" w:rsidRDefault="00781849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781849" w:rsidRPr="009E4E6F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81849" w:rsidRPr="00CD53EE" w:rsidRDefault="00781849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CD53EE" w:rsidRDefault="00781849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81849" w:rsidRPr="00CD53EE" w:rsidRDefault="00781849" w:rsidP="00B622A1">
          <w:pPr>
            <w:pStyle w:val="Footer"/>
            <w:rPr>
              <w:sz w:val="11"/>
              <w:szCs w:val="11"/>
            </w:rPr>
          </w:pPr>
        </w:p>
      </w:tc>
    </w:tr>
    <w:tr w:rsidR="00781849" w:rsidRPr="00CD53EE" w:rsidTr="001F0D1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81849" w:rsidRPr="00CD53EE" w:rsidRDefault="00781849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81849" w:rsidRDefault="00781849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81849" w:rsidRPr="00374688" w:rsidTr="001F0D1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81849" w:rsidRPr="00374688" w:rsidRDefault="00781849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81849" w:rsidRPr="00374688" w:rsidRDefault="00781849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76F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52AAF">
            <w:fldChar w:fldCharType="begin"/>
          </w:r>
          <w:r w:rsidR="00852AAF">
            <w:instrText xml:space="preserve"> NUMPAGES   \* MERGEFORMAT </w:instrText>
          </w:r>
          <w:r w:rsidR="00852AAF">
            <w:fldChar w:fldCharType="separate"/>
          </w:r>
          <w:r w:rsidR="000976FC" w:rsidRPr="000976FC">
            <w:rPr>
              <w:rFonts w:cs="Arial"/>
              <w:noProof/>
              <w:vanish/>
              <w:sz w:val="11"/>
              <w:szCs w:val="11"/>
            </w:rPr>
            <w:t>2</w:t>
          </w:r>
          <w:r w:rsidR="00852AA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81849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81849" w:rsidRPr="00374688" w:rsidRDefault="00781849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81849" w:rsidRPr="00374688" w:rsidTr="001F0D1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81849" w:rsidRPr="00374688" w:rsidRDefault="00781849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81849" w:rsidRPr="00374688" w:rsidRDefault="00781849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976F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52AAF">
            <w:fldChar w:fldCharType="begin"/>
          </w:r>
          <w:r w:rsidR="00852AAF">
            <w:instrText xml:space="preserve"> NUMPAGES   \* MERGEFORMAT </w:instrText>
          </w:r>
          <w:r w:rsidR="00852AAF">
            <w:fldChar w:fldCharType="separate"/>
          </w:r>
          <w:r w:rsidR="000976FC" w:rsidRPr="000976FC">
            <w:rPr>
              <w:rFonts w:cs="Arial"/>
              <w:noProof/>
              <w:vanish/>
              <w:sz w:val="11"/>
              <w:szCs w:val="11"/>
            </w:rPr>
            <w:t>2</w:t>
          </w:r>
          <w:r w:rsidR="00852AA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81849" w:rsidRPr="00B622A1" w:rsidRDefault="00781849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Footer"/>
      <w:rPr>
        <w:sz w:val="2"/>
      </w:rPr>
    </w:pPr>
  </w:p>
  <w:p w:rsidR="00781849" w:rsidRDefault="00781849">
    <w:pPr>
      <w:pStyle w:val="Footer"/>
      <w:rPr>
        <w:sz w:val="2"/>
      </w:rPr>
    </w:pPr>
  </w:p>
  <w:p w:rsidR="00781849" w:rsidRPr="000164F0" w:rsidRDefault="00781849">
    <w:pPr>
      <w:pStyle w:val="Footer"/>
      <w:rPr>
        <w:sz w:val="8"/>
        <w:szCs w:val="8"/>
      </w:rPr>
    </w:pPr>
  </w:p>
  <w:p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81849" w:rsidRDefault="0078184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81849" w:rsidRPr="00473D9C" w:rsidRDefault="00781849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81849" w:rsidRPr="00473D9C" w:rsidRDefault="00781849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81849" w:rsidRPr="00126238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781849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81849" w:rsidRPr="00A17F18" w:rsidRDefault="00781849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81849" w:rsidRPr="00473D9C" w:rsidRDefault="00781849" w:rsidP="001F0D1A">
          <w:pPr>
            <w:pStyle w:val="Footer"/>
            <w:rPr>
              <w:sz w:val="11"/>
              <w:szCs w:val="11"/>
            </w:rPr>
          </w:pPr>
        </w:p>
      </w:tc>
    </w:tr>
    <w:tr w:rsidR="00781849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81849" w:rsidRPr="00473D9C" w:rsidRDefault="00781849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81849" w:rsidRDefault="00781849" w:rsidP="001F0D1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Footer"/>
      <w:rPr>
        <w:sz w:val="2"/>
      </w:rPr>
    </w:pPr>
  </w:p>
  <w:p w:rsidR="00781849" w:rsidRDefault="00781849">
    <w:pPr>
      <w:pStyle w:val="Footer"/>
      <w:rPr>
        <w:sz w:val="2"/>
      </w:rPr>
    </w:pPr>
  </w:p>
  <w:p w:rsidR="00781849" w:rsidRPr="000164F0" w:rsidRDefault="00781849">
    <w:pPr>
      <w:pStyle w:val="Footer"/>
      <w:rPr>
        <w:sz w:val="8"/>
        <w:szCs w:val="8"/>
      </w:rPr>
    </w:pPr>
  </w:p>
  <w:p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81849" w:rsidRDefault="0078184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81849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81849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81849" w:rsidRPr="00473D9C" w:rsidRDefault="00781849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81849" w:rsidRPr="00473D9C" w:rsidRDefault="00781849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81849" w:rsidRPr="00473D9C" w:rsidRDefault="00781849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81849" w:rsidRPr="00126238" w:rsidRDefault="00781849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81849" w:rsidRPr="00473D9C" w:rsidRDefault="00781849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81849" w:rsidRPr="00473D9C" w:rsidRDefault="00781849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781849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81849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81849" w:rsidRPr="00A17F18" w:rsidRDefault="00781849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81849" w:rsidRPr="00473D9C" w:rsidRDefault="00781849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81849" w:rsidRPr="00473D9C" w:rsidRDefault="00781849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81849" w:rsidRPr="00473D9C" w:rsidRDefault="00781849" w:rsidP="001F0D1A">
          <w:pPr>
            <w:pStyle w:val="Footer"/>
            <w:rPr>
              <w:sz w:val="11"/>
              <w:szCs w:val="11"/>
            </w:rPr>
          </w:pPr>
        </w:p>
      </w:tc>
    </w:tr>
    <w:tr w:rsidR="00781849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81849" w:rsidRPr="00473D9C" w:rsidRDefault="00781849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81849" w:rsidRDefault="00781849" w:rsidP="001F0D1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Footer"/>
      <w:rPr>
        <w:sz w:val="2"/>
      </w:rPr>
    </w:pPr>
  </w:p>
  <w:p w:rsidR="00781849" w:rsidRDefault="0078184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3494CBB6" wp14:editId="4B57C48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4D6D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781849" w:rsidRPr="000164F0" w:rsidRDefault="00781849">
    <w:pPr>
      <w:pStyle w:val="Footer"/>
      <w:rPr>
        <w:sz w:val="8"/>
        <w:szCs w:val="8"/>
      </w:rPr>
    </w:pPr>
  </w:p>
  <w:p w:rsidR="00781849" w:rsidRDefault="0078184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81849" w:rsidRDefault="00781849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Pr="00BE07FB" w:rsidRDefault="0078184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1A7C55" wp14:editId="702078D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EE5F3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781849" w:rsidRPr="00BE07FB" w:rsidRDefault="0078184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781849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781849" w:rsidRDefault="0078184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781849" w:rsidRDefault="0078184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781849" w:rsidRDefault="0078184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781849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781849" w:rsidRDefault="0078184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781849" w:rsidRDefault="0078184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</w:p>
      </w:tc>
    </w:tr>
    <w:tr w:rsidR="00781849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781849" w:rsidRDefault="0078184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781849" w:rsidRDefault="00781849">
          <w:pPr>
            <w:pStyle w:val="Footer"/>
            <w:rPr>
              <w:rFonts w:cs="Arial"/>
              <w:sz w:val="12"/>
            </w:rPr>
          </w:pPr>
        </w:p>
      </w:tc>
    </w:tr>
  </w:tbl>
  <w:p w:rsidR="00781849" w:rsidRPr="00BE07FB" w:rsidRDefault="00781849">
    <w:pPr>
      <w:rPr>
        <w:sz w:val="2"/>
        <w:szCs w:val="2"/>
      </w:rPr>
    </w:pPr>
  </w:p>
  <w:p w:rsidR="00781849" w:rsidRPr="00B976E5" w:rsidRDefault="00781849" w:rsidP="001F0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AF" w:rsidRDefault="00852AAF">
      <w:r>
        <w:separator/>
      </w:r>
    </w:p>
  </w:footnote>
  <w:footnote w:type="continuationSeparator" w:id="0">
    <w:p w:rsidR="00852AAF" w:rsidRDefault="0085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rPr>
        <w:sz w:val="2"/>
      </w:rPr>
    </w:pPr>
  </w:p>
  <w:p w:rsidR="00781849" w:rsidRDefault="0078184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Pr="0056798D" w:rsidRDefault="00781849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350FEC" wp14:editId="1AB0D9A2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Default="00781849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D99C9F0" wp14:editId="5FE4A4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Pr="0056798D" w:rsidRDefault="00781849" w:rsidP="001F0D1A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6432" behindDoc="0" locked="0" layoutInCell="1" allowOverlap="1" wp14:anchorId="618791B3" wp14:editId="28ED59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Pr="0056798D" w:rsidRDefault="00781849" w:rsidP="001F0D1A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jc w:val="right"/>
      <w:rPr>
        <w:sz w:val="2"/>
      </w:rPr>
    </w:pPr>
  </w:p>
  <w:p w:rsidR="00781849" w:rsidRDefault="0078184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49" w:rsidRDefault="00781849">
    <w:pPr>
      <w:pStyle w:val="Header"/>
    </w:pPr>
  </w:p>
  <w:p w:rsidR="00781849" w:rsidRDefault="00781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0CB0"/>
    <w:rsid w:val="00011F16"/>
    <w:rsid w:val="000145A6"/>
    <w:rsid w:val="00015C4D"/>
    <w:rsid w:val="00016E51"/>
    <w:rsid w:val="00022EA9"/>
    <w:rsid w:val="00026979"/>
    <w:rsid w:val="00032BE9"/>
    <w:rsid w:val="00034A90"/>
    <w:rsid w:val="00044D71"/>
    <w:rsid w:val="0004695B"/>
    <w:rsid w:val="00047855"/>
    <w:rsid w:val="00047FDE"/>
    <w:rsid w:val="0005651C"/>
    <w:rsid w:val="00056EFD"/>
    <w:rsid w:val="000650ED"/>
    <w:rsid w:val="000716FA"/>
    <w:rsid w:val="000777DA"/>
    <w:rsid w:val="00081ABD"/>
    <w:rsid w:val="00082688"/>
    <w:rsid w:val="00083087"/>
    <w:rsid w:val="00084980"/>
    <w:rsid w:val="0008634A"/>
    <w:rsid w:val="00086D45"/>
    <w:rsid w:val="00092384"/>
    <w:rsid w:val="00094970"/>
    <w:rsid w:val="000976FC"/>
    <w:rsid w:val="000A0BFF"/>
    <w:rsid w:val="000A7D25"/>
    <w:rsid w:val="000B085A"/>
    <w:rsid w:val="000B17DB"/>
    <w:rsid w:val="000B327E"/>
    <w:rsid w:val="000B3FC7"/>
    <w:rsid w:val="000C46DC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8E9"/>
    <w:rsid w:val="001115C3"/>
    <w:rsid w:val="001155CF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19B0"/>
    <w:rsid w:val="001431A3"/>
    <w:rsid w:val="00143B89"/>
    <w:rsid w:val="00143BB1"/>
    <w:rsid w:val="001445A2"/>
    <w:rsid w:val="0015511A"/>
    <w:rsid w:val="001562CC"/>
    <w:rsid w:val="00156652"/>
    <w:rsid w:val="00156E71"/>
    <w:rsid w:val="00160E38"/>
    <w:rsid w:val="00161020"/>
    <w:rsid w:val="00161F2D"/>
    <w:rsid w:val="001637B1"/>
    <w:rsid w:val="001644BB"/>
    <w:rsid w:val="00171BF3"/>
    <w:rsid w:val="00174078"/>
    <w:rsid w:val="00184632"/>
    <w:rsid w:val="001856AC"/>
    <w:rsid w:val="00191574"/>
    <w:rsid w:val="00194119"/>
    <w:rsid w:val="001A34F1"/>
    <w:rsid w:val="001B1D50"/>
    <w:rsid w:val="001B504C"/>
    <w:rsid w:val="001B6F9C"/>
    <w:rsid w:val="001B72AB"/>
    <w:rsid w:val="001C3DF8"/>
    <w:rsid w:val="001C7BD5"/>
    <w:rsid w:val="001D2EE7"/>
    <w:rsid w:val="001D34F7"/>
    <w:rsid w:val="001D5EEF"/>
    <w:rsid w:val="001E3A20"/>
    <w:rsid w:val="001E7160"/>
    <w:rsid w:val="001F0D1A"/>
    <w:rsid w:val="001F58AF"/>
    <w:rsid w:val="001F7F06"/>
    <w:rsid w:val="0020107F"/>
    <w:rsid w:val="002015E8"/>
    <w:rsid w:val="0020718E"/>
    <w:rsid w:val="00212CD1"/>
    <w:rsid w:val="00220153"/>
    <w:rsid w:val="002204D7"/>
    <w:rsid w:val="0022082F"/>
    <w:rsid w:val="00230476"/>
    <w:rsid w:val="0023228F"/>
    <w:rsid w:val="00232DA0"/>
    <w:rsid w:val="00236461"/>
    <w:rsid w:val="002379B9"/>
    <w:rsid w:val="00241330"/>
    <w:rsid w:val="002425B6"/>
    <w:rsid w:val="00243054"/>
    <w:rsid w:val="00245D41"/>
    <w:rsid w:val="00247617"/>
    <w:rsid w:val="00250EE8"/>
    <w:rsid w:val="0025369E"/>
    <w:rsid w:val="00253F7D"/>
    <w:rsid w:val="00254EEE"/>
    <w:rsid w:val="00256951"/>
    <w:rsid w:val="00266E60"/>
    <w:rsid w:val="00270A38"/>
    <w:rsid w:val="0028225E"/>
    <w:rsid w:val="002877F8"/>
    <w:rsid w:val="00292BC3"/>
    <w:rsid w:val="002972C6"/>
    <w:rsid w:val="00297408"/>
    <w:rsid w:val="00297C24"/>
    <w:rsid w:val="002A2895"/>
    <w:rsid w:val="002A4D04"/>
    <w:rsid w:val="002B5522"/>
    <w:rsid w:val="002B76B1"/>
    <w:rsid w:val="002C08BB"/>
    <w:rsid w:val="002C593A"/>
    <w:rsid w:val="002C7D4F"/>
    <w:rsid w:val="002C7E72"/>
    <w:rsid w:val="002D14D8"/>
    <w:rsid w:val="002D1C3B"/>
    <w:rsid w:val="002D3C40"/>
    <w:rsid w:val="002E0D3C"/>
    <w:rsid w:val="002E2DAC"/>
    <w:rsid w:val="002E413C"/>
    <w:rsid w:val="002F04F7"/>
    <w:rsid w:val="002F0CF9"/>
    <w:rsid w:val="002F1540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305C"/>
    <w:rsid w:val="00354141"/>
    <w:rsid w:val="0035496D"/>
    <w:rsid w:val="00364741"/>
    <w:rsid w:val="0036617E"/>
    <w:rsid w:val="00370BFB"/>
    <w:rsid w:val="003716B2"/>
    <w:rsid w:val="0037640D"/>
    <w:rsid w:val="00376752"/>
    <w:rsid w:val="003827B9"/>
    <w:rsid w:val="00383C9A"/>
    <w:rsid w:val="00384D83"/>
    <w:rsid w:val="00387739"/>
    <w:rsid w:val="00390B88"/>
    <w:rsid w:val="00392414"/>
    <w:rsid w:val="003A4019"/>
    <w:rsid w:val="003A4A13"/>
    <w:rsid w:val="003A4B6F"/>
    <w:rsid w:val="003A4D62"/>
    <w:rsid w:val="003A580D"/>
    <w:rsid w:val="003A647F"/>
    <w:rsid w:val="003A71D9"/>
    <w:rsid w:val="003B114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E45F9"/>
    <w:rsid w:val="003F1BF4"/>
    <w:rsid w:val="003F39AE"/>
    <w:rsid w:val="0040182E"/>
    <w:rsid w:val="00401B14"/>
    <w:rsid w:val="004027E0"/>
    <w:rsid w:val="004029E3"/>
    <w:rsid w:val="00402C13"/>
    <w:rsid w:val="00403D95"/>
    <w:rsid w:val="00403D99"/>
    <w:rsid w:val="0040555D"/>
    <w:rsid w:val="00411CA2"/>
    <w:rsid w:val="00420474"/>
    <w:rsid w:val="00421238"/>
    <w:rsid w:val="004346CF"/>
    <w:rsid w:val="00435CF7"/>
    <w:rsid w:val="00437FE2"/>
    <w:rsid w:val="00444D21"/>
    <w:rsid w:val="00446296"/>
    <w:rsid w:val="004470F4"/>
    <w:rsid w:val="00447BF9"/>
    <w:rsid w:val="00450677"/>
    <w:rsid w:val="00451466"/>
    <w:rsid w:val="00454D5E"/>
    <w:rsid w:val="00455EEF"/>
    <w:rsid w:val="00461A5F"/>
    <w:rsid w:val="00461C7D"/>
    <w:rsid w:val="00462DB1"/>
    <w:rsid w:val="00464BA2"/>
    <w:rsid w:val="004661C0"/>
    <w:rsid w:val="00474870"/>
    <w:rsid w:val="004759E0"/>
    <w:rsid w:val="00477A59"/>
    <w:rsid w:val="00482C09"/>
    <w:rsid w:val="00485353"/>
    <w:rsid w:val="00494BFB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F8E"/>
    <w:rsid w:val="005434CA"/>
    <w:rsid w:val="0054365E"/>
    <w:rsid w:val="00546221"/>
    <w:rsid w:val="005526AC"/>
    <w:rsid w:val="00554721"/>
    <w:rsid w:val="00555FBB"/>
    <w:rsid w:val="00557ADE"/>
    <w:rsid w:val="0056268C"/>
    <w:rsid w:val="005632FD"/>
    <w:rsid w:val="005654F1"/>
    <w:rsid w:val="005735D2"/>
    <w:rsid w:val="00580CCB"/>
    <w:rsid w:val="00580FD0"/>
    <w:rsid w:val="00584DF0"/>
    <w:rsid w:val="0058603E"/>
    <w:rsid w:val="00590DED"/>
    <w:rsid w:val="005C0DF8"/>
    <w:rsid w:val="005C281B"/>
    <w:rsid w:val="005C38B7"/>
    <w:rsid w:val="005C3E3A"/>
    <w:rsid w:val="005D1DA3"/>
    <w:rsid w:val="005D5E32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365A0"/>
    <w:rsid w:val="0063781F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56B7F"/>
    <w:rsid w:val="006642E2"/>
    <w:rsid w:val="006669D8"/>
    <w:rsid w:val="0067352E"/>
    <w:rsid w:val="00674DAB"/>
    <w:rsid w:val="00682597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D4ADC"/>
    <w:rsid w:val="006D6726"/>
    <w:rsid w:val="006E43F5"/>
    <w:rsid w:val="006E57EC"/>
    <w:rsid w:val="006E6515"/>
    <w:rsid w:val="006F110E"/>
    <w:rsid w:val="006F3112"/>
    <w:rsid w:val="00701389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47C7A"/>
    <w:rsid w:val="00753718"/>
    <w:rsid w:val="00762844"/>
    <w:rsid w:val="00762D0E"/>
    <w:rsid w:val="00765242"/>
    <w:rsid w:val="0076546A"/>
    <w:rsid w:val="00766E50"/>
    <w:rsid w:val="00767017"/>
    <w:rsid w:val="0076745F"/>
    <w:rsid w:val="007677B5"/>
    <w:rsid w:val="0077081A"/>
    <w:rsid w:val="00772C85"/>
    <w:rsid w:val="00774BC8"/>
    <w:rsid w:val="00775369"/>
    <w:rsid w:val="00775415"/>
    <w:rsid w:val="00776446"/>
    <w:rsid w:val="00776F1B"/>
    <w:rsid w:val="007813DA"/>
    <w:rsid w:val="00781849"/>
    <w:rsid w:val="00782334"/>
    <w:rsid w:val="007835F0"/>
    <w:rsid w:val="00793ABE"/>
    <w:rsid w:val="00796191"/>
    <w:rsid w:val="007A25E1"/>
    <w:rsid w:val="007B3950"/>
    <w:rsid w:val="007B758F"/>
    <w:rsid w:val="007C026D"/>
    <w:rsid w:val="007C26CA"/>
    <w:rsid w:val="007C29B5"/>
    <w:rsid w:val="007C5180"/>
    <w:rsid w:val="007C6848"/>
    <w:rsid w:val="007D2B00"/>
    <w:rsid w:val="007D48EA"/>
    <w:rsid w:val="007D497A"/>
    <w:rsid w:val="007E1510"/>
    <w:rsid w:val="007E452C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3BF3"/>
    <w:rsid w:val="00844113"/>
    <w:rsid w:val="00844B80"/>
    <w:rsid w:val="008525D8"/>
    <w:rsid w:val="00852AAF"/>
    <w:rsid w:val="0085767F"/>
    <w:rsid w:val="00860214"/>
    <w:rsid w:val="008608AF"/>
    <w:rsid w:val="00863853"/>
    <w:rsid w:val="00874A6F"/>
    <w:rsid w:val="0087551D"/>
    <w:rsid w:val="00877E09"/>
    <w:rsid w:val="008869EC"/>
    <w:rsid w:val="00892FE4"/>
    <w:rsid w:val="00893636"/>
    <w:rsid w:val="00893A5B"/>
    <w:rsid w:val="0089733E"/>
    <w:rsid w:val="008A05A3"/>
    <w:rsid w:val="008A0692"/>
    <w:rsid w:val="008A6730"/>
    <w:rsid w:val="008C2039"/>
    <w:rsid w:val="008C2904"/>
    <w:rsid w:val="008C3B67"/>
    <w:rsid w:val="008C4F4D"/>
    <w:rsid w:val="008D2062"/>
    <w:rsid w:val="008D5696"/>
    <w:rsid w:val="008E1661"/>
    <w:rsid w:val="008E257C"/>
    <w:rsid w:val="008E67D6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3AC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5558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97C59"/>
    <w:rsid w:val="009A47EE"/>
    <w:rsid w:val="009B12D6"/>
    <w:rsid w:val="009C033A"/>
    <w:rsid w:val="009C63CA"/>
    <w:rsid w:val="009D6D74"/>
    <w:rsid w:val="009E0AA3"/>
    <w:rsid w:val="009E0B0E"/>
    <w:rsid w:val="009E1642"/>
    <w:rsid w:val="009E1B40"/>
    <w:rsid w:val="009E20AE"/>
    <w:rsid w:val="009E587B"/>
    <w:rsid w:val="009E67A9"/>
    <w:rsid w:val="009F0513"/>
    <w:rsid w:val="00A01800"/>
    <w:rsid w:val="00A03FCD"/>
    <w:rsid w:val="00A044C5"/>
    <w:rsid w:val="00A054AC"/>
    <w:rsid w:val="00A17F8D"/>
    <w:rsid w:val="00A2046A"/>
    <w:rsid w:val="00A20BE7"/>
    <w:rsid w:val="00A27A30"/>
    <w:rsid w:val="00A333D4"/>
    <w:rsid w:val="00A43FAB"/>
    <w:rsid w:val="00A4624F"/>
    <w:rsid w:val="00A5059B"/>
    <w:rsid w:val="00A51128"/>
    <w:rsid w:val="00A52CE0"/>
    <w:rsid w:val="00A53ABB"/>
    <w:rsid w:val="00A53B1F"/>
    <w:rsid w:val="00A60B22"/>
    <w:rsid w:val="00A65C7B"/>
    <w:rsid w:val="00A65EEF"/>
    <w:rsid w:val="00A71B3F"/>
    <w:rsid w:val="00A72AA4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051F5"/>
    <w:rsid w:val="00B10FBC"/>
    <w:rsid w:val="00B11743"/>
    <w:rsid w:val="00B12536"/>
    <w:rsid w:val="00B13C96"/>
    <w:rsid w:val="00B141D4"/>
    <w:rsid w:val="00B30E3A"/>
    <w:rsid w:val="00B32537"/>
    <w:rsid w:val="00B45BCA"/>
    <w:rsid w:val="00B462D0"/>
    <w:rsid w:val="00B515FD"/>
    <w:rsid w:val="00B52399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396C"/>
    <w:rsid w:val="00B8406A"/>
    <w:rsid w:val="00B87CA1"/>
    <w:rsid w:val="00B940DB"/>
    <w:rsid w:val="00B94A36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0359"/>
    <w:rsid w:val="00BF4A26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26769"/>
    <w:rsid w:val="00C4370F"/>
    <w:rsid w:val="00C4398B"/>
    <w:rsid w:val="00C44678"/>
    <w:rsid w:val="00C45424"/>
    <w:rsid w:val="00C503E5"/>
    <w:rsid w:val="00C538A2"/>
    <w:rsid w:val="00C70D37"/>
    <w:rsid w:val="00C73590"/>
    <w:rsid w:val="00C73FAE"/>
    <w:rsid w:val="00C7652A"/>
    <w:rsid w:val="00C83B13"/>
    <w:rsid w:val="00C8417F"/>
    <w:rsid w:val="00C91307"/>
    <w:rsid w:val="00C91C67"/>
    <w:rsid w:val="00C92E33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5D5D"/>
    <w:rsid w:val="00CE731D"/>
    <w:rsid w:val="00CF36C1"/>
    <w:rsid w:val="00D030E5"/>
    <w:rsid w:val="00D07A08"/>
    <w:rsid w:val="00D10F98"/>
    <w:rsid w:val="00D1387C"/>
    <w:rsid w:val="00D146C3"/>
    <w:rsid w:val="00D160EF"/>
    <w:rsid w:val="00D16957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E43AA"/>
    <w:rsid w:val="00DF41D0"/>
    <w:rsid w:val="00DF5851"/>
    <w:rsid w:val="00DF6F05"/>
    <w:rsid w:val="00E013E9"/>
    <w:rsid w:val="00E02A72"/>
    <w:rsid w:val="00E1362F"/>
    <w:rsid w:val="00E154FC"/>
    <w:rsid w:val="00E15866"/>
    <w:rsid w:val="00E2088A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753C9"/>
    <w:rsid w:val="00E81A77"/>
    <w:rsid w:val="00E900C7"/>
    <w:rsid w:val="00E9046B"/>
    <w:rsid w:val="00EA52E2"/>
    <w:rsid w:val="00EB01FC"/>
    <w:rsid w:val="00EB5115"/>
    <w:rsid w:val="00EB6685"/>
    <w:rsid w:val="00EC09F8"/>
    <w:rsid w:val="00EC785B"/>
    <w:rsid w:val="00ED0700"/>
    <w:rsid w:val="00ED6830"/>
    <w:rsid w:val="00ED7C17"/>
    <w:rsid w:val="00ED7D7C"/>
    <w:rsid w:val="00ED7FF7"/>
    <w:rsid w:val="00EE2482"/>
    <w:rsid w:val="00EE452B"/>
    <w:rsid w:val="00EE57A6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E95"/>
    <w:rsid w:val="00F33FE2"/>
    <w:rsid w:val="00F3549B"/>
    <w:rsid w:val="00F36D0C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3A5"/>
    <w:rsid w:val="00F96846"/>
    <w:rsid w:val="00F96D7D"/>
    <w:rsid w:val="00F97176"/>
    <w:rsid w:val="00F9785D"/>
    <w:rsid w:val="00FA378D"/>
    <w:rsid w:val="00FA5CAA"/>
    <w:rsid w:val="00FA74F6"/>
    <w:rsid w:val="00FB3D2D"/>
    <w:rsid w:val="00FB496E"/>
    <w:rsid w:val="00FC1049"/>
    <w:rsid w:val="00FC3C14"/>
    <w:rsid w:val="00FC495B"/>
    <w:rsid w:val="00FD1CAC"/>
    <w:rsid w:val="00FD3B25"/>
    <w:rsid w:val="00FD59A5"/>
    <w:rsid w:val="00FE0325"/>
    <w:rsid w:val="00FE30EB"/>
    <w:rsid w:val="00FE3BF3"/>
    <w:rsid w:val="00FF156E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CE5D5D"/>
    <w:rPr>
      <w:b/>
      <w:bCs/>
    </w:rPr>
  </w:style>
  <w:style w:type="paragraph" w:customStyle="1" w:styleId="TekstOsnovni">
    <w:name w:val="Tekst Osnovni"/>
    <w:basedOn w:val="Normal"/>
    <w:rsid w:val="007C6848"/>
    <w:pPr>
      <w:spacing w:before="60" w:after="120" w:line="360" w:lineRule="auto"/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3</cp:revision>
  <cp:lastPrinted>2018-10-22T13:49:00Z</cp:lastPrinted>
  <dcterms:created xsi:type="dcterms:W3CDTF">2018-11-29T11:50:00Z</dcterms:created>
  <dcterms:modified xsi:type="dcterms:W3CDTF">2018-11-30T10:37:00Z</dcterms:modified>
</cp:coreProperties>
</file>