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A8FD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390C694" w14:textId="77777777" w:rsidR="00330905" w:rsidRPr="007C400C" w:rsidRDefault="00330905" w:rsidP="00330905">
      <w:pPr>
        <w:rPr>
          <w:sz w:val="2"/>
        </w:rPr>
      </w:pPr>
    </w:p>
    <w:p w14:paraId="741EFF58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436BC2B" w14:textId="77777777" w:rsidR="003B3D2F" w:rsidRDefault="003B3D2F" w:rsidP="00330905">
      <w:pPr>
        <w:rPr>
          <w:rFonts w:cs="Arial"/>
          <w:sz w:val="18"/>
          <w:szCs w:val="18"/>
        </w:rPr>
      </w:pPr>
    </w:p>
    <w:p w14:paraId="22DD985D" w14:textId="77777777" w:rsidR="003B3D2F" w:rsidRDefault="003B3D2F" w:rsidP="00330905">
      <w:pPr>
        <w:rPr>
          <w:rFonts w:cs="Arial"/>
          <w:sz w:val="18"/>
          <w:szCs w:val="18"/>
        </w:rPr>
      </w:pPr>
    </w:p>
    <w:p w14:paraId="2A2AD9FD" w14:textId="5B5D275E"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 w:rsidR="00EA74FC">
        <w:rPr>
          <w:rFonts w:cs="Arial"/>
          <w:sz w:val="18"/>
          <w:szCs w:val="18"/>
        </w:rPr>
        <w:t>e komunikacije</w:t>
      </w:r>
      <w:r w:rsidR="008D63D2">
        <w:rPr>
          <w:rFonts w:cs="Arial"/>
          <w:sz w:val="18"/>
          <w:szCs w:val="18"/>
        </w:rPr>
        <w:t xml:space="preserve"> i marketing</w:t>
      </w:r>
      <w:r w:rsidR="00EA74FC">
        <w:rPr>
          <w:rFonts w:cs="Arial"/>
          <w:sz w:val="18"/>
          <w:szCs w:val="18"/>
        </w:rPr>
        <w:t xml:space="preserve"> </w:t>
      </w:r>
    </w:p>
    <w:p w14:paraId="48F98D36" w14:textId="77777777" w:rsidR="00BF7C5F" w:rsidRDefault="00BF7C5F" w:rsidP="00330905">
      <w:pPr>
        <w:rPr>
          <w:rFonts w:cs="Arial"/>
          <w:sz w:val="18"/>
        </w:rPr>
      </w:pPr>
    </w:p>
    <w:p w14:paraId="28AB235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14:paraId="4877887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2CBAF820" w14:textId="77777777" w:rsidR="00330905" w:rsidRPr="0076546A" w:rsidRDefault="00330905" w:rsidP="00330905">
      <w:pPr>
        <w:rPr>
          <w:rFonts w:cs="Arial"/>
          <w:sz w:val="2"/>
        </w:rPr>
      </w:pPr>
    </w:p>
    <w:p w14:paraId="1BCDB4A0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D971F2A" w14:textId="77777777" w:rsidR="00BF7C5F" w:rsidRDefault="00BF7C5F" w:rsidP="00330905">
      <w:pPr>
        <w:rPr>
          <w:rFonts w:cs="Arial"/>
          <w:sz w:val="18"/>
        </w:rPr>
      </w:pPr>
    </w:p>
    <w:p w14:paraId="69935B3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551EEEFF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1EC39850" w14:textId="77777777" w:rsidR="00330905" w:rsidRPr="0076546A" w:rsidRDefault="00330905" w:rsidP="00330905">
      <w:pPr>
        <w:rPr>
          <w:rFonts w:cs="Arial"/>
          <w:sz w:val="18"/>
        </w:rPr>
      </w:pPr>
    </w:p>
    <w:p w14:paraId="50B6E936" w14:textId="77777777" w:rsidR="00330905" w:rsidRPr="0076546A" w:rsidRDefault="00330905" w:rsidP="00330905">
      <w:pPr>
        <w:rPr>
          <w:rFonts w:cs="Arial"/>
          <w:sz w:val="18"/>
        </w:rPr>
      </w:pPr>
    </w:p>
    <w:p w14:paraId="141DA6A5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08EBC3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2D97C8F5" w14:textId="77777777" w:rsidR="00FB19F7" w:rsidRPr="00250802" w:rsidRDefault="00FB19F7" w:rsidP="00FB19F7">
      <w:pPr>
        <w:jc w:val="both"/>
        <w:rPr>
          <w:rFonts w:ascii="Calibri" w:eastAsia="Calibri" w:hAnsi="Calibri"/>
          <w:i/>
          <w:szCs w:val="22"/>
          <w:lang w:eastAsia="hr-HR"/>
        </w:rPr>
      </w:pPr>
      <w:r w:rsidRPr="00250802">
        <w:rPr>
          <w:rFonts w:ascii="Calibri" w:eastAsia="Calibri" w:hAnsi="Calibri"/>
          <w:i/>
          <w:szCs w:val="22"/>
          <w:lang w:eastAsia="hr-HR"/>
        </w:rPr>
        <w:t xml:space="preserve">Fotografiju molimo potpisati: </w:t>
      </w:r>
      <w:r>
        <w:rPr>
          <w:rFonts w:ascii="Calibri" w:eastAsia="Calibri" w:hAnsi="Calibri"/>
          <w:i/>
          <w:szCs w:val="22"/>
          <w:lang w:eastAsia="hr-HR"/>
        </w:rPr>
        <w:t xml:space="preserve">Luka </w:t>
      </w:r>
      <w:proofErr w:type="spellStart"/>
      <w:r>
        <w:rPr>
          <w:rFonts w:ascii="Calibri" w:eastAsia="Calibri" w:hAnsi="Calibri"/>
          <w:i/>
          <w:szCs w:val="22"/>
          <w:lang w:eastAsia="hr-HR"/>
        </w:rPr>
        <w:t>Stanzl</w:t>
      </w:r>
      <w:proofErr w:type="spellEnd"/>
      <w:r w:rsidRPr="00250802">
        <w:rPr>
          <w:rFonts w:ascii="Calibri" w:eastAsia="Calibri" w:hAnsi="Calibri"/>
          <w:i/>
          <w:szCs w:val="22"/>
          <w:lang w:eastAsia="hr-HR"/>
        </w:rPr>
        <w:t>/PIXSELL</w:t>
      </w:r>
    </w:p>
    <w:p w14:paraId="33051D1F" w14:textId="77777777" w:rsidR="00FB19F7" w:rsidRPr="0076546A" w:rsidRDefault="00FB19F7" w:rsidP="00FB19F7">
      <w:pPr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</w:t>
      </w:r>
    </w:p>
    <w:p w14:paraId="663AF7FD" w14:textId="77777777" w:rsidR="00FB19F7" w:rsidRPr="0076546A" w:rsidRDefault="00FB19F7" w:rsidP="00FB19F7">
      <w:pPr>
        <w:tabs>
          <w:tab w:val="left" w:pos="8220"/>
        </w:tabs>
        <w:ind w:left="5664"/>
        <w:jc w:val="center"/>
        <w:rPr>
          <w:rFonts w:cs="Arial"/>
          <w:b/>
        </w:rPr>
        <w:sectPr w:rsidR="00FB19F7" w:rsidRPr="0076546A" w:rsidSect="006E06D1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>
        <w:rPr>
          <w:rFonts w:cs="Arial"/>
          <w:b/>
        </w:rPr>
        <w:t xml:space="preserve"> ZA MEDIJE</w:t>
      </w:r>
    </w:p>
    <w:p w14:paraId="7F489AEB" w14:textId="77777777" w:rsidR="00FB19F7" w:rsidRPr="0076546A" w:rsidRDefault="00FB19F7" w:rsidP="00FB19F7">
      <w:pPr>
        <w:rPr>
          <w:rFonts w:cs="Arial"/>
          <w:sz w:val="20"/>
        </w:rPr>
        <w:sectPr w:rsidR="00FB19F7" w:rsidRPr="0076546A" w:rsidSect="006E06D1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F6C2CCC" w14:textId="77777777" w:rsidR="00FB19F7" w:rsidRPr="0076546A" w:rsidRDefault="00FB19F7" w:rsidP="00FB19F7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B19F7" w:rsidRPr="0076546A" w:rsidSect="006E06D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3FF58AB" w14:textId="77777777" w:rsidR="00FB19F7" w:rsidRPr="0076546A" w:rsidRDefault="00FB19F7" w:rsidP="00FB19F7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FB2B7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U Ini održan poslovni skup Vodik u Hrvatskoj uz podršku Ministarstva zaštite okoliša i energetike</w:t>
      </w:r>
    </w:p>
    <w:p w14:paraId="45F94155" w14:textId="77777777" w:rsidR="00FB19F7" w:rsidRPr="0076546A" w:rsidRDefault="00FB19F7" w:rsidP="00FB19F7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064C2FFA" w14:textId="77777777" w:rsidR="00FB19F7" w:rsidRDefault="00FB19F7" w:rsidP="00FB19F7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Pr="00781E1D">
        <w:rPr>
          <w:rFonts w:ascii="Calibri" w:hAnsi="Calibri" w:cs="Calibri"/>
          <w:b/>
          <w:szCs w:val="22"/>
        </w:rPr>
        <w:t>,</w:t>
      </w:r>
      <w:r>
        <w:rPr>
          <w:rFonts w:ascii="Calibri" w:hAnsi="Calibri" w:cs="Calibri"/>
          <w:b/>
          <w:szCs w:val="22"/>
        </w:rPr>
        <w:t xml:space="preserve"> 10</w:t>
      </w:r>
      <w:r w:rsidRPr="00DF7C9B">
        <w:rPr>
          <w:rFonts w:ascii="Calibri" w:hAnsi="Calibri" w:cs="Calibri"/>
          <w:b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listopada</w:t>
      </w:r>
      <w:r w:rsidRPr="00DF7C9B">
        <w:rPr>
          <w:rFonts w:ascii="Calibri" w:hAnsi="Calibri" w:cs="Calibri"/>
          <w:b/>
          <w:szCs w:val="22"/>
        </w:rPr>
        <w:t xml:space="preserve"> 2019. –</w:t>
      </w:r>
      <w:r>
        <w:rPr>
          <w:rFonts w:ascii="Calibri" w:hAnsi="Calibri" w:cs="Calibri"/>
          <w:b/>
          <w:szCs w:val="22"/>
        </w:rPr>
        <w:t xml:space="preserve"> U Ininoj poslovnoj zgradi održan je </w:t>
      </w:r>
      <w:r w:rsidRPr="00A41E25">
        <w:rPr>
          <w:rFonts w:ascii="Calibri" w:hAnsi="Calibri" w:cs="Calibri"/>
          <w:b/>
          <w:szCs w:val="22"/>
        </w:rPr>
        <w:t>poslovni skup Vodik u Hrvatskoj</w:t>
      </w:r>
      <w:r>
        <w:rPr>
          <w:rFonts w:ascii="Calibri" w:hAnsi="Calibri" w:cs="Calibri"/>
          <w:b/>
          <w:szCs w:val="22"/>
        </w:rPr>
        <w:t xml:space="preserve"> na kojem su </w:t>
      </w:r>
      <w:r w:rsidRPr="00A41E25">
        <w:rPr>
          <w:rFonts w:ascii="Calibri" w:hAnsi="Calibri" w:cs="Calibri"/>
          <w:b/>
          <w:szCs w:val="22"/>
        </w:rPr>
        <w:t>vodeći europski i domaći stručnjaci u ovom području</w:t>
      </w:r>
      <w:r>
        <w:rPr>
          <w:rFonts w:ascii="Calibri" w:hAnsi="Calibri" w:cs="Calibri"/>
          <w:b/>
          <w:szCs w:val="22"/>
        </w:rPr>
        <w:t xml:space="preserve"> govorili o</w:t>
      </w:r>
      <w:r w:rsidRPr="00A41E25">
        <w:rPr>
          <w:rFonts w:ascii="Calibri" w:hAnsi="Calibri" w:cs="Calibri"/>
          <w:b/>
          <w:szCs w:val="22"/>
        </w:rPr>
        <w:t xml:space="preserve"> prilikama Republike Hrvatske, Ine te cjelokupnog domaćeg gospodarstva kada </w:t>
      </w:r>
      <w:r>
        <w:rPr>
          <w:rFonts w:ascii="Calibri" w:hAnsi="Calibri" w:cs="Calibri"/>
          <w:b/>
          <w:szCs w:val="22"/>
        </w:rPr>
        <w:t>su</w:t>
      </w:r>
      <w:r w:rsidRPr="00A41E25">
        <w:rPr>
          <w:rFonts w:ascii="Calibri" w:hAnsi="Calibri" w:cs="Calibri"/>
          <w:b/>
          <w:szCs w:val="22"/>
        </w:rPr>
        <w:t xml:space="preserve"> u pitanju uvođenje vodikovih tehnologija i mogućnosti korištenja vodika</w:t>
      </w:r>
      <w:r>
        <w:rPr>
          <w:rFonts w:ascii="Calibri" w:hAnsi="Calibri" w:cs="Calibri"/>
          <w:b/>
          <w:szCs w:val="22"/>
        </w:rPr>
        <w:t xml:space="preserve">. </w:t>
      </w:r>
    </w:p>
    <w:p w14:paraId="33D931FC" w14:textId="77777777" w:rsidR="00FB19F7" w:rsidRPr="00BF7C5F" w:rsidRDefault="00FB19F7" w:rsidP="00FB19F7">
      <w:pPr>
        <w:jc w:val="both"/>
        <w:rPr>
          <w:rFonts w:ascii="Calibri" w:hAnsi="Calibri" w:cs="Calibri"/>
          <w:b/>
          <w:szCs w:val="22"/>
        </w:rPr>
      </w:pPr>
    </w:p>
    <w:p w14:paraId="2E5F51D0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Pr="00A41E25">
        <w:rPr>
          <w:rFonts w:ascii="Calibri" w:hAnsi="Calibri" w:cs="Calibri"/>
          <w:szCs w:val="22"/>
        </w:rPr>
        <w:t>potreba vodika kao pogonskog goriva može</w:t>
      </w:r>
      <w:r>
        <w:rPr>
          <w:rFonts w:ascii="Calibri" w:hAnsi="Calibri" w:cs="Calibri"/>
          <w:szCs w:val="22"/>
        </w:rPr>
        <w:t xml:space="preserve"> značajno</w:t>
      </w:r>
      <w:r w:rsidRPr="00A41E25">
        <w:rPr>
          <w:rFonts w:ascii="Calibri" w:hAnsi="Calibri" w:cs="Calibri"/>
          <w:szCs w:val="22"/>
        </w:rPr>
        <w:t xml:space="preserve"> doprinijeti smanjen</w:t>
      </w:r>
      <w:r>
        <w:rPr>
          <w:rFonts w:ascii="Calibri" w:hAnsi="Calibri" w:cs="Calibri"/>
          <w:szCs w:val="22"/>
        </w:rPr>
        <w:t>ju emisija stakleničkih plinova, kao i</w:t>
      </w:r>
      <w:r w:rsidRPr="00A41E25">
        <w:rPr>
          <w:rFonts w:ascii="Calibri" w:hAnsi="Calibri" w:cs="Calibri"/>
          <w:szCs w:val="22"/>
        </w:rPr>
        <w:t xml:space="preserve"> poboljšanju kvalitete zraka i smanjenju buke, osobito u urbanim sredinama. Zbog </w:t>
      </w:r>
      <w:r>
        <w:rPr>
          <w:rFonts w:ascii="Calibri" w:hAnsi="Calibri" w:cs="Calibri"/>
          <w:szCs w:val="22"/>
        </w:rPr>
        <w:t>toga</w:t>
      </w:r>
      <w:r w:rsidRPr="00A41E25">
        <w:rPr>
          <w:rFonts w:ascii="Calibri" w:hAnsi="Calibri" w:cs="Calibri"/>
          <w:szCs w:val="22"/>
        </w:rPr>
        <w:t>, vodik uz potporu Europske komisije sve aktivnije ulazi u sve vidove prometa (cestovni, pomorski, željeznički) i spreman je za snažan iskorak na tržište Europske unije.</w:t>
      </w:r>
      <w:r>
        <w:rPr>
          <w:rFonts w:ascii="Calibri" w:hAnsi="Calibri" w:cs="Calibri"/>
          <w:szCs w:val="22"/>
        </w:rPr>
        <w:t xml:space="preserve"> Konkretne korake koji vode prema instalaciji prvih punionica za vodik u Hrvatskoj pokrenula je INA. </w:t>
      </w:r>
    </w:p>
    <w:p w14:paraId="19D2540F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</w:p>
    <w:p w14:paraId="34EF7F78" w14:textId="77777777" w:rsidR="00FB19F7" w:rsidRDefault="00FB19F7" w:rsidP="00FB19F7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BF7C5F">
        <w:rPr>
          <w:rFonts w:ascii="Calibri" w:hAnsi="Calibri" w:cs="Calibri"/>
          <w:i/>
          <w:szCs w:val="22"/>
        </w:rPr>
        <w:t>„</w:t>
      </w:r>
      <w:r w:rsidRPr="00134BAF">
        <w:rPr>
          <w:rFonts w:ascii="Calibri" w:hAnsi="Calibri" w:cs="Calibri"/>
          <w:i/>
          <w:szCs w:val="22"/>
        </w:rPr>
        <w:t>Vodik kao ekološko gorivo sutrašnjice predstavlja priliku o kojoj moramo razgovarati, no da bismo je iskoristi</w:t>
      </w:r>
      <w:r>
        <w:rPr>
          <w:rFonts w:ascii="Calibri" w:hAnsi="Calibri" w:cs="Calibri"/>
          <w:i/>
          <w:szCs w:val="22"/>
        </w:rPr>
        <w:t>l</w:t>
      </w:r>
      <w:r w:rsidRPr="00134BAF">
        <w:rPr>
          <w:rFonts w:ascii="Calibri" w:hAnsi="Calibri" w:cs="Calibri"/>
          <w:i/>
          <w:szCs w:val="22"/>
        </w:rPr>
        <w:t>i moramo biti dio mreže. INA je već počela razmišljati inovativno te razvijamo program koji namjeravamo prijaviti na europske izvore financiranja, vezan za razvoj infrastrukture za proizvodnju, distribuciju i opskrbu vodikom, budući da u riječkoj rafineriji postoje značajni kapaciteti za to. Na taj način doprinijeli bismo energetskoj tranziciji, održivom prijevozu i promociji obnovljivih izbora energije te me veseli što imamo podršku hrvatske Vlade u tom smjeru</w:t>
      </w:r>
      <w:r w:rsidRPr="00BF7C5F">
        <w:rPr>
          <w:rFonts w:ascii="Calibri" w:hAnsi="Calibri" w:cs="Calibri"/>
          <w:i/>
          <w:szCs w:val="22"/>
        </w:rPr>
        <w:t>“</w:t>
      </w:r>
      <w:r>
        <w:rPr>
          <w:rFonts w:ascii="Calibri" w:hAnsi="Calibri" w:cs="Calibri"/>
          <w:szCs w:val="22"/>
        </w:rPr>
        <w:t>, istaknuo je g.</w:t>
      </w:r>
      <w:r w:rsidRPr="00A41E25">
        <w:rPr>
          <w:rFonts w:ascii="Calibri" w:hAnsi="Calibri" w:cs="Calibri"/>
          <w:szCs w:val="22"/>
        </w:rPr>
        <w:t xml:space="preserve"> </w:t>
      </w:r>
      <w:r w:rsidRPr="00BF7C5F">
        <w:rPr>
          <w:rFonts w:ascii="Calibri" w:hAnsi="Calibri" w:cs="Calibri"/>
          <w:szCs w:val="22"/>
        </w:rPr>
        <w:t>Sándor Fasimon, predsjednik Uprave Ine</w:t>
      </w:r>
      <w:r w:rsidRPr="00A41E25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pozdravljajući skup. </w:t>
      </w:r>
    </w:p>
    <w:p w14:paraId="62F9E506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</w:p>
    <w:p w14:paraId="27D40D7E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  <w:r w:rsidRPr="00DD28BE">
        <w:rPr>
          <w:rFonts w:ascii="Calibri" w:hAnsi="Calibri" w:cs="Calibri"/>
          <w:szCs w:val="22"/>
        </w:rPr>
        <w:t xml:space="preserve">Na to se nadovezao g. Tomislav Ćorić, ministar zaštite okoliša i energetike: </w:t>
      </w:r>
      <w:r w:rsidRPr="00DD28BE">
        <w:rPr>
          <w:rFonts w:ascii="Calibri" w:hAnsi="Calibri" w:cs="Calibri"/>
          <w:i/>
          <w:szCs w:val="22"/>
        </w:rPr>
        <w:t>„Vodik postaje sve važnija tema vez</w:t>
      </w:r>
      <w:r>
        <w:rPr>
          <w:rFonts w:ascii="Calibri" w:hAnsi="Calibri" w:cs="Calibri"/>
          <w:i/>
          <w:szCs w:val="22"/>
        </w:rPr>
        <w:t>a</w:t>
      </w:r>
      <w:r w:rsidRPr="00DD28BE">
        <w:rPr>
          <w:rFonts w:ascii="Calibri" w:hAnsi="Calibri" w:cs="Calibri"/>
          <w:i/>
          <w:szCs w:val="22"/>
        </w:rPr>
        <w:t>na uz niz sektora u Europskoj uniji. U sektoru prometa napravljeni su najznačajniji pomaci u Hrvatskoj u posljednjih nekoliko mjeseci, a bez čistog prometa nema niti klimatske neutralnosti u EU do 2050. godine. Držimo kako je razvoj infrastrukture za alternativna goriva snažan poticaj za vodik</w:t>
      </w:r>
      <w:r>
        <w:rPr>
          <w:rFonts w:ascii="Calibri" w:hAnsi="Calibri" w:cs="Calibri"/>
          <w:i/>
          <w:szCs w:val="22"/>
        </w:rPr>
        <w:t>,</w:t>
      </w:r>
      <w:r w:rsidRPr="00DD28BE">
        <w:rPr>
          <w:rFonts w:ascii="Calibri" w:hAnsi="Calibri" w:cs="Calibri"/>
          <w:i/>
          <w:szCs w:val="22"/>
        </w:rPr>
        <w:t xml:space="preserve"> koji će se nakon toga lakše primjenjivati kao izvor energije i u drugim sektorima. Zbog toga smo u Ministarstvu podržali Deklaraciju o vodiku koju smo potpisali tijekom austrijskog predsjedanja Vijećem EU u rujnu 2018. godine.“</w:t>
      </w:r>
    </w:p>
    <w:p w14:paraId="0D166D59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</w:p>
    <w:p w14:paraId="306DA941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  <w:proofErr w:type="spellStart"/>
      <w:r w:rsidRPr="00A41E25">
        <w:rPr>
          <w:rFonts w:ascii="Calibri" w:hAnsi="Calibri" w:cs="Calibri"/>
          <w:szCs w:val="22"/>
        </w:rPr>
        <w:lastRenderedPageBreak/>
        <w:t>Bart</w:t>
      </w:r>
      <w:proofErr w:type="spellEnd"/>
      <w:r w:rsidRPr="00A41E25">
        <w:rPr>
          <w:rFonts w:ascii="Calibri" w:hAnsi="Calibri" w:cs="Calibri"/>
          <w:szCs w:val="22"/>
        </w:rPr>
        <w:t xml:space="preserve"> </w:t>
      </w:r>
      <w:proofErr w:type="spellStart"/>
      <w:r w:rsidRPr="00A41E25">
        <w:rPr>
          <w:rFonts w:ascii="Calibri" w:hAnsi="Calibri" w:cs="Calibri"/>
          <w:szCs w:val="22"/>
        </w:rPr>
        <w:t>Biebuyck</w:t>
      </w:r>
      <w:proofErr w:type="spellEnd"/>
      <w:r>
        <w:rPr>
          <w:rFonts w:ascii="Calibri" w:hAnsi="Calibri" w:cs="Calibri"/>
          <w:szCs w:val="22"/>
        </w:rPr>
        <w:t>,</w:t>
      </w:r>
      <w:r w:rsidRPr="00CA1C94">
        <w:rPr>
          <w:rFonts w:ascii="Calibri" w:hAnsi="Calibri" w:cs="Calibri"/>
          <w:szCs w:val="22"/>
        </w:rPr>
        <w:t xml:space="preserve"> </w:t>
      </w:r>
      <w:r w:rsidRPr="00A41E25">
        <w:rPr>
          <w:rFonts w:ascii="Calibri" w:hAnsi="Calibri" w:cs="Calibri"/>
          <w:szCs w:val="22"/>
        </w:rPr>
        <w:t xml:space="preserve">izvršni direktor Zajedničkog poduzeća za </w:t>
      </w:r>
      <w:proofErr w:type="spellStart"/>
      <w:r>
        <w:rPr>
          <w:rFonts w:ascii="Calibri" w:hAnsi="Calibri" w:cs="Calibri"/>
          <w:szCs w:val="22"/>
        </w:rPr>
        <w:t>gorivne</w:t>
      </w:r>
      <w:proofErr w:type="spellEnd"/>
      <w:r>
        <w:rPr>
          <w:rFonts w:ascii="Calibri" w:hAnsi="Calibri" w:cs="Calibri"/>
          <w:szCs w:val="22"/>
        </w:rPr>
        <w:t xml:space="preserve"> članke i vodik (FCH JU) — vodeće organizacije kroz koju Europska komisija promiče upotrebu vodikovih tehnologija, upoznao je skup sa s</w:t>
      </w:r>
      <w:r w:rsidRPr="00A41E25">
        <w:rPr>
          <w:rFonts w:ascii="Calibri" w:hAnsi="Calibri" w:cs="Calibri"/>
          <w:szCs w:val="22"/>
        </w:rPr>
        <w:t>tatus</w:t>
      </w:r>
      <w:r>
        <w:rPr>
          <w:rFonts w:ascii="Calibri" w:hAnsi="Calibri" w:cs="Calibri"/>
          <w:szCs w:val="22"/>
        </w:rPr>
        <w:t>om</w:t>
      </w:r>
      <w:r w:rsidRPr="00A41E25">
        <w:rPr>
          <w:rFonts w:ascii="Calibri" w:hAnsi="Calibri" w:cs="Calibri"/>
          <w:szCs w:val="22"/>
        </w:rPr>
        <w:t xml:space="preserve"> vodi</w:t>
      </w:r>
      <w:r>
        <w:rPr>
          <w:rFonts w:ascii="Calibri" w:hAnsi="Calibri" w:cs="Calibri"/>
          <w:szCs w:val="22"/>
        </w:rPr>
        <w:t xml:space="preserve">ka i </w:t>
      </w:r>
      <w:proofErr w:type="spellStart"/>
      <w:r>
        <w:rPr>
          <w:rFonts w:ascii="Calibri" w:hAnsi="Calibri" w:cs="Calibri"/>
          <w:szCs w:val="22"/>
        </w:rPr>
        <w:t>gorivnih</w:t>
      </w:r>
      <w:proofErr w:type="spellEnd"/>
      <w:r>
        <w:rPr>
          <w:rFonts w:ascii="Calibri" w:hAnsi="Calibri" w:cs="Calibri"/>
          <w:szCs w:val="22"/>
        </w:rPr>
        <w:t xml:space="preserve"> članaka u Europi te</w:t>
      </w:r>
      <w:r w:rsidRPr="00A41E25">
        <w:rPr>
          <w:rFonts w:ascii="Calibri" w:hAnsi="Calibri" w:cs="Calibri"/>
          <w:szCs w:val="22"/>
        </w:rPr>
        <w:t xml:space="preserve"> potencijali</w:t>
      </w:r>
      <w:r>
        <w:rPr>
          <w:rFonts w:ascii="Calibri" w:hAnsi="Calibri" w:cs="Calibri"/>
          <w:szCs w:val="22"/>
        </w:rPr>
        <w:t>ma</w:t>
      </w:r>
      <w:r w:rsidRPr="00A41E25">
        <w:rPr>
          <w:rFonts w:ascii="Calibri" w:hAnsi="Calibri" w:cs="Calibri"/>
          <w:szCs w:val="22"/>
        </w:rPr>
        <w:t xml:space="preserve"> u Hrvatskoj</w:t>
      </w:r>
      <w:r>
        <w:rPr>
          <w:rFonts w:ascii="Calibri" w:hAnsi="Calibri" w:cs="Calibri"/>
          <w:szCs w:val="22"/>
        </w:rPr>
        <w:t xml:space="preserve">. Istaknuo je zadovoljstvo interesom koji Vlada, industrija i istraživačka zajednica u Hrvatskoj pokazuju za vodikove tehnologije te dodao: </w:t>
      </w:r>
      <w:r w:rsidRPr="00FF0897">
        <w:rPr>
          <w:rFonts w:ascii="Calibri" w:hAnsi="Calibri" w:cs="Calibri"/>
          <w:i/>
          <w:szCs w:val="22"/>
        </w:rPr>
        <w:t>„</w:t>
      </w:r>
      <w:r>
        <w:rPr>
          <w:rFonts w:ascii="Calibri" w:hAnsi="Calibri" w:cs="Calibri"/>
          <w:i/>
          <w:szCs w:val="22"/>
        </w:rPr>
        <w:t>Upotreba vodika u prometu doprinosi</w:t>
      </w:r>
      <w:r w:rsidRPr="00FF0897">
        <w:rPr>
          <w:rFonts w:ascii="Calibri" w:hAnsi="Calibri" w:cs="Calibri"/>
          <w:i/>
          <w:szCs w:val="22"/>
        </w:rPr>
        <w:t xml:space="preserve"> </w:t>
      </w:r>
      <w:proofErr w:type="spellStart"/>
      <w:r w:rsidRPr="00FF0897">
        <w:rPr>
          <w:rFonts w:ascii="Calibri" w:hAnsi="Calibri" w:cs="Calibri"/>
          <w:i/>
          <w:szCs w:val="22"/>
        </w:rPr>
        <w:t>dekarbonizaciji</w:t>
      </w:r>
      <w:proofErr w:type="spellEnd"/>
      <w:r w:rsidRPr="00FF0897">
        <w:rPr>
          <w:rFonts w:ascii="Calibri" w:hAnsi="Calibri" w:cs="Calibri"/>
          <w:i/>
          <w:szCs w:val="22"/>
        </w:rPr>
        <w:t xml:space="preserve"> našeg društva te </w:t>
      </w:r>
      <w:r>
        <w:rPr>
          <w:rFonts w:ascii="Calibri" w:hAnsi="Calibri" w:cs="Calibri"/>
          <w:szCs w:val="22"/>
        </w:rPr>
        <w:t>o</w:t>
      </w:r>
      <w:r w:rsidRPr="00F11205">
        <w:rPr>
          <w:rFonts w:ascii="Calibri" w:hAnsi="Calibri" w:cs="Calibri"/>
          <w:i/>
          <w:szCs w:val="22"/>
        </w:rPr>
        <w:t xml:space="preserve">čekujem da će ova konferencija </w:t>
      </w:r>
      <w:r>
        <w:rPr>
          <w:rFonts w:ascii="Calibri" w:hAnsi="Calibri" w:cs="Calibri"/>
          <w:i/>
          <w:szCs w:val="22"/>
        </w:rPr>
        <w:t>dati</w:t>
      </w:r>
      <w:r w:rsidRPr="00F11205">
        <w:rPr>
          <w:rFonts w:ascii="Calibri" w:hAnsi="Calibri" w:cs="Calibri"/>
          <w:i/>
          <w:szCs w:val="22"/>
        </w:rPr>
        <w:t xml:space="preserve"> dragocjen doprinos hrvatskom Nacionalnom </w:t>
      </w:r>
      <w:r>
        <w:rPr>
          <w:rFonts w:ascii="Calibri" w:hAnsi="Calibri" w:cs="Calibri"/>
          <w:i/>
          <w:szCs w:val="22"/>
        </w:rPr>
        <w:t>energetskom i klimatskom planu te pripadajućem P</w:t>
      </w:r>
      <w:r w:rsidRPr="00F11205">
        <w:rPr>
          <w:rFonts w:ascii="Calibri" w:hAnsi="Calibri" w:cs="Calibri"/>
          <w:i/>
          <w:szCs w:val="22"/>
        </w:rPr>
        <w:t>lanu infrastrukture alternativnih goriva</w:t>
      </w:r>
      <w:r>
        <w:rPr>
          <w:rFonts w:ascii="Calibri" w:hAnsi="Calibri" w:cs="Calibri"/>
          <w:szCs w:val="22"/>
        </w:rPr>
        <w:t>.“</w:t>
      </w:r>
    </w:p>
    <w:p w14:paraId="7A02E5BF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</w:p>
    <w:p w14:paraId="5C34C6FF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Profesor Frano Barbir s Fakulteta</w:t>
      </w:r>
      <w:r w:rsidRPr="00A41E25">
        <w:rPr>
          <w:rFonts w:ascii="Calibri" w:hAnsi="Calibri" w:cs="Calibri"/>
          <w:szCs w:val="22"/>
        </w:rPr>
        <w:t xml:space="preserve"> elektronike, strojarstva i brodogradnje u Splitu,</w:t>
      </w:r>
      <w:r>
        <w:rPr>
          <w:rFonts w:ascii="Calibri" w:hAnsi="Calibri" w:cs="Calibri"/>
          <w:szCs w:val="22"/>
        </w:rPr>
        <w:t xml:space="preserve"> koji je istovremeno u rukovodećim tijelima FCH JU-a te</w:t>
      </w:r>
      <w:r w:rsidRPr="00A41E25">
        <w:rPr>
          <w:rFonts w:ascii="Calibri" w:hAnsi="Calibri" w:cs="Calibri"/>
          <w:szCs w:val="22"/>
        </w:rPr>
        <w:t xml:space="preserve"> Međunarodnog udruženja za energiju iz vodika</w:t>
      </w:r>
      <w:r>
        <w:rPr>
          <w:rFonts w:ascii="Calibri" w:hAnsi="Calibri" w:cs="Calibri"/>
          <w:szCs w:val="22"/>
        </w:rPr>
        <w:t xml:space="preserve">, istaknuo je da vodik više nije znanstvena fantastika, već zauzima sve važniju ulogu u opskrbi energijom. </w:t>
      </w:r>
      <w:r w:rsidRPr="001F5C1A">
        <w:rPr>
          <w:rFonts w:ascii="Calibri" w:hAnsi="Calibri" w:cs="Calibri"/>
          <w:i/>
          <w:szCs w:val="22"/>
        </w:rPr>
        <w:t>„</w:t>
      </w:r>
      <w:r w:rsidRPr="001F5C1A">
        <w:rPr>
          <w:rFonts w:ascii="Calibri" w:hAnsi="Calibri" w:cs="Calibri"/>
          <w:i/>
          <w:color w:val="000000"/>
          <w:szCs w:val="22"/>
        </w:rPr>
        <w:t xml:space="preserve">Vodik i </w:t>
      </w:r>
      <w:proofErr w:type="spellStart"/>
      <w:r w:rsidRPr="001F5C1A">
        <w:rPr>
          <w:rFonts w:ascii="Calibri" w:hAnsi="Calibri" w:cs="Calibri"/>
          <w:i/>
          <w:color w:val="000000"/>
          <w:szCs w:val="22"/>
        </w:rPr>
        <w:t>gorivni</w:t>
      </w:r>
      <w:proofErr w:type="spellEnd"/>
      <w:r w:rsidRPr="001F5C1A">
        <w:rPr>
          <w:rFonts w:ascii="Calibri" w:hAnsi="Calibri" w:cs="Calibri"/>
          <w:i/>
          <w:color w:val="000000"/>
          <w:szCs w:val="22"/>
        </w:rPr>
        <w:t xml:space="preserve"> članci koji od vodika proizvode električnu energiju imaju prednost nad baterijama u težim vozilima i vozilima koja trebaju imati veći doseg</w:t>
      </w:r>
      <w:r>
        <w:rPr>
          <w:rFonts w:ascii="Calibri" w:hAnsi="Calibri" w:cs="Calibri"/>
          <w:i/>
          <w:color w:val="000000"/>
          <w:szCs w:val="22"/>
        </w:rPr>
        <w:t>,</w:t>
      </w:r>
      <w:r w:rsidRPr="001F5C1A">
        <w:rPr>
          <w:rFonts w:ascii="Calibri" w:hAnsi="Calibri" w:cs="Calibri"/>
          <w:i/>
          <w:color w:val="000000"/>
          <w:szCs w:val="22"/>
        </w:rPr>
        <w:t xml:space="preserve"> kao što su autobusi, kamioni, vlakovi i brodovi. U </w:t>
      </w:r>
      <w:r>
        <w:rPr>
          <w:rFonts w:ascii="Calibri" w:hAnsi="Calibri" w:cs="Calibri"/>
          <w:i/>
          <w:color w:val="000000"/>
          <w:szCs w:val="22"/>
        </w:rPr>
        <w:t>s</w:t>
      </w:r>
      <w:r w:rsidRPr="001F5C1A">
        <w:rPr>
          <w:rFonts w:ascii="Calibri" w:hAnsi="Calibri" w:cs="Calibri"/>
          <w:i/>
          <w:color w:val="000000"/>
          <w:szCs w:val="22"/>
        </w:rPr>
        <w:t xml:space="preserve">vijetu i Europi se uvode vozila na vodik i Hrvatska bi se </w:t>
      </w:r>
      <w:r>
        <w:rPr>
          <w:rFonts w:ascii="Calibri" w:hAnsi="Calibri" w:cs="Calibri"/>
          <w:i/>
          <w:color w:val="000000"/>
          <w:szCs w:val="22"/>
        </w:rPr>
        <w:t>trebala uključiti u te trendove</w:t>
      </w:r>
      <w:r w:rsidRPr="001F5C1A">
        <w:rPr>
          <w:rFonts w:ascii="Calibri" w:hAnsi="Calibri" w:cs="Calibri"/>
          <w:i/>
          <w:color w:val="000000"/>
          <w:szCs w:val="22"/>
        </w:rPr>
        <w:t>“</w:t>
      </w:r>
      <w:r>
        <w:rPr>
          <w:rFonts w:ascii="Calibri" w:hAnsi="Calibri" w:cs="Calibri"/>
          <w:color w:val="000000"/>
          <w:szCs w:val="22"/>
        </w:rPr>
        <w:t xml:space="preserve">, zaključuje profesor Barbir. </w:t>
      </w:r>
    </w:p>
    <w:p w14:paraId="6FC31327" w14:textId="77777777" w:rsidR="00FB19F7" w:rsidRDefault="00FB19F7" w:rsidP="00FB19F7">
      <w:pPr>
        <w:ind w:right="140"/>
        <w:jc w:val="both"/>
        <w:rPr>
          <w:rFonts w:ascii="Calibri" w:hAnsi="Calibri" w:cs="Calibri"/>
          <w:szCs w:val="22"/>
        </w:rPr>
      </w:pPr>
    </w:p>
    <w:p w14:paraId="29C2BC4D" w14:textId="77777777" w:rsidR="00FB19F7" w:rsidRPr="008210DE" w:rsidRDefault="00FB19F7" w:rsidP="00FB19F7">
      <w:pPr>
        <w:ind w:right="1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Skupu su prisustvovali brojni predstavnici akademske i poslovne zajednice. S</w:t>
      </w:r>
      <w:r w:rsidRPr="00A41E25">
        <w:rPr>
          <w:rFonts w:ascii="Calibri" w:hAnsi="Calibri" w:cs="Calibri"/>
          <w:szCs w:val="22"/>
        </w:rPr>
        <w:t xml:space="preserve"> mogućnostima vodika u Hrvat</w:t>
      </w:r>
      <w:r>
        <w:rPr>
          <w:rFonts w:ascii="Calibri" w:hAnsi="Calibri" w:cs="Calibri"/>
          <w:szCs w:val="22"/>
        </w:rPr>
        <w:t>skoj iz perspektive Ine upoznala ih</w:t>
      </w:r>
      <w:r w:rsidRPr="00A41E25">
        <w:rPr>
          <w:rFonts w:ascii="Calibri" w:hAnsi="Calibri" w:cs="Calibri"/>
          <w:szCs w:val="22"/>
        </w:rPr>
        <w:t xml:space="preserve"> je Vesna </w:t>
      </w:r>
      <w:proofErr w:type="spellStart"/>
      <w:r w:rsidRPr="00A41E25">
        <w:rPr>
          <w:rFonts w:ascii="Calibri" w:hAnsi="Calibri" w:cs="Calibri"/>
          <w:szCs w:val="22"/>
        </w:rPr>
        <w:t>Kučan</w:t>
      </w:r>
      <w:proofErr w:type="spellEnd"/>
      <w:r w:rsidRPr="00A41E25">
        <w:rPr>
          <w:rFonts w:ascii="Calibri" w:hAnsi="Calibri" w:cs="Calibri"/>
          <w:szCs w:val="22"/>
        </w:rPr>
        <w:t xml:space="preserve"> Polak, direktorica Istraživanja i razvoja rafinerijskog poslovanja Ine</w:t>
      </w:r>
      <w:r>
        <w:rPr>
          <w:rFonts w:ascii="Calibri" w:hAnsi="Calibri" w:cs="Calibri"/>
          <w:szCs w:val="22"/>
        </w:rPr>
        <w:t>, dok je u završnom komentaru održanog poslovnog skupa</w:t>
      </w:r>
      <w:r w:rsidRPr="00A41E25">
        <w:rPr>
          <w:rFonts w:ascii="Calibri" w:hAnsi="Calibri" w:cs="Calibri"/>
          <w:szCs w:val="22"/>
        </w:rPr>
        <w:t xml:space="preserve"> Hrvoje Glavaš, direktor Strateškog poslovanja i javnih poslova Ine</w:t>
      </w:r>
      <w:r>
        <w:rPr>
          <w:rFonts w:ascii="Calibri" w:hAnsi="Calibri" w:cs="Calibri"/>
          <w:szCs w:val="22"/>
        </w:rPr>
        <w:t xml:space="preserve">, iznio da su ovakvi skupovi korak ka omogućavanju Hrvatskoj da se aktivno uključi u ovo inovativno područje. </w:t>
      </w:r>
    </w:p>
    <w:p w14:paraId="2EBE96A3" w14:textId="77777777" w:rsidR="00FB19F7" w:rsidRDefault="00FB19F7" w:rsidP="00FB19F7">
      <w:pPr>
        <w:ind w:right="140"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60A5BBB0" w14:textId="77777777" w:rsidR="00FB19F7" w:rsidRDefault="00FB19F7" w:rsidP="00FB19F7">
      <w:pPr>
        <w:ind w:right="140"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511E2BEC" w14:textId="77777777" w:rsidR="00FB19F7" w:rsidRPr="00462DB1" w:rsidRDefault="00FB19F7" w:rsidP="00FB19F7">
      <w:pPr>
        <w:ind w:right="140"/>
        <w:jc w:val="both"/>
        <w:rPr>
          <w:rFonts w:ascii="Calibri" w:hAnsi="Calibri" w:cs="Calibri"/>
          <w:i/>
          <w:szCs w:val="22"/>
        </w:rPr>
      </w:pPr>
      <w:r w:rsidRPr="00F95325">
        <w:rPr>
          <w:rFonts w:ascii="Calibri" w:eastAsia="Calibri" w:hAnsi="Calibri" w:cs="Arial"/>
          <w:b/>
          <w:sz w:val="20"/>
          <w:szCs w:val="20"/>
        </w:rPr>
        <w:t xml:space="preserve">O INA Grupi </w:t>
      </w:r>
    </w:p>
    <w:p w14:paraId="0D87E689" w14:textId="77777777" w:rsidR="00FB19F7" w:rsidRPr="00F95325" w:rsidRDefault="00FB19F7" w:rsidP="00FB19F7">
      <w:pPr>
        <w:jc w:val="both"/>
        <w:rPr>
          <w:rFonts w:ascii="Calibri" w:eastAsia="Calibri" w:hAnsi="Calibri" w:cs="Arial"/>
          <w:sz w:val="20"/>
          <w:szCs w:val="20"/>
        </w:rPr>
      </w:pPr>
      <w:r w:rsidRPr="00F95325">
        <w:rPr>
          <w:rFonts w:ascii="Calibri" w:eastAsia="Calibri" w:hAnsi="Calibr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500 maloprodajnih mjesta u Hrvatskoj i u susjednim zemljama. INA Grupa članica je MOL Grupe.</w:t>
      </w:r>
    </w:p>
    <w:p w14:paraId="31A3DB87" w14:textId="77777777" w:rsidR="00FB19F7" w:rsidRPr="00F95325" w:rsidRDefault="00FB19F7" w:rsidP="00FB19F7">
      <w:pPr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7629A800" w14:textId="77777777" w:rsidR="00FB19F7" w:rsidRPr="00F95325" w:rsidRDefault="00FB19F7" w:rsidP="00FB19F7">
      <w:pPr>
        <w:jc w:val="both"/>
        <w:rPr>
          <w:rFonts w:ascii="Calibri" w:eastAsia="Calibri" w:hAnsi="Calibri" w:cs="Arial"/>
          <w:sz w:val="20"/>
          <w:szCs w:val="20"/>
        </w:rPr>
      </w:pPr>
      <w:r w:rsidRPr="00F95325">
        <w:rPr>
          <w:rFonts w:ascii="Calibri" w:eastAsia="Calibri" w:hAnsi="Calibri" w:cs="Arial"/>
          <w:b/>
          <w:sz w:val="20"/>
          <w:szCs w:val="20"/>
        </w:rPr>
        <w:t>PR</w:t>
      </w:r>
      <w:r w:rsidRPr="00F95325">
        <w:rPr>
          <w:rFonts w:ascii="Calibri" w:eastAsia="Calibri" w:hAnsi="Calibri" w:cs="Arial"/>
          <w:b/>
          <w:sz w:val="20"/>
          <w:szCs w:val="20"/>
        </w:rPr>
        <w:tab/>
      </w:r>
    </w:p>
    <w:p w14:paraId="371EFFA9" w14:textId="77777777" w:rsidR="00FB19F7" w:rsidRPr="00F95325" w:rsidRDefault="00FB19F7" w:rsidP="00FB19F7">
      <w:pPr>
        <w:jc w:val="both"/>
        <w:rPr>
          <w:rFonts w:ascii="Calibri" w:eastAsia="Calibri" w:hAnsi="Calibri" w:cs="Arial"/>
          <w:sz w:val="20"/>
          <w:szCs w:val="20"/>
        </w:rPr>
      </w:pPr>
      <w:r w:rsidRPr="00F95325">
        <w:rPr>
          <w:rFonts w:ascii="Calibri" w:eastAsia="Calibri" w:hAnsi="Calibri" w:cs="Arial"/>
          <w:sz w:val="20"/>
          <w:szCs w:val="20"/>
        </w:rPr>
        <w:t>Avenija Većeslava Holjevca 10, Zagreb</w:t>
      </w:r>
    </w:p>
    <w:p w14:paraId="3B42D362" w14:textId="77777777" w:rsidR="00FB19F7" w:rsidRPr="00F95325" w:rsidRDefault="00FB19F7" w:rsidP="00FB19F7">
      <w:pPr>
        <w:jc w:val="both"/>
        <w:rPr>
          <w:rFonts w:ascii="Calibri" w:eastAsia="Calibri" w:hAnsi="Calibri" w:cs="Arial"/>
          <w:color w:val="0000FF"/>
          <w:sz w:val="20"/>
          <w:szCs w:val="20"/>
          <w:u w:val="single"/>
        </w:rPr>
      </w:pPr>
      <w:r w:rsidRPr="00F95325">
        <w:rPr>
          <w:rFonts w:ascii="Calibri" w:eastAsia="Calibri" w:hAnsi="Calibri" w:cs="Arial"/>
          <w:sz w:val="20"/>
          <w:szCs w:val="20"/>
        </w:rPr>
        <w:t xml:space="preserve">Tel:  01 6450 552|Fax: 01 6452 406| @: </w:t>
      </w:r>
      <w:hyperlink r:id="rId20" w:history="1">
        <w:r w:rsidRPr="00F95325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pr@ina.hr</w:t>
        </w:r>
      </w:hyperlink>
    </w:p>
    <w:p w14:paraId="438CEB72" w14:textId="38FF1A11" w:rsidR="00C960F7" w:rsidRPr="00E154FC" w:rsidRDefault="00C960F7" w:rsidP="00FB19F7">
      <w:pPr>
        <w:tabs>
          <w:tab w:val="left" w:pos="8220"/>
        </w:tabs>
        <w:ind w:left="5664"/>
        <w:jc w:val="center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bookmarkStart w:id="0" w:name="_GoBack"/>
      <w:bookmarkEnd w:id="0"/>
    </w:p>
    <w:sectPr w:rsidR="00C960F7" w:rsidRPr="00E154FC" w:rsidSect="00FB19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1A2D" w14:textId="77777777" w:rsidR="00CA7593" w:rsidRDefault="00CA7593">
      <w:r>
        <w:separator/>
      </w:r>
    </w:p>
  </w:endnote>
  <w:endnote w:type="continuationSeparator" w:id="0">
    <w:p w14:paraId="348FD5DA" w14:textId="77777777" w:rsidR="00CA7593" w:rsidRDefault="00C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35C6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AB4EF" w14:textId="77777777" w:rsidR="005922EC" w:rsidRDefault="00CA759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CAE4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527F0" wp14:editId="7D29F68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A1A0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A284326" w14:textId="77777777" w:rsidR="005922EC" w:rsidRPr="00BE07FB" w:rsidRDefault="00CA759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6C5619E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5A4FD1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58E665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2F93C0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E7F936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F46DA9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0C3CD3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8DD75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08BFBA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541181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462AE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7E9E0F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2689B9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26596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6440CB4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4C3AD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1F420FD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DA22CC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9BAD5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33705D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E2BB1D1" w14:textId="77777777" w:rsidR="005922EC" w:rsidRDefault="00CA759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D517A1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9C686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02484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4075B1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93DE75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6E166C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030962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2FDBA1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AD940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B7B0CF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AAC215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87CB6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C928B6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CFBB51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F5FA4D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3440316" w14:textId="77777777" w:rsidR="005922EC" w:rsidRDefault="00CA7593">
          <w:pPr>
            <w:pStyle w:val="Footer"/>
            <w:rPr>
              <w:rFonts w:cs="Arial"/>
              <w:sz w:val="12"/>
            </w:rPr>
          </w:pPr>
        </w:p>
      </w:tc>
    </w:tr>
    <w:tr w:rsidR="005922EC" w14:paraId="2C6E5499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0E7A7F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2240C5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1BFB573B" w14:textId="77777777" w:rsidR="005922EC" w:rsidRDefault="00CA75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4E2730" w14:textId="77777777" w:rsidR="005922EC" w:rsidRDefault="00CA759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5420B1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1B15DF5" w14:textId="77777777" w:rsidR="005922EC" w:rsidRDefault="00CA7593">
          <w:pPr>
            <w:pStyle w:val="Footer"/>
            <w:rPr>
              <w:rFonts w:cs="Arial"/>
              <w:sz w:val="12"/>
            </w:rPr>
          </w:pPr>
        </w:p>
      </w:tc>
    </w:tr>
  </w:tbl>
  <w:p w14:paraId="1FB04E32" w14:textId="77777777" w:rsidR="005922EC" w:rsidRPr="00BE07FB" w:rsidRDefault="00CA7593">
    <w:pPr>
      <w:rPr>
        <w:sz w:val="2"/>
        <w:szCs w:val="2"/>
      </w:rPr>
    </w:pPr>
  </w:p>
  <w:p w14:paraId="49B49B1F" w14:textId="77777777" w:rsidR="005922EC" w:rsidRPr="00B976E5" w:rsidRDefault="00CA759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9C93" w14:textId="77777777" w:rsidR="005922EC" w:rsidRDefault="00CA7593" w:rsidP="005E2581">
    <w:pPr>
      <w:pStyle w:val="Footer"/>
      <w:ind w:right="360"/>
      <w:rPr>
        <w:sz w:val="2"/>
      </w:rPr>
    </w:pPr>
  </w:p>
  <w:p w14:paraId="1C897531" w14:textId="77777777" w:rsidR="005922EC" w:rsidRDefault="00CA7593">
    <w:pPr>
      <w:pStyle w:val="Footer"/>
      <w:rPr>
        <w:sz w:val="2"/>
      </w:rPr>
    </w:pPr>
  </w:p>
  <w:p w14:paraId="60619EB5" w14:textId="77777777" w:rsidR="005922EC" w:rsidRDefault="00CA7593" w:rsidP="001F421D">
    <w:pPr>
      <w:pStyle w:val="Footer"/>
      <w:ind w:right="360"/>
      <w:rPr>
        <w:sz w:val="2"/>
      </w:rPr>
    </w:pPr>
  </w:p>
  <w:p w14:paraId="1C1271A7" w14:textId="77777777" w:rsidR="005922EC" w:rsidRDefault="00CA759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B8682D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A9EDCBA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575A70" w14:textId="77777777" w:rsidR="005922EC" w:rsidRDefault="00CA759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98D785F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2C3541B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227112E" w14:textId="77777777" w:rsidR="005922EC" w:rsidRPr="00374688" w:rsidRDefault="00CA759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7FCAC34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0B3B758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A7593">
            <w:fldChar w:fldCharType="begin"/>
          </w:r>
          <w:r w:rsidR="00CA7593">
            <w:instrText xml:space="preserve"> NUMPAGES   \* MERGEFORMAT </w:instrText>
          </w:r>
          <w:r w:rsidR="00CA7593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CA759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CD389FC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34FA057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C6FC8E" w14:textId="77777777" w:rsidR="005922EC" w:rsidRPr="00374688" w:rsidRDefault="00CA759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AA396D2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A615D71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44A8A2D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A7593">
            <w:fldChar w:fldCharType="begin"/>
          </w:r>
          <w:r w:rsidR="00CA7593">
            <w:instrText xml:space="preserve"> NUMPAGES   \* MERGEFORMAT </w:instrText>
          </w:r>
          <w:r w:rsidR="00CA7593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CA7593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0DDD227" w14:textId="77777777" w:rsidR="005922EC" w:rsidRDefault="00CA759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07107CBB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6BE86E59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D6BBDB8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95A1DA1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12F5E89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14A9EA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6B69583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59298D5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FDFFD7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CBA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49B3004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8DE4CB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E8F03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F7FA79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4C881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60EDF4E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399AF91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9F12DC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47739C3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CEFC6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5987235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4625876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12DDF0CD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EDE311C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0EE4D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F6E455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46681F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B9450C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3EB7B5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BE6C5E4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4F42923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7F058B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A89482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FA2569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E1995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46C4129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0B0ED7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2453DF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5675AA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D0F9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51C98D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51FF00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54835C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E43E9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E51CA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2BF807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7B0826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69870766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C33C26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B6986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0027CB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7760A2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0C2ECC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01BA6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BDE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31E311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84F4E0C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5720FD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3D6205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A2974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609215B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F58240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36A5DB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3299C1B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FA8947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153978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9062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C9D3C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2198D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EF1873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4CA3775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6BA071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6F70331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14:paraId="6D42371B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48EB84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7FDF3A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26BC3F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3E76AEDA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8DBC1F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A1EC6DF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4565038E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9C04582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03766A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86A6AD1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5908C5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B19F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A7593">
            <w:fldChar w:fldCharType="begin"/>
          </w:r>
          <w:r w:rsidR="00CA7593">
            <w:instrText xml:space="preserve"> NUMPAGES   \* MERGEFORMAT </w:instrText>
          </w:r>
          <w:r w:rsidR="00CA7593">
            <w:fldChar w:fldCharType="separate"/>
          </w:r>
          <w:r w:rsidR="00FB19F7" w:rsidRPr="00FB19F7">
            <w:rPr>
              <w:rFonts w:cs="Arial"/>
              <w:noProof/>
              <w:vanish/>
              <w:sz w:val="11"/>
              <w:szCs w:val="11"/>
            </w:rPr>
            <w:t>2</w:t>
          </w:r>
          <w:r w:rsidR="00CA759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3FA4D124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F46348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35A05FE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51EA6C8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0F83330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D07B80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B19F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A7593">
            <w:fldChar w:fldCharType="begin"/>
          </w:r>
          <w:r w:rsidR="00CA7593">
            <w:instrText xml:space="preserve"> NUMPAGES   \* MERGEFORMAT </w:instrText>
          </w:r>
          <w:r w:rsidR="00CA7593">
            <w:fldChar w:fldCharType="separate"/>
          </w:r>
          <w:r w:rsidR="00FB19F7" w:rsidRPr="00FB19F7">
            <w:rPr>
              <w:rFonts w:cs="Arial"/>
              <w:noProof/>
              <w:vanish/>
              <w:sz w:val="11"/>
              <w:szCs w:val="11"/>
            </w:rPr>
            <w:t>2</w:t>
          </w:r>
          <w:r w:rsidR="00CA759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3F112DC" w14:textId="77777777" w:rsidR="005922EC" w:rsidRPr="00B622A1" w:rsidRDefault="00CA7593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B217" w14:textId="77777777" w:rsidR="005922EC" w:rsidRDefault="00CA7593">
    <w:pPr>
      <w:pStyle w:val="Footer"/>
      <w:rPr>
        <w:sz w:val="2"/>
      </w:rPr>
    </w:pPr>
  </w:p>
  <w:p w14:paraId="02592780" w14:textId="77777777" w:rsidR="005922EC" w:rsidRDefault="00CA7593">
    <w:pPr>
      <w:pStyle w:val="Footer"/>
      <w:rPr>
        <w:sz w:val="2"/>
      </w:rPr>
    </w:pPr>
  </w:p>
  <w:p w14:paraId="314D18D1" w14:textId="77777777" w:rsidR="005922EC" w:rsidRPr="000164F0" w:rsidRDefault="00CA7593">
    <w:pPr>
      <w:pStyle w:val="Footer"/>
      <w:rPr>
        <w:sz w:val="8"/>
        <w:szCs w:val="8"/>
      </w:rPr>
    </w:pPr>
  </w:p>
  <w:p w14:paraId="75BDD00F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DE3C0E5" w14:textId="77777777" w:rsidR="005922EC" w:rsidRDefault="00CA759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C6545B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761D47A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92BC2C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149B7D5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1E23A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34B474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9FAB87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284DF7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CBCD4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64F57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62AD2DE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3E85E4D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47666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D4D9EE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D5527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3C97D9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3E2F17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455B77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76B753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07BBE68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6445AF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29859B2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F211423" w14:textId="77777777" w:rsidR="005922EC" w:rsidRPr="00473D9C" w:rsidRDefault="00CA759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E73A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C784D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E3E19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67D5D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84B22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6B2D8A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262E8D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2E82A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FA464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0A4747B" w14:textId="77777777" w:rsidR="005922EC" w:rsidRPr="00473D9C" w:rsidRDefault="00CA75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015740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7210956B" w14:textId="77777777" w:rsidR="005922EC" w:rsidRPr="00473D9C" w:rsidRDefault="00CA75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410D2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7A25E92" w14:textId="77777777" w:rsidR="005922EC" w:rsidRPr="00473D9C" w:rsidRDefault="00CA759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12D2D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306D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78D4AD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2051B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68F70A8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85CF8F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1C941C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30EE36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DA535B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060A3A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173CB05" w14:textId="77777777" w:rsidR="005922EC" w:rsidRPr="00473D9C" w:rsidRDefault="00CA75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405C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5A22D05D" w14:textId="77777777" w:rsidR="005922EC" w:rsidRPr="00473D9C" w:rsidRDefault="00CA75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A0756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AC590D2" w14:textId="77777777" w:rsidR="005922EC" w:rsidRPr="00473D9C" w:rsidRDefault="00CA759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5180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CC36F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A64F83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E93646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780422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E77820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9C3290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F0A6C5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EAAA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E9DF3D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CA021F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06432C8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A0F712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D7413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91CC96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0682FB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7FB6682" w14:textId="77777777" w:rsidR="005922EC" w:rsidRPr="00473D9C" w:rsidRDefault="00CA75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E8968D7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B6050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6EB2DF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F2974" w14:textId="77777777" w:rsidR="005922EC" w:rsidRPr="00473D9C" w:rsidRDefault="00CA759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2F64758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D1BCCB8" w14:textId="77777777" w:rsidR="005922EC" w:rsidRPr="00473D9C" w:rsidRDefault="00CA759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887CA36" w14:textId="77777777" w:rsidR="005922EC" w:rsidRPr="00473D9C" w:rsidRDefault="00CA759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38F5C2BF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43178D8" w14:textId="77777777" w:rsidR="005922EC" w:rsidRPr="00473D9C" w:rsidRDefault="00CA759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73CEFC7" w14:textId="77777777" w:rsidR="005922EC" w:rsidRDefault="00CA759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C69F" w14:textId="77777777" w:rsidR="00FB19F7" w:rsidRDefault="00FB19F7">
    <w:pPr>
      <w:pStyle w:val="Footer"/>
      <w:rPr>
        <w:sz w:val="2"/>
      </w:rPr>
    </w:pPr>
  </w:p>
  <w:p w14:paraId="6F1DA497" w14:textId="2AA61CEB" w:rsidR="00FB19F7" w:rsidRDefault="00FB19F7">
    <w:pPr>
      <w:pStyle w:val="Footer"/>
      <w:rPr>
        <w:sz w:val="2"/>
      </w:rPr>
    </w:pPr>
    <w:r>
      <w:rPr>
        <w:noProof/>
        <w:lang w:eastAsia="hr-HR"/>
      </w:rPr>
      <mc:AlternateContent>
        <mc:Choice Requires="wps">
          <w:drawing>
            <wp:anchor distT="4294967293" distB="4294967293" distL="114300" distR="114300" simplePos="0" relativeHeight="251666432" behindDoc="0" locked="0" layoutInCell="0" allowOverlap="1" wp14:anchorId="0DB41A0A" wp14:editId="39B9DED3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A72C0" id="Straight Connector 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7J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wtn+bzK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" o:allowincell="f"/>
          </w:pict>
        </mc:Fallback>
      </mc:AlternateContent>
    </w:r>
  </w:p>
  <w:p w14:paraId="5F40252C" w14:textId="77777777" w:rsidR="00FB19F7" w:rsidRPr="000164F0" w:rsidRDefault="00FB19F7">
    <w:pPr>
      <w:pStyle w:val="Footer"/>
      <w:rPr>
        <w:sz w:val="8"/>
        <w:szCs w:val="8"/>
      </w:rPr>
    </w:pPr>
  </w:p>
  <w:p w14:paraId="3ADEED9D" w14:textId="77777777" w:rsidR="00FB19F7" w:rsidRDefault="00FB19F7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54E77B4" w14:textId="77777777" w:rsidR="00FB19F7" w:rsidRDefault="00FB19F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5B603" w14:textId="53CFA53F" w:rsidR="00FB19F7" w:rsidRPr="00BE07FB" w:rsidRDefault="00FB19F7">
    <w:pPr>
      <w:rPr>
        <w:sz w:val="2"/>
        <w:szCs w:val="2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57B764" wp14:editId="382A8F7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8A2D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"/>
          </w:pict>
        </mc:Fallback>
      </mc:AlternateContent>
    </w:r>
  </w:p>
  <w:p w14:paraId="4794622A" w14:textId="77777777" w:rsidR="00FB19F7" w:rsidRPr="00BE07FB" w:rsidRDefault="00FB19F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FB19F7" w14:paraId="4E2E7EA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286AD44" w14:textId="77777777" w:rsidR="00FB19F7" w:rsidRDefault="00FB19F7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3B1D289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7E69A86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4C2EED4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512770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562C729" w14:textId="77777777" w:rsidR="00FB19F7" w:rsidRDefault="00FB19F7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97F30B6" w14:textId="77777777" w:rsidR="00FB19F7" w:rsidRDefault="00FB19F7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F7C6E2B" w14:textId="77777777" w:rsidR="00FB19F7" w:rsidRDefault="00FB19F7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39B1601" w14:textId="77777777" w:rsidR="00FB19F7" w:rsidRDefault="00FB19F7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FA7E88C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79127F0" w14:textId="77777777" w:rsidR="00FB19F7" w:rsidRDefault="00FB19F7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6B5FD4D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EC34805" w14:textId="77777777" w:rsidR="00FB19F7" w:rsidRDefault="00FB19F7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4AEA184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A76F330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05C2EB0" w14:textId="77777777" w:rsidR="00FB19F7" w:rsidRDefault="00FB19F7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B77DCE5" w14:textId="77777777"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062178F" w14:textId="77777777" w:rsidR="00FB19F7" w:rsidRDefault="00FB19F7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B19F7" w14:paraId="2548A84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8BE6F64" w14:textId="77777777" w:rsidR="00FB19F7" w:rsidRDefault="00FB19F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CC42E8F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3D3B1EFB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02066EA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618EFC9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5B39E27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6C7177B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EDCB74D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470FB35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D62125F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6679291" w14:textId="77777777"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E6E8629" w14:textId="77777777"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11DC9A8" w14:textId="77777777"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0ECE0821" w14:textId="77777777"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11A8227" w14:textId="77777777"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FFD36E" w14:textId="77777777"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15F04D2" w14:textId="77777777" w:rsidR="00FB19F7" w:rsidRDefault="00FB19F7">
          <w:pPr>
            <w:pStyle w:val="Footer"/>
            <w:rPr>
              <w:rFonts w:cs="Arial"/>
              <w:sz w:val="12"/>
            </w:rPr>
          </w:pPr>
        </w:p>
      </w:tc>
    </w:tr>
    <w:tr w:rsidR="00FB19F7" w14:paraId="0BD17CF6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6DA521" w14:textId="77777777"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C64D94C" w14:textId="77777777"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3F1319F" w14:textId="77777777"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70961A6" w14:textId="77777777"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DF402AF" w14:textId="77777777"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517C445" w14:textId="77777777" w:rsidR="00FB19F7" w:rsidRDefault="00FB19F7">
          <w:pPr>
            <w:pStyle w:val="Footer"/>
            <w:rPr>
              <w:rFonts w:cs="Arial"/>
              <w:sz w:val="12"/>
            </w:rPr>
          </w:pPr>
        </w:p>
      </w:tc>
    </w:tr>
  </w:tbl>
  <w:p w14:paraId="7EB3A070" w14:textId="77777777" w:rsidR="00FB19F7" w:rsidRPr="00BE07FB" w:rsidRDefault="00FB19F7">
    <w:pPr>
      <w:rPr>
        <w:sz w:val="2"/>
        <w:szCs w:val="2"/>
      </w:rPr>
    </w:pPr>
  </w:p>
  <w:p w14:paraId="4C1ED5EF" w14:textId="77777777" w:rsidR="00FB19F7" w:rsidRPr="00B976E5" w:rsidRDefault="00FB19F7" w:rsidP="006E06D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B1C9" w14:textId="77777777" w:rsidR="005922EC" w:rsidRDefault="00CA759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8CBC" w14:textId="77777777" w:rsidR="005922EC" w:rsidRDefault="00CA7593">
    <w:pPr>
      <w:pStyle w:val="Footer"/>
      <w:rPr>
        <w:sz w:val="2"/>
      </w:rPr>
    </w:pPr>
  </w:p>
  <w:p w14:paraId="1BD2BAF3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B7F5A70" wp14:editId="4FBD348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27F4E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E5ACE05" w14:textId="77777777" w:rsidR="005922EC" w:rsidRPr="000164F0" w:rsidRDefault="00CA7593">
    <w:pPr>
      <w:pStyle w:val="Footer"/>
      <w:rPr>
        <w:sz w:val="8"/>
        <w:szCs w:val="8"/>
      </w:rPr>
    </w:pPr>
  </w:p>
  <w:p w14:paraId="7C9E9C89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B19F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B19F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BE82462" w14:textId="77777777" w:rsidR="005922EC" w:rsidRDefault="00CA759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605B" w14:textId="77777777" w:rsidR="00CA7593" w:rsidRDefault="00CA7593">
      <w:r>
        <w:separator/>
      </w:r>
    </w:p>
  </w:footnote>
  <w:footnote w:type="continuationSeparator" w:id="0">
    <w:p w14:paraId="6E3B2215" w14:textId="77777777" w:rsidR="00CA7593" w:rsidRDefault="00CA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FF61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7ED5" w14:textId="0CDE29ED" w:rsidR="00765242" w:rsidRPr="0056798D" w:rsidRDefault="00A41E25" w:rsidP="00765242">
    <w:pPr>
      <w:pStyle w:val="Header"/>
      <w:jc w:val="right"/>
      <w:rPr>
        <w:sz w:val="2"/>
      </w:rPr>
    </w:pPr>
    <w:r w:rsidRPr="005A6608">
      <w:rPr>
        <w:noProof/>
        <w:sz w:val="2"/>
        <w:lang w:eastAsia="hr-HR"/>
      </w:rPr>
      <w:drawing>
        <wp:anchor distT="0" distB="0" distL="114300" distR="114300" simplePos="0" relativeHeight="251664384" behindDoc="1" locked="0" layoutInCell="1" allowOverlap="1" wp14:anchorId="41FB1D06" wp14:editId="16571D57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2190115" cy="930275"/>
          <wp:effectExtent l="0" t="0" r="635" b="3175"/>
          <wp:wrapTight wrapText="bothSides">
            <wp:wrapPolygon edited="0">
              <wp:start x="0" y="0"/>
              <wp:lineTo x="0" y="21231"/>
              <wp:lineTo x="21418" y="21231"/>
              <wp:lineTo x="21418" y="0"/>
              <wp:lineTo x="0" y="0"/>
            </wp:wrapPolygon>
          </wp:wrapTight>
          <wp:docPr id="7" name="Picture 7" descr="C:\Users\jofiolic\Downloads\MZOE_H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fiolic\Downloads\MZOE_HR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E96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6597686" wp14:editId="4EEFED8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89B9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43BF379A" w14:textId="77777777" w:rsidR="005922EC" w:rsidRDefault="00CA7593">
    <w:pPr>
      <w:pStyle w:val="Header"/>
      <w:jc w:val="right"/>
      <w:rPr>
        <w:sz w:val="2"/>
      </w:rPr>
    </w:pPr>
  </w:p>
  <w:p w14:paraId="19C4EE08" w14:textId="77777777" w:rsidR="005922EC" w:rsidRDefault="00CA7593">
    <w:pPr>
      <w:pStyle w:val="Header"/>
      <w:jc w:val="right"/>
      <w:rPr>
        <w:sz w:val="2"/>
      </w:rPr>
    </w:pPr>
  </w:p>
  <w:p w14:paraId="32EC6FA4" w14:textId="77777777" w:rsidR="005922EC" w:rsidRDefault="00CA7593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8B7C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2547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A6DEB83" wp14:editId="35F0A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2DDD9" w14:textId="77777777" w:rsidR="005922EC" w:rsidRDefault="00CA7593">
    <w:pPr>
      <w:pStyle w:val="Header"/>
      <w:jc w:val="right"/>
      <w:rPr>
        <w:sz w:val="2"/>
      </w:rPr>
    </w:pPr>
  </w:p>
  <w:p w14:paraId="7D15AB7D" w14:textId="77777777" w:rsidR="005922EC" w:rsidRDefault="00CA7593">
    <w:pPr>
      <w:pStyle w:val="Header"/>
      <w:jc w:val="right"/>
      <w:rPr>
        <w:sz w:val="2"/>
      </w:rPr>
    </w:pPr>
  </w:p>
  <w:p w14:paraId="4360DC90" w14:textId="77777777" w:rsidR="005922EC" w:rsidRPr="0056798D" w:rsidRDefault="00CA759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554A" w14:textId="77777777" w:rsidR="00FB19F7" w:rsidRDefault="00FB19F7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9EEB" w14:textId="77777777" w:rsidR="00FB19F7" w:rsidRDefault="00FB19F7">
    <w:pPr>
      <w:pStyle w:val="Header"/>
      <w:jc w:val="right"/>
      <w:rPr>
        <w:sz w:val="2"/>
      </w:rPr>
    </w:pPr>
  </w:p>
  <w:p w14:paraId="23E78719" w14:textId="77777777" w:rsidR="00FB19F7" w:rsidRDefault="00FB19F7">
    <w:pPr>
      <w:pStyle w:val="Header"/>
      <w:jc w:val="right"/>
      <w:rPr>
        <w:sz w:val="2"/>
      </w:rPr>
    </w:pPr>
  </w:p>
  <w:p w14:paraId="043688E0" w14:textId="77777777" w:rsidR="00FB19F7" w:rsidRDefault="00FB19F7">
    <w:pPr>
      <w:pStyle w:val="Header"/>
      <w:jc w:val="right"/>
      <w:rPr>
        <w:sz w:val="2"/>
      </w:rPr>
    </w:pPr>
  </w:p>
  <w:p w14:paraId="3B2DB518" w14:textId="77777777" w:rsidR="00FB19F7" w:rsidRDefault="00FB19F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BD3E" w14:textId="77777777" w:rsidR="005922EC" w:rsidRDefault="00CA759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FC74" w14:textId="77777777" w:rsidR="005922EC" w:rsidRDefault="00CA759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0712" w14:textId="77777777" w:rsidR="005922EC" w:rsidRDefault="00CA7593">
    <w:pPr>
      <w:pStyle w:val="Header"/>
      <w:jc w:val="right"/>
      <w:rPr>
        <w:sz w:val="2"/>
      </w:rPr>
    </w:pPr>
  </w:p>
  <w:p w14:paraId="1CD3E70D" w14:textId="77777777" w:rsidR="005922EC" w:rsidRDefault="00CA7593">
    <w:pPr>
      <w:pStyle w:val="Header"/>
      <w:jc w:val="right"/>
      <w:rPr>
        <w:sz w:val="2"/>
      </w:rPr>
    </w:pPr>
  </w:p>
  <w:p w14:paraId="0853A954" w14:textId="77777777" w:rsidR="005922EC" w:rsidRDefault="00CA7593">
    <w:pPr>
      <w:pStyle w:val="Header"/>
      <w:jc w:val="right"/>
      <w:rPr>
        <w:sz w:val="2"/>
      </w:rPr>
    </w:pPr>
  </w:p>
  <w:p w14:paraId="0C93B98F" w14:textId="77777777" w:rsidR="005922EC" w:rsidRDefault="00CA759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5F0"/>
    <w:rsid w:val="00082688"/>
    <w:rsid w:val="00083087"/>
    <w:rsid w:val="0008634A"/>
    <w:rsid w:val="00086D45"/>
    <w:rsid w:val="00092078"/>
    <w:rsid w:val="00094970"/>
    <w:rsid w:val="000A0B7A"/>
    <w:rsid w:val="000A0BFF"/>
    <w:rsid w:val="000B085A"/>
    <w:rsid w:val="000B17DB"/>
    <w:rsid w:val="000B2FCB"/>
    <w:rsid w:val="000B327E"/>
    <w:rsid w:val="000B3FC7"/>
    <w:rsid w:val="000B5572"/>
    <w:rsid w:val="000C5C97"/>
    <w:rsid w:val="000D3970"/>
    <w:rsid w:val="000D5FAE"/>
    <w:rsid w:val="000D7645"/>
    <w:rsid w:val="000D7BA3"/>
    <w:rsid w:val="000E050A"/>
    <w:rsid w:val="000E2296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0FF7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5AA7"/>
    <w:rsid w:val="001F7F06"/>
    <w:rsid w:val="0020107F"/>
    <w:rsid w:val="002015E8"/>
    <w:rsid w:val="002019A9"/>
    <w:rsid w:val="0020718E"/>
    <w:rsid w:val="00220153"/>
    <w:rsid w:val="002204D7"/>
    <w:rsid w:val="0022082F"/>
    <w:rsid w:val="002241A9"/>
    <w:rsid w:val="00230476"/>
    <w:rsid w:val="00231270"/>
    <w:rsid w:val="00235180"/>
    <w:rsid w:val="00236461"/>
    <w:rsid w:val="002379B9"/>
    <w:rsid w:val="00243054"/>
    <w:rsid w:val="00245D41"/>
    <w:rsid w:val="00250EE8"/>
    <w:rsid w:val="0025221C"/>
    <w:rsid w:val="0025369E"/>
    <w:rsid w:val="00253F7D"/>
    <w:rsid w:val="00254EEE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A7F11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27A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2FA6"/>
    <w:rsid w:val="00363EF9"/>
    <w:rsid w:val="00364741"/>
    <w:rsid w:val="0036617E"/>
    <w:rsid w:val="00370BFB"/>
    <w:rsid w:val="003716B2"/>
    <w:rsid w:val="00376752"/>
    <w:rsid w:val="003827B9"/>
    <w:rsid w:val="00383C9A"/>
    <w:rsid w:val="00383FF4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715"/>
    <w:rsid w:val="003D0B3E"/>
    <w:rsid w:val="003D3197"/>
    <w:rsid w:val="003D5EF1"/>
    <w:rsid w:val="003E2303"/>
    <w:rsid w:val="003E330B"/>
    <w:rsid w:val="003F016C"/>
    <w:rsid w:val="003F1AD0"/>
    <w:rsid w:val="003F1BF4"/>
    <w:rsid w:val="003F34B8"/>
    <w:rsid w:val="003F39AE"/>
    <w:rsid w:val="00401B14"/>
    <w:rsid w:val="00402C13"/>
    <w:rsid w:val="00402C84"/>
    <w:rsid w:val="00403D95"/>
    <w:rsid w:val="0040555D"/>
    <w:rsid w:val="004150F3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0E00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2BD4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46298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144"/>
    <w:rsid w:val="005C281B"/>
    <w:rsid w:val="005C38B7"/>
    <w:rsid w:val="005C6D79"/>
    <w:rsid w:val="005E10A5"/>
    <w:rsid w:val="005F5215"/>
    <w:rsid w:val="006023CD"/>
    <w:rsid w:val="00602B87"/>
    <w:rsid w:val="006043BC"/>
    <w:rsid w:val="006047C9"/>
    <w:rsid w:val="00607A22"/>
    <w:rsid w:val="00610071"/>
    <w:rsid w:val="00610CC2"/>
    <w:rsid w:val="00610EDE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208F"/>
    <w:rsid w:val="006642E2"/>
    <w:rsid w:val="006669D8"/>
    <w:rsid w:val="00666BB2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6F69A4"/>
    <w:rsid w:val="00701D11"/>
    <w:rsid w:val="00703CC9"/>
    <w:rsid w:val="0070727F"/>
    <w:rsid w:val="007138F1"/>
    <w:rsid w:val="00716A27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46FC3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1E1D"/>
    <w:rsid w:val="00782334"/>
    <w:rsid w:val="00783B4F"/>
    <w:rsid w:val="007874CE"/>
    <w:rsid w:val="00793ABE"/>
    <w:rsid w:val="00795877"/>
    <w:rsid w:val="00796191"/>
    <w:rsid w:val="007B3950"/>
    <w:rsid w:val="007B758F"/>
    <w:rsid w:val="007C026D"/>
    <w:rsid w:val="007C29B5"/>
    <w:rsid w:val="007C4270"/>
    <w:rsid w:val="007C5180"/>
    <w:rsid w:val="007D2B00"/>
    <w:rsid w:val="007D48EA"/>
    <w:rsid w:val="007D497A"/>
    <w:rsid w:val="007E1510"/>
    <w:rsid w:val="007E3311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3078"/>
    <w:rsid w:val="0085767F"/>
    <w:rsid w:val="00860214"/>
    <w:rsid w:val="008608AF"/>
    <w:rsid w:val="00863853"/>
    <w:rsid w:val="00874A6F"/>
    <w:rsid w:val="0087551D"/>
    <w:rsid w:val="00875D7C"/>
    <w:rsid w:val="008760DA"/>
    <w:rsid w:val="008818A3"/>
    <w:rsid w:val="00882566"/>
    <w:rsid w:val="00885AB5"/>
    <w:rsid w:val="008869EC"/>
    <w:rsid w:val="00892FE4"/>
    <w:rsid w:val="00893636"/>
    <w:rsid w:val="00893A5B"/>
    <w:rsid w:val="008951D3"/>
    <w:rsid w:val="00895682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D63D2"/>
    <w:rsid w:val="008D64A8"/>
    <w:rsid w:val="008E1661"/>
    <w:rsid w:val="008E540D"/>
    <w:rsid w:val="008E6FAA"/>
    <w:rsid w:val="008F1640"/>
    <w:rsid w:val="008F27EE"/>
    <w:rsid w:val="00900F2E"/>
    <w:rsid w:val="009020AD"/>
    <w:rsid w:val="00902E9E"/>
    <w:rsid w:val="009034B0"/>
    <w:rsid w:val="00905F02"/>
    <w:rsid w:val="0091144B"/>
    <w:rsid w:val="00911C65"/>
    <w:rsid w:val="0092204A"/>
    <w:rsid w:val="0092213F"/>
    <w:rsid w:val="009222D9"/>
    <w:rsid w:val="009224AB"/>
    <w:rsid w:val="00924C01"/>
    <w:rsid w:val="009255E5"/>
    <w:rsid w:val="009270C6"/>
    <w:rsid w:val="00927F6C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76787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9F5809"/>
    <w:rsid w:val="00A01800"/>
    <w:rsid w:val="00A03FCD"/>
    <w:rsid w:val="00A044C5"/>
    <w:rsid w:val="00A05102"/>
    <w:rsid w:val="00A054AC"/>
    <w:rsid w:val="00A2046A"/>
    <w:rsid w:val="00A30CCF"/>
    <w:rsid w:val="00A333D4"/>
    <w:rsid w:val="00A34B24"/>
    <w:rsid w:val="00A41C51"/>
    <w:rsid w:val="00A41E25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C59"/>
    <w:rsid w:val="00A7591D"/>
    <w:rsid w:val="00A81595"/>
    <w:rsid w:val="00A81A82"/>
    <w:rsid w:val="00A826D2"/>
    <w:rsid w:val="00A900C4"/>
    <w:rsid w:val="00A90D84"/>
    <w:rsid w:val="00A97A0E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3E56"/>
    <w:rsid w:val="00AF4DA7"/>
    <w:rsid w:val="00AF7F43"/>
    <w:rsid w:val="00B04462"/>
    <w:rsid w:val="00B10FBC"/>
    <w:rsid w:val="00B11743"/>
    <w:rsid w:val="00B13C96"/>
    <w:rsid w:val="00B141D4"/>
    <w:rsid w:val="00B22649"/>
    <w:rsid w:val="00B40AEA"/>
    <w:rsid w:val="00B4505E"/>
    <w:rsid w:val="00B45BCA"/>
    <w:rsid w:val="00B462D0"/>
    <w:rsid w:val="00B515FD"/>
    <w:rsid w:val="00B526AA"/>
    <w:rsid w:val="00B54BE7"/>
    <w:rsid w:val="00B54C78"/>
    <w:rsid w:val="00B605E8"/>
    <w:rsid w:val="00B618BA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BF7C5F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A7593"/>
    <w:rsid w:val="00CC1889"/>
    <w:rsid w:val="00CC3652"/>
    <w:rsid w:val="00CC6F61"/>
    <w:rsid w:val="00CE06EE"/>
    <w:rsid w:val="00CE2A1C"/>
    <w:rsid w:val="00CE4FAB"/>
    <w:rsid w:val="00CE592B"/>
    <w:rsid w:val="00CE731D"/>
    <w:rsid w:val="00CF2960"/>
    <w:rsid w:val="00CF36C1"/>
    <w:rsid w:val="00CF663A"/>
    <w:rsid w:val="00D02BD9"/>
    <w:rsid w:val="00D030E5"/>
    <w:rsid w:val="00D03EBC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372DA"/>
    <w:rsid w:val="00D42EE3"/>
    <w:rsid w:val="00D46074"/>
    <w:rsid w:val="00D4621E"/>
    <w:rsid w:val="00D53879"/>
    <w:rsid w:val="00D607BD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DF7C9B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A74FC"/>
    <w:rsid w:val="00EB01FC"/>
    <w:rsid w:val="00EB5115"/>
    <w:rsid w:val="00EB6685"/>
    <w:rsid w:val="00EC09F8"/>
    <w:rsid w:val="00EC5044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202F"/>
    <w:rsid w:val="00F74FF6"/>
    <w:rsid w:val="00F96846"/>
    <w:rsid w:val="00F97176"/>
    <w:rsid w:val="00F9785D"/>
    <w:rsid w:val="00FA378D"/>
    <w:rsid w:val="00FA5CAA"/>
    <w:rsid w:val="00FA74F6"/>
    <w:rsid w:val="00FB19F7"/>
    <w:rsid w:val="00FB3D2D"/>
    <w:rsid w:val="00FC1049"/>
    <w:rsid w:val="00FC3C14"/>
    <w:rsid w:val="00FC42C9"/>
    <w:rsid w:val="00FD1CAC"/>
    <w:rsid w:val="00FD3B25"/>
    <w:rsid w:val="00FD59A5"/>
    <w:rsid w:val="00FE3BF3"/>
    <w:rsid w:val="00FE67D5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501676D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9</cp:revision>
  <cp:lastPrinted>2016-11-16T10:44:00Z</cp:lastPrinted>
  <dcterms:created xsi:type="dcterms:W3CDTF">2019-09-04T07:10:00Z</dcterms:created>
  <dcterms:modified xsi:type="dcterms:W3CDTF">2019-10-10T10:20:00Z</dcterms:modified>
</cp:coreProperties>
</file>