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260049" w:rsidRDefault="00C0068C" w:rsidP="00C0068C">
      <w:pPr>
        <w:jc w:val="both"/>
        <w:rPr>
          <w:rFonts w:asciiTheme="minorHAnsi" w:hAnsiTheme="minorHAnsi" w:cstheme="minorHAnsi"/>
          <w:lang w:val="en-GB"/>
        </w:rPr>
      </w:pPr>
      <w:bookmarkStart w:id="0" w:name="_Hlk101870254"/>
      <w:bookmarkEnd w:id="0"/>
    </w:p>
    <w:p w14:paraId="4F7FB7C1" w14:textId="77777777" w:rsidR="00C0068C" w:rsidRPr="00260049" w:rsidRDefault="00C0068C" w:rsidP="00C0068C">
      <w:pPr>
        <w:jc w:val="both"/>
        <w:rPr>
          <w:rFonts w:asciiTheme="minorHAnsi" w:hAnsiTheme="minorHAnsi" w:cstheme="minorHAnsi"/>
          <w:lang w:val="en-GB"/>
        </w:rPr>
      </w:pPr>
    </w:p>
    <w:p w14:paraId="71B952EF" w14:textId="77777777" w:rsidR="00C0068C" w:rsidRPr="00260049" w:rsidRDefault="00C0068C" w:rsidP="00C0068C">
      <w:pPr>
        <w:jc w:val="both"/>
        <w:rPr>
          <w:rFonts w:asciiTheme="minorHAnsi" w:hAnsiTheme="minorHAnsi" w:cstheme="minorHAnsi"/>
          <w:lang w:val="en-GB"/>
        </w:rPr>
      </w:pPr>
    </w:p>
    <w:p w14:paraId="6DAF8346" w14:textId="77777777" w:rsidR="00C0068C" w:rsidRPr="00260049" w:rsidRDefault="00C0068C" w:rsidP="00C0068C">
      <w:pPr>
        <w:jc w:val="both"/>
        <w:rPr>
          <w:rFonts w:asciiTheme="minorHAnsi" w:hAnsiTheme="minorHAnsi" w:cstheme="minorHAnsi"/>
          <w:lang w:val="en-GB"/>
        </w:rPr>
      </w:pPr>
    </w:p>
    <w:p w14:paraId="014BF65D" w14:textId="77777777" w:rsidR="00C0068C" w:rsidRPr="00260049" w:rsidRDefault="00C0068C" w:rsidP="00C0068C">
      <w:pPr>
        <w:jc w:val="both"/>
        <w:rPr>
          <w:rFonts w:asciiTheme="minorHAnsi" w:hAnsiTheme="minorHAnsi" w:cstheme="minorHAnsi"/>
          <w:lang w:val="en-GB"/>
        </w:rPr>
      </w:pPr>
    </w:p>
    <w:p w14:paraId="5A3710D8" w14:textId="77777777" w:rsidR="00C0068C" w:rsidRPr="00260049" w:rsidRDefault="00C0068C" w:rsidP="00C0068C">
      <w:pPr>
        <w:jc w:val="both"/>
        <w:rPr>
          <w:rFonts w:asciiTheme="minorHAnsi" w:hAnsiTheme="minorHAnsi" w:cstheme="minorHAnsi"/>
          <w:lang w:val="en-GB"/>
        </w:rPr>
      </w:pPr>
    </w:p>
    <w:p w14:paraId="0D8E1E1E" w14:textId="77777777" w:rsidR="00C0068C" w:rsidRPr="00260049" w:rsidRDefault="00C0068C" w:rsidP="00C0068C">
      <w:pPr>
        <w:jc w:val="both"/>
        <w:rPr>
          <w:rFonts w:asciiTheme="minorHAnsi" w:hAnsiTheme="minorHAnsi" w:cstheme="minorHAnsi"/>
          <w:lang w:val="en-GB"/>
        </w:rPr>
      </w:pPr>
    </w:p>
    <w:p w14:paraId="20261634" w14:textId="77777777" w:rsidR="00C0068C" w:rsidRPr="00260049" w:rsidRDefault="00C0068C" w:rsidP="00C0068C">
      <w:pPr>
        <w:jc w:val="both"/>
        <w:rPr>
          <w:rFonts w:asciiTheme="minorHAnsi" w:hAnsiTheme="minorHAnsi" w:cstheme="minorHAnsi"/>
          <w:lang w:val="en-GB"/>
        </w:rPr>
      </w:pPr>
    </w:p>
    <w:p w14:paraId="702E904B" w14:textId="77777777" w:rsidR="00C0068C" w:rsidRPr="00260049" w:rsidRDefault="00C0068C" w:rsidP="00C0068C">
      <w:pPr>
        <w:jc w:val="center"/>
        <w:rPr>
          <w:rFonts w:asciiTheme="minorHAnsi" w:hAnsiTheme="minorHAnsi" w:cstheme="minorHAnsi"/>
          <w:sz w:val="56"/>
          <w:szCs w:val="56"/>
          <w:lang w:val="en-GB"/>
        </w:rPr>
      </w:pPr>
      <w:r w:rsidRPr="00260049">
        <w:rPr>
          <w:rFonts w:asciiTheme="minorHAnsi" w:hAnsiTheme="minorHAnsi" w:cstheme="minorHAnsi"/>
          <w:sz w:val="56"/>
          <w:szCs w:val="56"/>
          <w:lang w:val="en-GB"/>
        </w:rPr>
        <w:t>FINANCIAL RESULTS</w:t>
      </w:r>
    </w:p>
    <w:p w14:paraId="4562916B" w14:textId="092627A1" w:rsidR="00C0068C" w:rsidRPr="00260049" w:rsidRDefault="00623A95" w:rsidP="00C0068C">
      <w:pPr>
        <w:jc w:val="center"/>
        <w:rPr>
          <w:rFonts w:asciiTheme="minorHAnsi" w:hAnsiTheme="minorHAnsi" w:cstheme="minorHAnsi"/>
          <w:sz w:val="56"/>
          <w:szCs w:val="56"/>
          <w:lang w:val="en-GB"/>
        </w:rPr>
      </w:pPr>
      <w:r>
        <w:rPr>
          <w:rFonts w:asciiTheme="minorHAnsi" w:hAnsiTheme="minorHAnsi" w:cstheme="minorHAnsi"/>
          <w:sz w:val="56"/>
          <w:szCs w:val="56"/>
          <w:lang w:val="en-GB"/>
        </w:rPr>
        <w:t>H</w:t>
      </w:r>
      <w:r w:rsidR="008E299C" w:rsidRPr="00260049">
        <w:rPr>
          <w:rFonts w:asciiTheme="minorHAnsi" w:hAnsiTheme="minorHAnsi" w:cstheme="minorHAnsi"/>
          <w:sz w:val="56"/>
          <w:szCs w:val="56"/>
          <w:lang w:val="en-GB"/>
        </w:rPr>
        <w:t xml:space="preserve">1 </w:t>
      </w:r>
      <w:r w:rsidR="00C0068C" w:rsidRPr="00260049">
        <w:rPr>
          <w:rFonts w:asciiTheme="minorHAnsi" w:hAnsiTheme="minorHAnsi" w:cstheme="minorHAnsi"/>
          <w:sz w:val="56"/>
          <w:szCs w:val="56"/>
          <w:lang w:val="en-GB"/>
        </w:rPr>
        <w:t>202</w:t>
      </w:r>
      <w:r w:rsidR="007579C7" w:rsidRPr="00260049">
        <w:rPr>
          <w:rFonts w:asciiTheme="minorHAnsi" w:hAnsiTheme="minorHAnsi" w:cstheme="minorHAnsi"/>
          <w:sz w:val="56"/>
          <w:szCs w:val="56"/>
          <w:lang w:val="en-GB"/>
        </w:rPr>
        <w:t>2</w:t>
      </w:r>
    </w:p>
    <w:p w14:paraId="71719F98" w14:textId="77777777" w:rsidR="00C0068C" w:rsidRPr="00260049" w:rsidRDefault="00C0068C" w:rsidP="00C0068C">
      <w:pPr>
        <w:jc w:val="both"/>
        <w:rPr>
          <w:rFonts w:asciiTheme="minorHAnsi" w:hAnsiTheme="minorHAnsi" w:cstheme="minorHAnsi"/>
          <w:sz w:val="56"/>
          <w:szCs w:val="56"/>
          <w:lang w:val="en-GB"/>
        </w:rPr>
      </w:pPr>
    </w:p>
    <w:p w14:paraId="2F046F60" w14:textId="77777777" w:rsidR="00C0068C" w:rsidRPr="00260049" w:rsidRDefault="00C0068C" w:rsidP="00C0068C">
      <w:pPr>
        <w:jc w:val="both"/>
        <w:rPr>
          <w:rFonts w:asciiTheme="minorHAnsi" w:hAnsiTheme="minorHAnsi" w:cstheme="minorHAnsi"/>
          <w:lang w:val="en-GB"/>
        </w:rPr>
      </w:pPr>
    </w:p>
    <w:p w14:paraId="583171BE" w14:textId="77777777" w:rsidR="00C0068C" w:rsidRPr="00260049" w:rsidRDefault="00C0068C" w:rsidP="00C0068C">
      <w:pPr>
        <w:jc w:val="both"/>
        <w:rPr>
          <w:rFonts w:asciiTheme="minorHAnsi" w:hAnsiTheme="minorHAnsi" w:cstheme="minorHAnsi"/>
          <w:lang w:val="en-GB"/>
        </w:rPr>
      </w:pPr>
    </w:p>
    <w:p w14:paraId="7BE564E1" w14:textId="77777777" w:rsidR="00C0068C" w:rsidRPr="00260049" w:rsidRDefault="00C0068C" w:rsidP="00C0068C">
      <w:pPr>
        <w:jc w:val="both"/>
        <w:rPr>
          <w:rFonts w:asciiTheme="minorHAnsi" w:hAnsiTheme="minorHAnsi" w:cstheme="minorHAnsi"/>
          <w:lang w:val="en-GB"/>
        </w:rPr>
      </w:pPr>
    </w:p>
    <w:p w14:paraId="2A5C0A4B" w14:textId="77777777" w:rsidR="00C0068C" w:rsidRPr="00260049" w:rsidRDefault="00C0068C" w:rsidP="00C0068C">
      <w:pPr>
        <w:jc w:val="both"/>
        <w:rPr>
          <w:rFonts w:asciiTheme="minorHAnsi" w:hAnsiTheme="minorHAnsi" w:cstheme="minorHAnsi"/>
          <w:lang w:val="en-GB"/>
        </w:rPr>
      </w:pPr>
    </w:p>
    <w:p w14:paraId="30AFA060" w14:textId="77777777" w:rsidR="00C0068C" w:rsidRPr="00260049" w:rsidRDefault="00C0068C" w:rsidP="00C0068C">
      <w:pPr>
        <w:jc w:val="both"/>
        <w:rPr>
          <w:rFonts w:asciiTheme="minorHAnsi" w:hAnsiTheme="minorHAnsi" w:cstheme="minorHAnsi"/>
          <w:sz w:val="20"/>
          <w:szCs w:val="20"/>
          <w:lang w:val="en-GB"/>
        </w:rPr>
      </w:pPr>
    </w:p>
    <w:p w14:paraId="5CA844BC" w14:textId="77777777" w:rsidR="00C0068C" w:rsidRPr="00260049" w:rsidRDefault="00C0068C" w:rsidP="00C0068C">
      <w:pPr>
        <w:jc w:val="both"/>
        <w:rPr>
          <w:rFonts w:asciiTheme="minorHAnsi" w:hAnsiTheme="minorHAnsi" w:cstheme="minorHAnsi"/>
          <w:sz w:val="20"/>
          <w:szCs w:val="20"/>
          <w:lang w:val="en-GB"/>
        </w:rPr>
      </w:pPr>
    </w:p>
    <w:p w14:paraId="3E61D389" w14:textId="77777777" w:rsidR="00C0068C" w:rsidRPr="00260049" w:rsidRDefault="00C0068C" w:rsidP="00C0068C">
      <w:pPr>
        <w:jc w:val="both"/>
        <w:rPr>
          <w:rFonts w:asciiTheme="minorHAnsi" w:hAnsiTheme="minorHAnsi" w:cstheme="minorHAnsi"/>
          <w:sz w:val="20"/>
          <w:szCs w:val="20"/>
          <w:lang w:val="en-GB"/>
        </w:rPr>
      </w:pPr>
    </w:p>
    <w:p w14:paraId="49FD168C" w14:textId="77777777" w:rsidR="00C0068C" w:rsidRPr="00260049" w:rsidRDefault="00C0068C" w:rsidP="00C0068C">
      <w:pPr>
        <w:jc w:val="both"/>
        <w:rPr>
          <w:rFonts w:asciiTheme="minorHAnsi" w:hAnsiTheme="minorHAnsi" w:cstheme="minorHAnsi"/>
          <w:sz w:val="20"/>
          <w:szCs w:val="20"/>
          <w:lang w:val="en-GB"/>
        </w:rPr>
      </w:pPr>
    </w:p>
    <w:p w14:paraId="0D56C24B" w14:textId="77777777" w:rsidR="00C0068C" w:rsidRPr="00260049" w:rsidRDefault="00C0068C" w:rsidP="00C0068C">
      <w:pPr>
        <w:jc w:val="both"/>
        <w:rPr>
          <w:rFonts w:asciiTheme="minorHAnsi" w:hAnsiTheme="minorHAnsi" w:cstheme="minorHAnsi"/>
          <w:sz w:val="20"/>
          <w:szCs w:val="20"/>
          <w:lang w:val="en-GB"/>
        </w:rPr>
      </w:pPr>
    </w:p>
    <w:p w14:paraId="54686B05" w14:textId="77777777" w:rsidR="00C0068C" w:rsidRPr="00260049" w:rsidRDefault="00C0068C" w:rsidP="00C0068C">
      <w:pPr>
        <w:jc w:val="both"/>
        <w:rPr>
          <w:rFonts w:asciiTheme="minorHAnsi" w:hAnsiTheme="minorHAnsi" w:cstheme="minorHAnsi"/>
          <w:sz w:val="20"/>
          <w:szCs w:val="20"/>
          <w:lang w:val="en-GB"/>
        </w:rPr>
      </w:pPr>
    </w:p>
    <w:p w14:paraId="44DE8C5D" w14:textId="77777777" w:rsidR="00C0068C" w:rsidRPr="00260049" w:rsidRDefault="00C0068C" w:rsidP="00C0068C">
      <w:pPr>
        <w:jc w:val="both"/>
        <w:rPr>
          <w:rFonts w:asciiTheme="minorHAnsi" w:hAnsiTheme="minorHAnsi" w:cstheme="minorHAnsi"/>
          <w:sz w:val="20"/>
          <w:szCs w:val="20"/>
          <w:lang w:val="en-GB"/>
        </w:rPr>
      </w:pPr>
    </w:p>
    <w:p w14:paraId="28BB94B1" w14:textId="77777777" w:rsidR="00C0068C" w:rsidRPr="00260049" w:rsidRDefault="00C0068C" w:rsidP="00C0068C">
      <w:pPr>
        <w:jc w:val="both"/>
        <w:rPr>
          <w:rFonts w:asciiTheme="minorHAnsi" w:hAnsiTheme="minorHAnsi" w:cstheme="minorHAnsi"/>
          <w:sz w:val="20"/>
          <w:szCs w:val="20"/>
          <w:lang w:val="en-GB"/>
        </w:rPr>
      </w:pPr>
    </w:p>
    <w:p w14:paraId="3F441A06"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Contact:</w:t>
      </w:r>
    </w:p>
    <w:p w14:paraId="32A73C36"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INA</w:t>
      </w:r>
    </w:p>
    <w:p w14:paraId="54BDA9E6"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Corporate Communications and Marketing</w:t>
      </w:r>
    </w:p>
    <w:p w14:paraId="0B2BC4EF"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Avenija Većeslava Holjevca 10, Zagreb</w:t>
      </w:r>
    </w:p>
    <w:p w14:paraId="292EB947"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p>
    <w:p w14:paraId="008691F8"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Public Relations</w:t>
      </w:r>
    </w:p>
    <w:p w14:paraId="459A7AE9"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 xml:space="preserve">E-mail:  </w:t>
      </w:r>
      <w:hyperlink r:id="rId8" w:history="1">
        <w:r w:rsidRPr="00260049">
          <w:rPr>
            <w:rStyle w:val="Hyperlink"/>
            <w:rFonts w:asciiTheme="minorHAnsi" w:hAnsiTheme="minorHAnsi" w:cstheme="minorHAnsi"/>
            <w:sz w:val="20"/>
            <w:szCs w:val="20"/>
            <w:lang w:val="en-GB"/>
          </w:rPr>
          <w:t>pr@ina.hr</w:t>
        </w:r>
      </w:hyperlink>
      <w:r w:rsidRPr="00260049">
        <w:rPr>
          <w:rFonts w:asciiTheme="minorHAnsi" w:hAnsiTheme="minorHAnsi" w:cstheme="minorHAnsi"/>
          <w:color w:val="808080" w:themeColor="background1" w:themeShade="80"/>
          <w:sz w:val="20"/>
          <w:szCs w:val="20"/>
          <w:lang w:val="en-GB"/>
        </w:rPr>
        <w:t xml:space="preserve"> </w:t>
      </w:r>
      <w:hyperlink r:id="rId9" w:history="1"/>
      <w:r w:rsidRPr="00260049">
        <w:rPr>
          <w:lang w:val="en-GB"/>
        </w:rPr>
        <w:t xml:space="preserve"> </w:t>
      </w:r>
    </w:p>
    <w:p w14:paraId="526A0FBE" w14:textId="77777777" w:rsidR="00C0068C" w:rsidRPr="00260049" w:rsidRDefault="00C0068C" w:rsidP="00C0068C">
      <w:pPr>
        <w:jc w:val="both"/>
        <w:rPr>
          <w:rFonts w:asciiTheme="minorHAnsi" w:hAnsiTheme="minorHAnsi" w:cstheme="minorHAnsi"/>
          <w:color w:val="808080" w:themeColor="background1" w:themeShade="80"/>
          <w:sz w:val="20"/>
          <w:szCs w:val="20"/>
          <w:lang w:val="en-GB"/>
        </w:rPr>
      </w:pPr>
      <w:r w:rsidRPr="00260049">
        <w:rPr>
          <w:rFonts w:asciiTheme="minorHAnsi" w:hAnsiTheme="minorHAnsi" w:cstheme="minorHAnsi"/>
          <w:color w:val="808080" w:themeColor="background1" w:themeShade="80"/>
          <w:sz w:val="20"/>
          <w:szCs w:val="20"/>
          <w:lang w:val="en-GB"/>
        </w:rPr>
        <w:t xml:space="preserve">Press Centre at </w:t>
      </w:r>
      <w:hyperlink r:id="rId10" w:history="1">
        <w:r w:rsidRPr="00260049">
          <w:rPr>
            <w:rStyle w:val="Hyperlink"/>
            <w:rFonts w:asciiTheme="minorHAnsi" w:hAnsiTheme="minorHAnsi" w:cstheme="minorHAnsi"/>
            <w:color w:val="808080" w:themeColor="background1" w:themeShade="80"/>
            <w:sz w:val="20"/>
            <w:szCs w:val="20"/>
            <w:lang w:val="en-GB"/>
          </w:rPr>
          <w:t>www.ina.hr</w:t>
        </w:r>
      </w:hyperlink>
      <w:r w:rsidRPr="00260049">
        <w:rPr>
          <w:rFonts w:asciiTheme="minorHAnsi" w:hAnsiTheme="minorHAnsi" w:cstheme="minorHAnsi"/>
          <w:color w:val="808080" w:themeColor="background1" w:themeShade="80"/>
          <w:sz w:val="20"/>
          <w:szCs w:val="20"/>
          <w:lang w:val="en-GB"/>
        </w:rPr>
        <w:t xml:space="preserve"> </w:t>
      </w:r>
    </w:p>
    <w:p w14:paraId="49EABBD2" w14:textId="77777777" w:rsidR="00C0068C" w:rsidRPr="00260049" w:rsidRDefault="00C0068C" w:rsidP="00C0068C">
      <w:pPr>
        <w:jc w:val="both"/>
        <w:rPr>
          <w:rFonts w:asciiTheme="minorHAnsi" w:hAnsiTheme="minorHAnsi" w:cstheme="minorHAnsi"/>
          <w:lang w:val="en-GB"/>
        </w:rPr>
        <w:sectPr w:rsidR="00C0068C" w:rsidRPr="00260049" w:rsidSect="0039152A">
          <w:headerReference w:type="default" r:id="rId11"/>
          <w:footerReference w:type="default" r:id="rId12"/>
          <w:pgSz w:w="11906" w:h="16838" w:code="9"/>
          <w:pgMar w:top="3402" w:right="1134" w:bottom="1843" w:left="1418" w:header="851" w:footer="459" w:gutter="0"/>
          <w:cols w:space="708"/>
          <w:docGrid w:linePitch="360"/>
        </w:sectPr>
      </w:pPr>
    </w:p>
    <w:p w14:paraId="4D345249" w14:textId="011BF1EE" w:rsidR="00C0068C" w:rsidRPr="00260049" w:rsidRDefault="00C0068C" w:rsidP="00C0068C">
      <w:pPr>
        <w:jc w:val="both"/>
        <w:rPr>
          <w:rFonts w:asciiTheme="minorHAnsi" w:hAnsiTheme="minorHAnsi" w:cstheme="minorHAnsi"/>
          <w:b/>
          <w:sz w:val="28"/>
          <w:szCs w:val="28"/>
          <w:lang w:val="en-GB"/>
        </w:rPr>
      </w:pPr>
      <w:bookmarkStart w:id="1" w:name="OLE_LINK1"/>
    </w:p>
    <w:p w14:paraId="698CC5BE" w14:textId="77777777" w:rsidR="00C0068C" w:rsidRPr="00260049" w:rsidRDefault="00C0068C" w:rsidP="00C0068C">
      <w:pPr>
        <w:jc w:val="center"/>
        <w:rPr>
          <w:rFonts w:asciiTheme="minorHAnsi" w:hAnsiTheme="minorHAnsi" w:cstheme="minorHAnsi"/>
          <w:b/>
          <w:sz w:val="28"/>
          <w:szCs w:val="28"/>
          <w:lang w:val="en-GB"/>
        </w:rPr>
      </w:pPr>
    </w:p>
    <w:p w14:paraId="588B07D4" w14:textId="7D379421" w:rsidR="00C0068C" w:rsidRPr="00260049" w:rsidRDefault="002B22D3" w:rsidP="00C0068C">
      <w:pPr>
        <w:jc w:val="center"/>
        <w:rPr>
          <w:rFonts w:asciiTheme="minorHAnsi" w:hAnsiTheme="minorHAnsi" w:cstheme="minorHAnsi"/>
          <w:b/>
          <w:sz w:val="32"/>
          <w:szCs w:val="32"/>
          <w:lang w:val="en-GB"/>
        </w:rPr>
      </w:pPr>
      <w:r>
        <w:rPr>
          <w:rFonts w:asciiTheme="minorHAnsi" w:hAnsiTheme="minorHAnsi" w:cstheme="minorHAnsi"/>
          <w:b/>
          <w:sz w:val="32"/>
          <w:szCs w:val="32"/>
          <w:lang w:val="en-GB"/>
        </w:rPr>
        <w:t>C</w:t>
      </w:r>
      <w:r w:rsidR="0044210D">
        <w:rPr>
          <w:rFonts w:asciiTheme="minorHAnsi" w:hAnsiTheme="minorHAnsi" w:cstheme="minorHAnsi"/>
          <w:b/>
          <w:sz w:val="32"/>
          <w:szCs w:val="32"/>
          <w:lang w:val="en-GB"/>
        </w:rPr>
        <w:t>apital investments doubled</w:t>
      </w:r>
      <w:r>
        <w:rPr>
          <w:rFonts w:asciiTheme="minorHAnsi" w:hAnsiTheme="minorHAnsi" w:cstheme="minorHAnsi"/>
          <w:b/>
          <w:sz w:val="32"/>
          <w:szCs w:val="32"/>
          <w:lang w:val="en-GB"/>
        </w:rPr>
        <w:t xml:space="preserve"> with </w:t>
      </w:r>
      <w:r w:rsidR="00453C86">
        <w:rPr>
          <w:rFonts w:asciiTheme="minorHAnsi" w:hAnsiTheme="minorHAnsi" w:cstheme="minorHAnsi"/>
          <w:b/>
          <w:sz w:val="32"/>
          <w:szCs w:val="32"/>
          <w:lang w:val="en-GB"/>
        </w:rPr>
        <w:t xml:space="preserve">stronger </w:t>
      </w:r>
      <w:r>
        <w:rPr>
          <w:rFonts w:asciiTheme="minorHAnsi" w:hAnsiTheme="minorHAnsi" w:cstheme="minorHAnsi"/>
          <w:b/>
          <w:sz w:val="32"/>
          <w:szCs w:val="32"/>
          <w:lang w:val="en-GB"/>
        </w:rPr>
        <w:t>results</w:t>
      </w:r>
    </w:p>
    <w:p w14:paraId="5FCC395B" w14:textId="77777777" w:rsidR="00621EAF" w:rsidRPr="00260049" w:rsidRDefault="00621EAF" w:rsidP="00C0068C">
      <w:pPr>
        <w:jc w:val="center"/>
        <w:rPr>
          <w:rFonts w:asciiTheme="minorHAnsi" w:hAnsiTheme="minorHAnsi" w:cstheme="minorHAnsi"/>
          <w:b/>
          <w:sz w:val="30"/>
          <w:szCs w:val="30"/>
          <w:lang w:val="en-GB"/>
        </w:rPr>
      </w:pPr>
    </w:p>
    <w:p w14:paraId="5289EF4A" w14:textId="46C1A4AA" w:rsidR="007579C7" w:rsidRPr="00015028" w:rsidRDefault="007579C7" w:rsidP="00621EAF">
      <w:pPr>
        <w:pStyle w:val="ListParagraph"/>
        <w:numPr>
          <w:ilvl w:val="0"/>
          <w:numId w:val="2"/>
        </w:numPr>
        <w:spacing w:after="120"/>
        <w:ind w:hanging="357"/>
        <w:jc w:val="both"/>
        <w:rPr>
          <w:rFonts w:asciiTheme="minorHAnsi" w:hAnsiTheme="minorHAnsi" w:cstheme="minorHAnsi"/>
          <w:b/>
          <w:lang w:val="en-GB"/>
        </w:rPr>
      </w:pPr>
      <w:r w:rsidRPr="00015028">
        <w:rPr>
          <w:rFonts w:asciiTheme="minorHAnsi" w:hAnsiTheme="minorHAnsi" w:cstheme="minorHAnsi"/>
          <w:b/>
          <w:lang w:val="en-GB"/>
        </w:rPr>
        <w:t>High hydrocarbon price levels have continued</w:t>
      </w:r>
      <w:r w:rsidR="00DE5C19" w:rsidRPr="00015028">
        <w:rPr>
          <w:rFonts w:asciiTheme="minorHAnsi" w:hAnsiTheme="minorHAnsi" w:cstheme="minorHAnsi"/>
          <w:b/>
          <w:lang w:val="en-GB"/>
        </w:rPr>
        <w:t xml:space="preserve">, </w:t>
      </w:r>
      <w:r w:rsidRPr="00015028">
        <w:rPr>
          <w:rFonts w:asciiTheme="minorHAnsi" w:hAnsiTheme="minorHAnsi" w:cstheme="minorHAnsi"/>
          <w:b/>
          <w:lang w:val="en-GB"/>
        </w:rPr>
        <w:t xml:space="preserve">reflecting the increased geopolitical risk and uncertainty </w:t>
      </w:r>
      <w:r w:rsidR="00A9479F">
        <w:rPr>
          <w:rFonts w:asciiTheme="minorHAnsi" w:hAnsiTheme="minorHAnsi" w:cstheme="minorHAnsi"/>
          <w:b/>
          <w:lang w:val="en-GB"/>
        </w:rPr>
        <w:t>affecting</w:t>
      </w:r>
      <w:r w:rsidRPr="00015028">
        <w:rPr>
          <w:rFonts w:asciiTheme="minorHAnsi" w:hAnsiTheme="minorHAnsi" w:cstheme="minorHAnsi"/>
          <w:b/>
          <w:lang w:val="en-GB"/>
        </w:rPr>
        <w:t xml:space="preserve"> global energy markets.</w:t>
      </w:r>
    </w:p>
    <w:p w14:paraId="338DBB72" w14:textId="77777777" w:rsidR="00621EAF" w:rsidRPr="00015028" w:rsidRDefault="00621EAF" w:rsidP="00621EAF">
      <w:pPr>
        <w:pStyle w:val="ListParagraph"/>
        <w:spacing w:after="120"/>
        <w:ind w:left="363"/>
        <w:jc w:val="both"/>
        <w:rPr>
          <w:rFonts w:asciiTheme="minorHAnsi" w:hAnsiTheme="minorHAnsi" w:cstheme="minorHAnsi"/>
          <w:b/>
          <w:lang w:val="en-GB"/>
        </w:rPr>
      </w:pPr>
    </w:p>
    <w:p w14:paraId="45ABB997" w14:textId="3F8E7614" w:rsidR="00DE5C19" w:rsidRPr="00015028" w:rsidRDefault="00DE5C19" w:rsidP="00621EAF">
      <w:pPr>
        <w:pStyle w:val="ListParagraph"/>
        <w:numPr>
          <w:ilvl w:val="0"/>
          <w:numId w:val="2"/>
        </w:numPr>
        <w:spacing w:after="120"/>
        <w:ind w:hanging="357"/>
        <w:jc w:val="both"/>
        <w:rPr>
          <w:rFonts w:asciiTheme="minorHAnsi" w:hAnsiTheme="minorHAnsi" w:cstheme="minorHAnsi"/>
          <w:b/>
          <w:lang w:val="en-GB"/>
        </w:rPr>
      </w:pPr>
      <w:r w:rsidRPr="00015028">
        <w:rPr>
          <w:rFonts w:asciiTheme="minorHAnsi" w:hAnsiTheme="minorHAnsi" w:cstheme="minorHAnsi"/>
          <w:b/>
          <w:lang w:val="en-GB"/>
        </w:rPr>
        <w:t xml:space="preserve">In such environment, results show a strong INA Group CCS EBITDA in </w:t>
      </w:r>
      <w:r w:rsidR="0044210D">
        <w:rPr>
          <w:rFonts w:asciiTheme="minorHAnsi" w:hAnsiTheme="minorHAnsi" w:cstheme="minorHAnsi"/>
          <w:b/>
          <w:lang w:val="en-GB"/>
        </w:rPr>
        <w:t>H</w:t>
      </w:r>
      <w:r w:rsidRPr="00015028">
        <w:rPr>
          <w:rFonts w:asciiTheme="minorHAnsi" w:hAnsiTheme="minorHAnsi" w:cstheme="minorHAnsi"/>
          <w:b/>
          <w:lang w:val="en-GB"/>
        </w:rPr>
        <w:t>1 2022</w:t>
      </w:r>
      <w:r w:rsidR="00F848DD" w:rsidRPr="00015028">
        <w:rPr>
          <w:rFonts w:asciiTheme="minorHAnsi" w:hAnsiTheme="minorHAnsi" w:cstheme="minorHAnsi"/>
          <w:b/>
          <w:lang w:val="en-GB"/>
        </w:rPr>
        <w:t>.</w:t>
      </w:r>
    </w:p>
    <w:p w14:paraId="0A0926CE" w14:textId="77777777" w:rsidR="00621EAF" w:rsidRPr="00015028" w:rsidRDefault="00621EAF" w:rsidP="00621EAF">
      <w:pPr>
        <w:pStyle w:val="ListParagraph"/>
        <w:spacing w:after="120"/>
        <w:ind w:left="363"/>
        <w:jc w:val="both"/>
        <w:rPr>
          <w:rFonts w:asciiTheme="minorHAnsi" w:hAnsiTheme="minorHAnsi" w:cstheme="minorHAnsi"/>
          <w:b/>
          <w:lang w:val="en-GB"/>
        </w:rPr>
      </w:pPr>
    </w:p>
    <w:p w14:paraId="7EC64E85" w14:textId="1D9A078D" w:rsidR="00DE5C19" w:rsidRPr="00015028" w:rsidRDefault="00F848DD" w:rsidP="00621EAF">
      <w:pPr>
        <w:pStyle w:val="ListParagraph"/>
        <w:numPr>
          <w:ilvl w:val="0"/>
          <w:numId w:val="2"/>
        </w:numPr>
        <w:spacing w:after="120"/>
        <w:ind w:hanging="357"/>
        <w:jc w:val="both"/>
        <w:rPr>
          <w:rFonts w:asciiTheme="minorHAnsi" w:hAnsiTheme="minorHAnsi" w:cstheme="minorHAnsi"/>
          <w:b/>
          <w:lang w:val="en-GB"/>
        </w:rPr>
      </w:pPr>
      <w:r w:rsidRPr="00015028">
        <w:rPr>
          <w:rFonts w:asciiTheme="minorHAnsi" w:hAnsiTheme="minorHAnsi" w:cstheme="minorHAnsi"/>
          <w:b/>
          <w:lang w:val="en-GB"/>
        </w:rPr>
        <w:t xml:space="preserve">Exploration and Production revenues and EBITDA doubled, significantly overcompensating the effect of </w:t>
      </w:r>
      <w:r w:rsidR="00306F07">
        <w:rPr>
          <w:rFonts w:asciiTheme="minorHAnsi" w:hAnsiTheme="minorHAnsi" w:cstheme="minorHAnsi"/>
          <w:b/>
          <w:lang w:val="en-GB"/>
        </w:rPr>
        <w:t>expected</w:t>
      </w:r>
      <w:r w:rsidRPr="00015028">
        <w:rPr>
          <w:rFonts w:asciiTheme="minorHAnsi" w:hAnsiTheme="minorHAnsi" w:cstheme="minorHAnsi"/>
          <w:b/>
          <w:lang w:val="en-GB"/>
        </w:rPr>
        <w:t xml:space="preserve"> natural </w:t>
      </w:r>
      <w:r w:rsidR="00BD6224" w:rsidRPr="00015028">
        <w:rPr>
          <w:rFonts w:asciiTheme="minorHAnsi" w:hAnsiTheme="minorHAnsi" w:cstheme="minorHAnsi"/>
          <w:b/>
          <w:lang w:val="en-GB"/>
        </w:rPr>
        <w:t xml:space="preserve">production </w:t>
      </w:r>
      <w:r w:rsidRPr="00015028">
        <w:rPr>
          <w:rFonts w:asciiTheme="minorHAnsi" w:hAnsiTheme="minorHAnsi" w:cstheme="minorHAnsi"/>
          <w:b/>
          <w:lang w:val="en-GB"/>
        </w:rPr>
        <w:t>decline.</w:t>
      </w:r>
    </w:p>
    <w:p w14:paraId="6D967194" w14:textId="77777777" w:rsidR="00621EAF" w:rsidRPr="00015028" w:rsidRDefault="00621EAF" w:rsidP="00621EAF">
      <w:pPr>
        <w:pStyle w:val="ListParagraph"/>
        <w:spacing w:after="120"/>
        <w:ind w:left="363"/>
        <w:jc w:val="both"/>
        <w:rPr>
          <w:rFonts w:asciiTheme="minorHAnsi" w:hAnsiTheme="minorHAnsi" w:cstheme="minorHAnsi"/>
          <w:b/>
          <w:lang w:val="en-GB"/>
        </w:rPr>
      </w:pPr>
    </w:p>
    <w:p w14:paraId="7040F1FA" w14:textId="56C81098" w:rsidR="00F848DD" w:rsidRPr="00015028" w:rsidRDefault="00F848DD" w:rsidP="00621EAF">
      <w:pPr>
        <w:pStyle w:val="ListParagraph"/>
        <w:numPr>
          <w:ilvl w:val="0"/>
          <w:numId w:val="2"/>
        </w:numPr>
        <w:spacing w:after="120"/>
        <w:ind w:hanging="357"/>
        <w:jc w:val="both"/>
        <w:rPr>
          <w:rFonts w:asciiTheme="minorHAnsi" w:hAnsiTheme="minorHAnsi" w:cstheme="minorHAnsi"/>
          <w:b/>
          <w:lang w:val="en-GB"/>
        </w:rPr>
      </w:pPr>
      <w:r w:rsidRPr="00015028">
        <w:rPr>
          <w:rFonts w:asciiTheme="minorHAnsi" w:hAnsiTheme="minorHAnsi" w:cstheme="minorHAnsi"/>
          <w:b/>
          <w:lang w:val="en-GB"/>
        </w:rPr>
        <w:t xml:space="preserve">Investment activities intensified and CAPEX spending increased </w:t>
      </w:r>
      <w:r w:rsidR="0044210D">
        <w:rPr>
          <w:rFonts w:asciiTheme="minorHAnsi" w:hAnsiTheme="minorHAnsi" w:cstheme="minorHAnsi"/>
          <w:b/>
          <w:lang w:val="en-GB"/>
        </w:rPr>
        <w:t>two</w:t>
      </w:r>
      <w:r w:rsidRPr="00015028">
        <w:rPr>
          <w:rFonts w:asciiTheme="minorHAnsi" w:hAnsiTheme="minorHAnsi" w:cstheme="minorHAnsi"/>
          <w:b/>
          <w:lang w:val="en-GB"/>
        </w:rPr>
        <w:t xml:space="preserve">fold compared to </w:t>
      </w:r>
      <w:r w:rsidR="0044210D">
        <w:rPr>
          <w:rFonts w:asciiTheme="minorHAnsi" w:hAnsiTheme="minorHAnsi" w:cstheme="minorHAnsi"/>
          <w:b/>
          <w:lang w:val="en-GB"/>
        </w:rPr>
        <w:t>H</w:t>
      </w:r>
      <w:r w:rsidRPr="00015028">
        <w:rPr>
          <w:rFonts w:asciiTheme="minorHAnsi" w:hAnsiTheme="minorHAnsi" w:cstheme="minorHAnsi"/>
          <w:b/>
          <w:lang w:val="en-GB"/>
        </w:rPr>
        <w:t xml:space="preserve">1 2021 with CAPEX level of HRK </w:t>
      </w:r>
      <w:r w:rsidR="0044210D">
        <w:rPr>
          <w:rFonts w:asciiTheme="minorHAnsi" w:hAnsiTheme="minorHAnsi" w:cstheme="minorHAnsi"/>
          <w:b/>
          <w:lang w:val="en-GB"/>
        </w:rPr>
        <w:t>1.3</w:t>
      </w:r>
      <w:r w:rsidRPr="00015028">
        <w:rPr>
          <w:rFonts w:asciiTheme="minorHAnsi" w:hAnsiTheme="minorHAnsi" w:cstheme="minorHAnsi"/>
          <w:b/>
          <w:lang w:val="en-GB"/>
        </w:rPr>
        <w:t xml:space="preserve"> </w:t>
      </w:r>
      <w:r w:rsidR="0044210D">
        <w:rPr>
          <w:rFonts w:asciiTheme="minorHAnsi" w:hAnsiTheme="minorHAnsi" w:cstheme="minorHAnsi"/>
          <w:b/>
          <w:lang w:val="en-GB"/>
        </w:rPr>
        <w:t>b</w:t>
      </w:r>
      <w:r w:rsidRPr="00015028">
        <w:rPr>
          <w:rFonts w:asciiTheme="minorHAnsi" w:hAnsiTheme="minorHAnsi" w:cstheme="minorHAnsi"/>
          <w:b/>
          <w:lang w:val="en-GB"/>
        </w:rPr>
        <w:t>illion</w:t>
      </w:r>
      <w:r w:rsidR="00BD6224" w:rsidRPr="00015028">
        <w:rPr>
          <w:rFonts w:asciiTheme="minorHAnsi" w:hAnsiTheme="minorHAnsi" w:cstheme="minorHAnsi"/>
          <w:b/>
          <w:lang w:val="en-GB"/>
        </w:rPr>
        <w:t>:</w:t>
      </w:r>
    </w:p>
    <w:p w14:paraId="1778B8C8" w14:textId="77777777" w:rsidR="00621EAF" w:rsidRPr="00015028" w:rsidRDefault="00621EAF" w:rsidP="00621EAF">
      <w:pPr>
        <w:pStyle w:val="ListParagraph"/>
        <w:spacing w:after="120"/>
        <w:ind w:left="363"/>
        <w:jc w:val="both"/>
        <w:rPr>
          <w:rFonts w:asciiTheme="minorHAnsi" w:hAnsiTheme="minorHAnsi" w:cstheme="minorHAnsi"/>
          <w:b/>
          <w:lang w:val="en-GB"/>
        </w:rPr>
      </w:pPr>
    </w:p>
    <w:p w14:paraId="5DFA0BB8" w14:textId="2FDA2141" w:rsidR="00F848DD" w:rsidRPr="00015028" w:rsidRDefault="00F848DD" w:rsidP="00621EAF">
      <w:pPr>
        <w:pStyle w:val="ListParagraph"/>
        <w:numPr>
          <w:ilvl w:val="1"/>
          <w:numId w:val="2"/>
        </w:numPr>
        <w:spacing w:after="120"/>
        <w:ind w:hanging="357"/>
        <w:jc w:val="both"/>
        <w:rPr>
          <w:rFonts w:asciiTheme="minorHAnsi" w:hAnsiTheme="minorHAnsi" w:cstheme="minorHAnsi"/>
          <w:b/>
          <w:lang w:val="en-GB"/>
        </w:rPr>
      </w:pPr>
      <w:r w:rsidRPr="00015028">
        <w:rPr>
          <w:rFonts w:asciiTheme="minorHAnsi" w:hAnsiTheme="minorHAnsi" w:cstheme="minorHAnsi"/>
          <w:b/>
          <w:lang w:val="en-GB"/>
        </w:rPr>
        <w:t xml:space="preserve">Rijeka Refinery Upgrade Project, as the main strategic investment, continues with construction works and equipment delivery to the site. </w:t>
      </w:r>
    </w:p>
    <w:p w14:paraId="5E3A97BF" w14:textId="77777777" w:rsidR="00A94556" w:rsidRPr="00015028" w:rsidRDefault="00A94556" w:rsidP="00A94556">
      <w:pPr>
        <w:pStyle w:val="ListParagraph"/>
        <w:spacing w:after="120"/>
        <w:ind w:left="1083"/>
        <w:jc w:val="both"/>
        <w:rPr>
          <w:rFonts w:asciiTheme="minorHAnsi" w:hAnsiTheme="minorHAnsi" w:cstheme="minorHAnsi"/>
          <w:b/>
          <w:lang w:val="en-GB"/>
        </w:rPr>
      </w:pPr>
    </w:p>
    <w:p w14:paraId="01F64070" w14:textId="5D913EB4" w:rsidR="0044210D" w:rsidRPr="00015028" w:rsidRDefault="0044210D" w:rsidP="00621EAF">
      <w:pPr>
        <w:pStyle w:val="ListParagraph"/>
        <w:numPr>
          <w:ilvl w:val="1"/>
          <w:numId w:val="2"/>
        </w:numPr>
        <w:spacing w:after="120"/>
        <w:ind w:hanging="357"/>
        <w:jc w:val="both"/>
        <w:rPr>
          <w:rFonts w:asciiTheme="minorHAnsi" w:hAnsiTheme="minorHAnsi" w:cstheme="minorHAnsi"/>
          <w:b/>
          <w:lang w:val="en-GB"/>
        </w:rPr>
      </w:pPr>
      <w:r>
        <w:rPr>
          <w:rFonts w:asciiTheme="minorHAnsi" w:hAnsiTheme="minorHAnsi" w:cstheme="minorHAnsi"/>
          <w:b/>
          <w:lang w:val="en-GB"/>
        </w:rPr>
        <w:t xml:space="preserve">Many </w:t>
      </w:r>
      <w:r w:rsidR="00453C86">
        <w:rPr>
          <w:rFonts w:asciiTheme="minorHAnsi" w:hAnsiTheme="minorHAnsi" w:cstheme="minorHAnsi"/>
          <w:b/>
          <w:lang w:val="en-GB"/>
        </w:rPr>
        <w:t xml:space="preserve">Production and </w:t>
      </w:r>
      <w:r w:rsidR="00E55F85">
        <w:rPr>
          <w:rFonts w:asciiTheme="minorHAnsi" w:hAnsiTheme="minorHAnsi" w:cstheme="minorHAnsi"/>
          <w:b/>
          <w:lang w:val="en-GB"/>
        </w:rPr>
        <w:t>E</w:t>
      </w:r>
      <w:r w:rsidR="00453C86">
        <w:rPr>
          <w:rFonts w:asciiTheme="minorHAnsi" w:hAnsiTheme="minorHAnsi" w:cstheme="minorHAnsi"/>
          <w:b/>
          <w:lang w:val="en-GB"/>
        </w:rPr>
        <w:t xml:space="preserve">xploration </w:t>
      </w:r>
      <w:r w:rsidRPr="0044210D">
        <w:rPr>
          <w:rFonts w:asciiTheme="minorHAnsi" w:hAnsiTheme="minorHAnsi" w:cstheme="minorHAnsi"/>
          <w:b/>
          <w:lang w:val="en-GB"/>
        </w:rPr>
        <w:t xml:space="preserve">development activities </w:t>
      </w:r>
      <w:r w:rsidR="00E55F85">
        <w:rPr>
          <w:rFonts w:asciiTheme="minorHAnsi" w:hAnsiTheme="minorHAnsi" w:cstheme="minorHAnsi"/>
          <w:b/>
          <w:lang w:val="en-GB"/>
        </w:rPr>
        <w:t>i</w:t>
      </w:r>
      <w:r w:rsidRPr="0044210D">
        <w:rPr>
          <w:rFonts w:asciiTheme="minorHAnsi" w:hAnsiTheme="minorHAnsi" w:cstheme="minorHAnsi"/>
          <w:b/>
          <w:lang w:val="en-GB"/>
        </w:rPr>
        <w:t>n Croatia</w:t>
      </w:r>
      <w:r w:rsidR="00E55F85">
        <w:rPr>
          <w:rFonts w:asciiTheme="minorHAnsi" w:hAnsiTheme="minorHAnsi" w:cstheme="minorHAnsi"/>
          <w:b/>
          <w:lang w:val="en-GB"/>
        </w:rPr>
        <w:t>, both offshore and onshore</w:t>
      </w:r>
      <w:r w:rsidRPr="0044210D">
        <w:rPr>
          <w:rFonts w:asciiTheme="minorHAnsi" w:hAnsiTheme="minorHAnsi" w:cstheme="minorHAnsi"/>
          <w:b/>
          <w:lang w:val="en-GB"/>
        </w:rPr>
        <w:t>.</w:t>
      </w:r>
    </w:p>
    <w:p w14:paraId="16604FEC" w14:textId="77777777" w:rsidR="00F848DD" w:rsidRPr="00260049" w:rsidRDefault="00F848DD" w:rsidP="00F848DD">
      <w:pPr>
        <w:pStyle w:val="ListParagraph"/>
        <w:spacing w:line="360" w:lineRule="auto"/>
        <w:ind w:left="0"/>
        <w:jc w:val="both"/>
        <w:rPr>
          <w:rFonts w:asciiTheme="minorHAnsi" w:hAnsiTheme="minorHAnsi" w:cstheme="minorHAnsi"/>
          <w:b/>
          <w:lang w:val="en-GB"/>
        </w:rPr>
      </w:pPr>
    </w:p>
    <w:p w14:paraId="123AA7C6" w14:textId="2A399BE3" w:rsidR="00C0068C" w:rsidRPr="00260049" w:rsidRDefault="00C0068C" w:rsidP="00F848DD">
      <w:pPr>
        <w:pStyle w:val="ListParagraph"/>
        <w:spacing w:line="360" w:lineRule="auto"/>
        <w:ind w:left="0"/>
        <w:jc w:val="both"/>
        <w:rPr>
          <w:rFonts w:asciiTheme="minorHAnsi" w:hAnsiTheme="minorHAnsi" w:cstheme="minorHAnsi"/>
          <w:b/>
          <w:lang w:val="en-GB"/>
        </w:rPr>
      </w:pPr>
      <w:r w:rsidRPr="00260049">
        <w:rPr>
          <w:rFonts w:asciiTheme="minorHAnsi" w:hAnsiTheme="minorHAnsi" w:cstheme="minorHAnsi"/>
          <w:b/>
          <w:lang w:val="en-GB"/>
        </w:rPr>
        <w:t xml:space="preserve">Key </w:t>
      </w:r>
      <w:r w:rsidR="00802C46">
        <w:rPr>
          <w:rFonts w:asciiTheme="minorHAnsi" w:hAnsiTheme="minorHAnsi" w:cstheme="minorHAnsi"/>
          <w:b/>
          <w:lang w:val="en-GB"/>
        </w:rPr>
        <w:t>data</w:t>
      </w:r>
      <w:r w:rsidRPr="00260049">
        <w:rPr>
          <w:rFonts w:asciiTheme="minorHAnsi" w:hAnsiTheme="minorHAnsi" w:cstheme="minorHAnsi"/>
          <w:b/>
          <w:lang w:val="en-GB"/>
        </w:rPr>
        <w:t>:</w:t>
      </w:r>
    </w:p>
    <w:p w14:paraId="6F4302D6" w14:textId="5A616117" w:rsidR="00C0068C" w:rsidRPr="00260049" w:rsidRDefault="00C0068C" w:rsidP="00C0068C">
      <w:pPr>
        <w:pStyle w:val="ListParagraph"/>
        <w:numPr>
          <w:ilvl w:val="0"/>
          <w:numId w:val="1"/>
        </w:numPr>
        <w:spacing w:line="360" w:lineRule="auto"/>
        <w:jc w:val="both"/>
        <w:rPr>
          <w:rFonts w:asciiTheme="minorHAnsi" w:hAnsiTheme="minorHAnsi" w:cstheme="minorHAnsi"/>
          <w:b/>
          <w:bCs/>
          <w:lang w:val="en-GB"/>
        </w:rPr>
      </w:pPr>
      <w:r w:rsidRPr="00260049">
        <w:rPr>
          <w:rFonts w:asciiTheme="minorHAnsi" w:hAnsiTheme="minorHAnsi" w:cstheme="minorHAnsi"/>
          <w:b/>
          <w:bCs/>
          <w:lang w:val="en-GB"/>
        </w:rPr>
        <w:t xml:space="preserve">Net sales revenues amounted to HRK </w:t>
      </w:r>
      <w:r w:rsidR="00BC6BAE">
        <w:rPr>
          <w:rFonts w:asciiTheme="minorHAnsi" w:hAnsiTheme="minorHAnsi" w:cstheme="minorHAnsi"/>
          <w:b/>
          <w:bCs/>
          <w:lang w:val="en-GB"/>
        </w:rPr>
        <w:t>15.</w:t>
      </w:r>
      <w:r w:rsidR="00D9254A" w:rsidRPr="00260049">
        <w:rPr>
          <w:rFonts w:asciiTheme="minorHAnsi" w:hAnsiTheme="minorHAnsi" w:cstheme="minorHAnsi"/>
          <w:b/>
          <w:bCs/>
          <w:lang w:val="en-GB"/>
        </w:rPr>
        <w:t>6</w:t>
      </w:r>
      <w:r w:rsidRPr="00260049">
        <w:rPr>
          <w:rFonts w:asciiTheme="minorHAnsi" w:hAnsiTheme="minorHAnsi" w:cstheme="minorHAnsi"/>
          <w:b/>
          <w:bCs/>
          <w:lang w:val="en-GB"/>
        </w:rPr>
        <w:t xml:space="preserve"> </w:t>
      </w:r>
      <w:r w:rsidR="00D9254A" w:rsidRPr="00260049">
        <w:rPr>
          <w:rFonts w:asciiTheme="minorHAnsi" w:hAnsiTheme="minorHAnsi" w:cstheme="minorHAnsi"/>
          <w:b/>
          <w:bCs/>
          <w:lang w:val="en-GB"/>
        </w:rPr>
        <w:t>b</w:t>
      </w:r>
      <w:r w:rsidRPr="00260049">
        <w:rPr>
          <w:rFonts w:asciiTheme="minorHAnsi" w:hAnsiTheme="minorHAnsi" w:cstheme="minorHAnsi"/>
          <w:b/>
          <w:bCs/>
          <w:lang w:val="en-GB"/>
        </w:rPr>
        <w:t>illion</w:t>
      </w:r>
    </w:p>
    <w:p w14:paraId="78D0B683" w14:textId="494F78B2" w:rsidR="00C0068C" w:rsidRPr="00260049" w:rsidRDefault="002C08C0" w:rsidP="00C0068C">
      <w:pPr>
        <w:pStyle w:val="ListParagraph"/>
        <w:numPr>
          <w:ilvl w:val="0"/>
          <w:numId w:val="1"/>
        </w:numPr>
        <w:spacing w:line="360" w:lineRule="auto"/>
        <w:jc w:val="both"/>
        <w:rPr>
          <w:rFonts w:asciiTheme="minorHAnsi" w:hAnsiTheme="minorHAnsi" w:cstheme="minorHAnsi"/>
          <w:b/>
          <w:bCs/>
          <w:lang w:val="en-GB"/>
        </w:rPr>
      </w:pPr>
      <w:r w:rsidRPr="00260049">
        <w:rPr>
          <w:rFonts w:asciiTheme="minorHAnsi" w:hAnsiTheme="minorHAnsi" w:cstheme="minorHAnsi"/>
          <w:b/>
          <w:bCs/>
          <w:lang w:val="en-GB"/>
        </w:rPr>
        <w:t>EBIT</w:t>
      </w:r>
      <w:r w:rsidR="00C0068C" w:rsidRPr="00260049">
        <w:rPr>
          <w:rFonts w:asciiTheme="minorHAnsi" w:hAnsiTheme="minorHAnsi" w:cstheme="minorHAnsi"/>
          <w:b/>
          <w:bCs/>
          <w:lang w:val="en-GB"/>
        </w:rPr>
        <w:t xml:space="preserve">DA amounted to </w:t>
      </w:r>
      <w:r w:rsidR="00BC6BAE">
        <w:rPr>
          <w:rFonts w:asciiTheme="minorHAnsi" w:hAnsiTheme="minorHAnsi" w:cstheme="minorHAnsi"/>
          <w:b/>
          <w:bCs/>
          <w:lang w:val="en-GB"/>
        </w:rPr>
        <w:t>almost</w:t>
      </w:r>
      <w:r w:rsidR="002A501B" w:rsidRPr="00260049">
        <w:rPr>
          <w:rFonts w:asciiTheme="minorHAnsi" w:hAnsiTheme="minorHAnsi" w:cstheme="minorHAnsi"/>
          <w:b/>
          <w:bCs/>
          <w:lang w:val="en-GB"/>
        </w:rPr>
        <w:t xml:space="preserve"> </w:t>
      </w:r>
      <w:r w:rsidR="00DE5C19" w:rsidRPr="00260049">
        <w:rPr>
          <w:rFonts w:asciiTheme="minorHAnsi" w:hAnsiTheme="minorHAnsi" w:cstheme="minorHAnsi"/>
          <w:b/>
          <w:bCs/>
          <w:lang w:val="en-GB"/>
        </w:rPr>
        <w:t xml:space="preserve">HRK </w:t>
      </w:r>
      <w:r w:rsidR="00BC6BAE">
        <w:rPr>
          <w:rFonts w:asciiTheme="minorHAnsi" w:hAnsiTheme="minorHAnsi" w:cstheme="minorHAnsi"/>
          <w:b/>
          <w:bCs/>
          <w:lang w:val="en-GB"/>
        </w:rPr>
        <w:t>2</w:t>
      </w:r>
      <w:r w:rsidR="00DE5C19" w:rsidRPr="00260049">
        <w:rPr>
          <w:rFonts w:asciiTheme="minorHAnsi" w:hAnsiTheme="minorHAnsi" w:cstheme="minorHAnsi"/>
          <w:b/>
          <w:bCs/>
          <w:lang w:val="en-GB"/>
        </w:rPr>
        <w:t>.</w:t>
      </w:r>
      <w:r w:rsidR="00BC6BAE">
        <w:rPr>
          <w:rFonts w:asciiTheme="minorHAnsi" w:hAnsiTheme="minorHAnsi" w:cstheme="minorHAnsi"/>
          <w:b/>
          <w:bCs/>
          <w:lang w:val="en-GB"/>
        </w:rPr>
        <w:t>8</w:t>
      </w:r>
      <w:r w:rsidR="00A83BE9" w:rsidRPr="00260049">
        <w:rPr>
          <w:rFonts w:asciiTheme="minorHAnsi" w:hAnsiTheme="minorHAnsi" w:cstheme="minorHAnsi"/>
          <w:b/>
          <w:bCs/>
          <w:lang w:val="en-GB"/>
        </w:rPr>
        <w:t xml:space="preserve"> </w:t>
      </w:r>
      <w:r w:rsidR="00DE5C19" w:rsidRPr="00260049">
        <w:rPr>
          <w:rFonts w:asciiTheme="minorHAnsi" w:hAnsiTheme="minorHAnsi" w:cstheme="minorHAnsi"/>
          <w:b/>
          <w:bCs/>
          <w:lang w:val="en-GB"/>
        </w:rPr>
        <w:t>billion</w:t>
      </w:r>
    </w:p>
    <w:p w14:paraId="79F6B9A5" w14:textId="1AFA1D41" w:rsidR="00C0068C" w:rsidRPr="00260049" w:rsidRDefault="00C0068C" w:rsidP="00C0068C">
      <w:pPr>
        <w:pStyle w:val="ListParagraph"/>
        <w:numPr>
          <w:ilvl w:val="0"/>
          <w:numId w:val="1"/>
        </w:numPr>
        <w:spacing w:line="360" w:lineRule="auto"/>
        <w:jc w:val="both"/>
        <w:rPr>
          <w:rFonts w:asciiTheme="minorHAnsi" w:hAnsiTheme="minorHAnsi" w:cstheme="minorHAnsi"/>
          <w:b/>
          <w:bCs/>
          <w:lang w:val="en-GB"/>
        </w:rPr>
      </w:pPr>
      <w:r w:rsidRPr="00260049">
        <w:rPr>
          <w:rFonts w:asciiTheme="minorHAnsi" w:hAnsiTheme="minorHAnsi" w:cstheme="minorHAnsi"/>
          <w:b/>
          <w:bCs/>
          <w:lang w:val="en-GB"/>
        </w:rPr>
        <w:t>CAPEX</w:t>
      </w:r>
      <w:r w:rsidR="00E15F4E">
        <w:rPr>
          <w:rFonts w:asciiTheme="minorHAnsi" w:hAnsiTheme="minorHAnsi" w:cstheme="minorHAnsi"/>
          <w:b/>
          <w:bCs/>
          <w:lang w:val="en-GB"/>
        </w:rPr>
        <w:t xml:space="preserve"> more than</w:t>
      </w:r>
      <w:r w:rsidRPr="00260049">
        <w:rPr>
          <w:rFonts w:asciiTheme="minorHAnsi" w:hAnsiTheme="minorHAnsi" w:cstheme="minorHAnsi"/>
          <w:b/>
          <w:bCs/>
          <w:lang w:val="en-GB"/>
        </w:rPr>
        <w:t xml:space="preserve"> </w:t>
      </w:r>
      <w:r w:rsidR="0085625B">
        <w:rPr>
          <w:rFonts w:asciiTheme="minorHAnsi" w:hAnsiTheme="minorHAnsi" w:cstheme="minorHAnsi"/>
          <w:b/>
          <w:bCs/>
          <w:lang w:val="en-GB"/>
        </w:rPr>
        <w:t>doub</w:t>
      </w:r>
      <w:r w:rsidR="00677952" w:rsidRPr="00260049">
        <w:rPr>
          <w:rFonts w:asciiTheme="minorHAnsi" w:hAnsiTheme="minorHAnsi" w:cstheme="minorHAnsi"/>
          <w:b/>
          <w:bCs/>
          <w:lang w:val="en-GB"/>
        </w:rPr>
        <w:t xml:space="preserve">led compared to </w:t>
      </w:r>
      <w:r w:rsidR="0085625B">
        <w:rPr>
          <w:rFonts w:asciiTheme="minorHAnsi" w:hAnsiTheme="minorHAnsi" w:cstheme="minorHAnsi"/>
          <w:b/>
          <w:bCs/>
          <w:lang w:val="en-GB"/>
        </w:rPr>
        <w:t>H</w:t>
      </w:r>
      <w:r w:rsidR="00677952" w:rsidRPr="00260049">
        <w:rPr>
          <w:rFonts w:asciiTheme="minorHAnsi" w:hAnsiTheme="minorHAnsi" w:cstheme="minorHAnsi"/>
          <w:b/>
          <w:bCs/>
          <w:lang w:val="en-GB"/>
        </w:rPr>
        <w:t>1 2021,</w:t>
      </w:r>
      <w:r w:rsidRPr="00260049">
        <w:rPr>
          <w:rFonts w:asciiTheme="minorHAnsi" w:hAnsiTheme="minorHAnsi" w:cstheme="minorHAnsi"/>
          <w:b/>
          <w:bCs/>
          <w:lang w:val="en-GB"/>
        </w:rPr>
        <w:t xml:space="preserve"> to HRK </w:t>
      </w:r>
      <w:r w:rsidR="0085625B">
        <w:rPr>
          <w:rFonts w:asciiTheme="minorHAnsi" w:hAnsiTheme="minorHAnsi" w:cstheme="minorHAnsi"/>
          <w:b/>
          <w:bCs/>
          <w:lang w:val="en-GB"/>
        </w:rPr>
        <w:t>1.3</w:t>
      </w:r>
      <w:r w:rsidRPr="00260049">
        <w:rPr>
          <w:rFonts w:asciiTheme="minorHAnsi" w:hAnsiTheme="minorHAnsi" w:cstheme="minorHAnsi"/>
          <w:b/>
          <w:bCs/>
          <w:lang w:val="en-GB"/>
        </w:rPr>
        <w:t xml:space="preserve"> </w:t>
      </w:r>
      <w:r w:rsidR="0085625B">
        <w:rPr>
          <w:rFonts w:asciiTheme="minorHAnsi" w:hAnsiTheme="minorHAnsi" w:cstheme="minorHAnsi"/>
          <w:b/>
          <w:bCs/>
          <w:lang w:val="en-GB"/>
        </w:rPr>
        <w:t>b</w:t>
      </w:r>
      <w:r w:rsidRPr="00260049">
        <w:rPr>
          <w:rFonts w:asciiTheme="minorHAnsi" w:hAnsiTheme="minorHAnsi" w:cstheme="minorHAnsi"/>
          <w:b/>
          <w:bCs/>
          <w:lang w:val="en-GB"/>
        </w:rPr>
        <w:t xml:space="preserve">illion </w:t>
      </w:r>
    </w:p>
    <w:p w14:paraId="093CEB1A" w14:textId="37AC139E" w:rsidR="00C0068C" w:rsidRPr="00260049" w:rsidRDefault="00453C86" w:rsidP="006E5565">
      <w:pPr>
        <w:pStyle w:val="ListParagraph"/>
        <w:numPr>
          <w:ilvl w:val="0"/>
          <w:numId w:val="1"/>
        </w:numPr>
        <w:ind w:left="1775" w:hanging="357"/>
        <w:jc w:val="both"/>
        <w:rPr>
          <w:rFonts w:asciiTheme="minorHAnsi" w:hAnsiTheme="minorHAnsi" w:cstheme="minorHAnsi"/>
          <w:b/>
          <w:bCs/>
          <w:lang w:val="en-GB"/>
        </w:rPr>
      </w:pPr>
      <w:r>
        <w:rPr>
          <w:rFonts w:asciiTheme="minorHAnsi" w:hAnsiTheme="minorHAnsi" w:cstheme="minorHAnsi"/>
          <w:b/>
          <w:bCs/>
          <w:lang w:val="en-GB"/>
        </w:rPr>
        <w:t>Despite the strong result o</w:t>
      </w:r>
      <w:r w:rsidR="00802C46">
        <w:rPr>
          <w:rFonts w:asciiTheme="minorHAnsi" w:hAnsiTheme="minorHAnsi" w:cstheme="minorHAnsi"/>
          <w:b/>
          <w:bCs/>
          <w:lang w:val="en-GB"/>
        </w:rPr>
        <w:t>perating c</w:t>
      </w:r>
      <w:r w:rsidR="00C0068C" w:rsidRPr="00260049">
        <w:rPr>
          <w:rFonts w:asciiTheme="minorHAnsi" w:hAnsiTheme="minorHAnsi" w:cstheme="minorHAnsi"/>
          <w:b/>
          <w:bCs/>
          <w:lang w:val="en-GB"/>
        </w:rPr>
        <w:t xml:space="preserve">ash </w:t>
      </w:r>
      <w:r w:rsidR="00802C46">
        <w:rPr>
          <w:rFonts w:asciiTheme="minorHAnsi" w:hAnsiTheme="minorHAnsi" w:cstheme="minorHAnsi"/>
          <w:b/>
          <w:bCs/>
          <w:lang w:val="en-GB"/>
        </w:rPr>
        <w:t>f</w:t>
      </w:r>
      <w:r w:rsidR="00C0068C" w:rsidRPr="00260049">
        <w:rPr>
          <w:rFonts w:asciiTheme="minorHAnsi" w:hAnsiTheme="minorHAnsi" w:cstheme="minorHAnsi"/>
          <w:b/>
          <w:bCs/>
          <w:lang w:val="en-GB"/>
        </w:rPr>
        <w:t xml:space="preserve">low amounted to HRK </w:t>
      </w:r>
      <w:r w:rsidR="00802C46">
        <w:rPr>
          <w:rFonts w:asciiTheme="minorHAnsi" w:hAnsiTheme="minorHAnsi" w:cstheme="minorHAnsi"/>
          <w:b/>
          <w:bCs/>
          <w:lang w:val="en-GB"/>
        </w:rPr>
        <w:t>-635</w:t>
      </w:r>
      <w:r w:rsidR="00C0068C" w:rsidRPr="00260049">
        <w:rPr>
          <w:rFonts w:asciiTheme="minorHAnsi" w:hAnsiTheme="minorHAnsi" w:cstheme="minorHAnsi"/>
          <w:b/>
          <w:bCs/>
          <w:lang w:val="en-GB"/>
        </w:rPr>
        <w:t xml:space="preserve"> million</w:t>
      </w:r>
      <w:r w:rsidR="006E5565">
        <w:rPr>
          <w:rFonts w:asciiTheme="minorHAnsi" w:hAnsiTheme="minorHAnsi" w:cstheme="minorHAnsi"/>
          <w:b/>
          <w:bCs/>
          <w:lang w:val="en-GB"/>
        </w:rPr>
        <w:t>,</w:t>
      </w:r>
      <w:r w:rsidR="00C0068C" w:rsidRPr="00260049">
        <w:rPr>
          <w:rFonts w:asciiTheme="minorHAnsi" w:hAnsiTheme="minorHAnsi" w:cstheme="minorHAnsi"/>
          <w:b/>
          <w:bCs/>
          <w:lang w:val="en-GB"/>
        </w:rPr>
        <w:t xml:space="preserve"> </w:t>
      </w:r>
      <w:r>
        <w:rPr>
          <w:rFonts w:asciiTheme="minorHAnsi" w:hAnsiTheme="minorHAnsi" w:cstheme="minorHAnsi"/>
          <w:b/>
          <w:bCs/>
          <w:lang w:val="en-GB"/>
        </w:rPr>
        <w:t>due</w:t>
      </w:r>
      <w:r w:rsidR="006E5565">
        <w:rPr>
          <w:rFonts w:asciiTheme="minorHAnsi" w:hAnsiTheme="minorHAnsi" w:cstheme="minorHAnsi"/>
          <w:b/>
          <w:bCs/>
          <w:lang w:val="en-GB"/>
        </w:rPr>
        <w:t xml:space="preserve"> to intensified capital investment spendings and high </w:t>
      </w:r>
      <w:r>
        <w:rPr>
          <w:rFonts w:asciiTheme="minorHAnsi" w:hAnsiTheme="minorHAnsi" w:cstheme="minorHAnsi"/>
          <w:b/>
          <w:bCs/>
          <w:lang w:val="en-GB"/>
        </w:rPr>
        <w:t xml:space="preserve">oil </w:t>
      </w:r>
      <w:r w:rsidR="006E5565">
        <w:rPr>
          <w:rFonts w:asciiTheme="minorHAnsi" w:hAnsiTheme="minorHAnsi" w:cstheme="minorHAnsi"/>
          <w:b/>
          <w:bCs/>
          <w:lang w:val="en-GB"/>
        </w:rPr>
        <w:t>and gas prices on the market</w:t>
      </w:r>
    </w:p>
    <w:p w14:paraId="0113F72D" w14:textId="77777777" w:rsidR="00C0068C" w:rsidRPr="00260049" w:rsidRDefault="00C0068C" w:rsidP="00C0068C">
      <w:pPr>
        <w:spacing w:line="360" w:lineRule="auto"/>
        <w:jc w:val="both"/>
        <w:rPr>
          <w:rFonts w:asciiTheme="minorHAnsi" w:hAnsiTheme="minorHAnsi" w:cstheme="minorHAnsi"/>
          <w:b/>
          <w:lang w:val="en-GB"/>
        </w:rPr>
      </w:pPr>
    </w:p>
    <w:p w14:paraId="66333CB6" w14:textId="3F4B8AF0" w:rsidR="006D62BF" w:rsidRDefault="006D62BF" w:rsidP="00D374E5">
      <w:pPr>
        <w:spacing w:after="120"/>
        <w:jc w:val="both"/>
        <w:rPr>
          <w:rFonts w:asciiTheme="minorHAnsi" w:hAnsiTheme="minorHAnsi" w:cstheme="minorHAnsi"/>
          <w:b/>
          <w:lang w:val="en-GB"/>
        </w:rPr>
      </w:pPr>
    </w:p>
    <w:p w14:paraId="501DF37A" w14:textId="77777777" w:rsidR="00B05CB1" w:rsidRDefault="00B05CB1" w:rsidP="00D374E5">
      <w:pPr>
        <w:spacing w:after="120"/>
        <w:jc w:val="both"/>
        <w:rPr>
          <w:rFonts w:asciiTheme="minorHAnsi" w:hAnsiTheme="minorHAnsi" w:cstheme="minorHAnsi"/>
          <w:b/>
          <w:lang w:val="en-GB"/>
        </w:rPr>
      </w:pPr>
    </w:p>
    <w:p w14:paraId="436921BA" w14:textId="77777777" w:rsidR="006D62BF" w:rsidRDefault="006D62BF" w:rsidP="00D374E5">
      <w:pPr>
        <w:spacing w:after="120"/>
        <w:jc w:val="both"/>
        <w:rPr>
          <w:rFonts w:asciiTheme="minorHAnsi" w:hAnsiTheme="minorHAnsi" w:cstheme="minorHAnsi"/>
          <w:b/>
          <w:lang w:val="en-GB"/>
        </w:rPr>
      </w:pPr>
    </w:p>
    <w:p w14:paraId="2E8AA8B7" w14:textId="77777777" w:rsidR="006D62BF" w:rsidRDefault="006D62BF" w:rsidP="00D374E5">
      <w:pPr>
        <w:spacing w:after="120"/>
        <w:jc w:val="both"/>
        <w:rPr>
          <w:rFonts w:asciiTheme="minorHAnsi" w:hAnsiTheme="minorHAnsi" w:cstheme="minorHAnsi"/>
          <w:b/>
          <w:lang w:val="en-GB"/>
        </w:rPr>
      </w:pPr>
    </w:p>
    <w:p w14:paraId="30A05885" w14:textId="77777777" w:rsidR="006D62BF" w:rsidRDefault="006D62BF" w:rsidP="00D374E5">
      <w:pPr>
        <w:spacing w:after="120"/>
        <w:jc w:val="both"/>
        <w:rPr>
          <w:rFonts w:asciiTheme="minorHAnsi" w:hAnsiTheme="minorHAnsi" w:cstheme="minorHAnsi"/>
          <w:b/>
          <w:lang w:val="en-GB"/>
        </w:rPr>
      </w:pPr>
    </w:p>
    <w:p w14:paraId="074135F8" w14:textId="77777777" w:rsidR="006D62BF" w:rsidRDefault="006D62BF" w:rsidP="00D374E5">
      <w:pPr>
        <w:spacing w:after="120"/>
        <w:jc w:val="both"/>
        <w:rPr>
          <w:rFonts w:asciiTheme="minorHAnsi" w:hAnsiTheme="minorHAnsi" w:cstheme="minorHAnsi"/>
          <w:b/>
          <w:lang w:val="en-GB"/>
        </w:rPr>
      </w:pPr>
    </w:p>
    <w:p w14:paraId="2289FF83" w14:textId="77777777" w:rsidR="006E5565" w:rsidRDefault="006E5565" w:rsidP="001448B1">
      <w:pPr>
        <w:spacing w:after="120"/>
        <w:jc w:val="both"/>
        <w:rPr>
          <w:rFonts w:asciiTheme="minorHAnsi" w:hAnsiTheme="minorHAnsi" w:cstheme="minorHAnsi"/>
          <w:b/>
          <w:lang w:val="en-GB"/>
        </w:rPr>
      </w:pPr>
    </w:p>
    <w:p w14:paraId="216F7B75" w14:textId="05016B9C" w:rsidR="001448B1" w:rsidRPr="001448B1" w:rsidRDefault="00C0068C" w:rsidP="001448B1">
      <w:pPr>
        <w:spacing w:after="120"/>
        <w:jc w:val="both"/>
        <w:rPr>
          <w:rFonts w:asciiTheme="minorHAnsi" w:hAnsiTheme="minorHAnsi" w:cstheme="minorHAnsi"/>
          <w:bCs/>
          <w:lang w:val="en-GB"/>
        </w:rPr>
      </w:pPr>
      <w:r w:rsidRPr="00260049">
        <w:rPr>
          <w:rFonts w:asciiTheme="minorHAnsi" w:hAnsiTheme="minorHAnsi" w:cstheme="minorHAnsi"/>
          <w:b/>
          <w:lang w:val="en-GB"/>
        </w:rPr>
        <w:t xml:space="preserve">Zagreb, </w:t>
      </w:r>
      <w:r w:rsidR="00623A95">
        <w:rPr>
          <w:rFonts w:asciiTheme="minorHAnsi" w:hAnsiTheme="minorHAnsi" w:cstheme="minorHAnsi"/>
          <w:b/>
          <w:lang w:val="en-GB"/>
        </w:rPr>
        <w:t>July 29</w:t>
      </w:r>
      <w:r w:rsidRPr="00260049">
        <w:rPr>
          <w:rFonts w:asciiTheme="minorHAnsi" w:hAnsiTheme="minorHAnsi" w:cstheme="minorHAnsi"/>
          <w:b/>
          <w:lang w:val="en-GB"/>
        </w:rPr>
        <w:t>, 202</w:t>
      </w:r>
      <w:r w:rsidR="00677952" w:rsidRPr="00260049">
        <w:rPr>
          <w:rFonts w:asciiTheme="minorHAnsi" w:hAnsiTheme="minorHAnsi" w:cstheme="minorHAnsi"/>
          <w:b/>
          <w:lang w:val="en-GB"/>
        </w:rPr>
        <w:t>2</w:t>
      </w:r>
      <w:r w:rsidRPr="00260049">
        <w:rPr>
          <w:rFonts w:asciiTheme="minorHAnsi" w:hAnsiTheme="minorHAnsi" w:cstheme="minorHAnsi"/>
          <w:b/>
          <w:lang w:val="en-GB"/>
        </w:rPr>
        <w:t xml:space="preserve"> – </w:t>
      </w:r>
      <w:r w:rsidR="001448B1" w:rsidRPr="001448B1">
        <w:rPr>
          <w:rFonts w:asciiTheme="minorHAnsi" w:hAnsiTheme="minorHAnsi" w:cstheme="minorHAnsi"/>
          <w:bCs/>
          <w:lang w:val="en-GB"/>
        </w:rPr>
        <w:t>Due to geopolitical risks and supply uncertainties, global energy markets continued to be marked by high prices, with Brent levels above USD 100 per barrel and CEGH gas price exceeding 100 EUR/MWh in Q2 2022.</w:t>
      </w:r>
    </w:p>
    <w:p w14:paraId="4CDFF1A6" w14:textId="2D790275" w:rsidR="001448B1" w:rsidRPr="001448B1" w:rsidRDefault="001448B1" w:rsidP="001448B1">
      <w:pPr>
        <w:spacing w:after="120"/>
        <w:jc w:val="both"/>
        <w:rPr>
          <w:rFonts w:asciiTheme="minorHAnsi" w:hAnsiTheme="minorHAnsi" w:cstheme="minorHAnsi"/>
          <w:bCs/>
          <w:lang w:val="en-GB"/>
        </w:rPr>
      </w:pPr>
      <w:r w:rsidRPr="001448B1">
        <w:rPr>
          <w:rFonts w:asciiTheme="minorHAnsi" w:hAnsiTheme="minorHAnsi" w:cstheme="minorHAnsi"/>
          <w:bCs/>
          <w:lang w:val="en-GB"/>
        </w:rPr>
        <w:t>Driven by the favourable price environment, results remained strong. H1 2022 INA Group CCS EBITDA excl. special items amounted to more than HRK 2.4 billion while net profit exceeded HRK 1.5 billion. Results improved throughout the segments with Exploration and Production revenues of almost HRK 3 billion and EBITDA of HRK 2.1 billion. High realized hydrocarbon prices significantly overcompensated the effect of continued natural decline of production. Negative cash flow of Refining and Marketing incl. Consumer services and Retail segment caused by ongoing investment activities is mitigated by the improved CCS EBITDA performance of almost HRK 0.8 billion. High energy prices and government restrictions in Retail prices and margins at the same time had a negative impact on the result. Non-fuel growth continued with 15% increase in margin driven by expanded offer and improved sales activities.</w:t>
      </w:r>
    </w:p>
    <w:p w14:paraId="38976B25" w14:textId="43B0385D" w:rsidR="00623A95" w:rsidRPr="001448B1" w:rsidRDefault="001448B1" w:rsidP="001448B1">
      <w:pPr>
        <w:spacing w:after="120"/>
        <w:jc w:val="both"/>
        <w:rPr>
          <w:rFonts w:asciiTheme="minorHAnsi" w:hAnsiTheme="minorHAnsi" w:cstheme="minorHAnsi"/>
          <w:bCs/>
          <w:lang w:val="en-GB"/>
        </w:rPr>
      </w:pPr>
      <w:r w:rsidRPr="001448B1">
        <w:rPr>
          <w:rFonts w:asciiTheme="minorHAnsi" w:hAnsiTheme="minorHAnsi" w:cstheme="minorHAnsi"/>
          <w:bCs/>
          <w:lang w:val="en-GB"/>
        </w:rPr>
        <w:t xml:space="preserve">Intensified investment activities continued, CAPEX spending more than doubled compared to H1 2021 and reached HRK 1.3 billion, of which almost a billion spent in Refining and Marketing. Aimed at moderating trend of natural production decline, Exploration and </w:t>
      </w:r>
      <w:r>
        <w:rPr>
          <w:rFonts w:asciiTheme="minorHAnsi" w:hAnsiTheme="minorHAnsi" w:cstheme="minorHAnsi"/>
          <w:bCs/>
          <w:lang w:val="en-GB"/>
        </w:rPr>
        <w:t>P</w:t>
      </w:r>
      <w:r w:rsidRPr="001448B1">
        <w:rPr>
          <w:rFonts w:asciiTheme="minorHAnsi" w:hAnsiTheme="minorHAnsi" w:cstheme="minorHAnsi"/>
          <w:bCs/>
          <w:lang w:val="en-GB"/>
        </w:rPr>
        <w:t>roduction also increased CAPEX level, focusing on development activities, both onshore and offshore. Despite the strong operative results, the cash flow of the company in H1 2022 was negative, because of the increased investments and the unprecedented financing need of the working capital due to the global energy price levels.</w:t>
      </w:r>
    </w:p>
    <w:p w14:paraId="54AF480C" w14:textId="77777777" w:rsidR="0037692E" w:rsidRPr="00260049" w:rsidRDefault="0037692E" w:rsidP="00D374E5">
      <w:pPr>
        <w:spacing w:after="120"/>
        <w:jc w:val="both"/>
        <w:rPr>
          <w:rFonts w:asciiTheme="minorHAnsi" w:hAnsiTheme="minorHAnsi" w:cstheme="minorHAnsi"/>
          <w:b/>
          <w:lang w:val="en-GB"/>
        </w:rPr>
      </w:pPr>
      <w:r w:rsidRPr="00260049">
        <w:rPr>
          <w:rFonts w:asciiTheme="minorHAnsi" w:hAnsiTheme="minorHAnsi" w:cstheme="minorHAnsi"/>
          <w:b/>
          <w:lang w:val="en-GB"/>
        </w:rPr>
        <w:t xml:space="preserve">Statement of Mr. Sándor Fasimon, President of the Management Board of INA: </w:t>
      </w:r>
    </w:p>
    <w:p w14:paraId="3E740678" w14:textId="5BB39061" w:rsidR="00623A95" w:rsidRDefault="00623A95" w:rsidP="00623A95">
      <w:pPr>
        <w:jc w:val="both"/>
        <w:rPr>
          <w:rFonts w:asciiTheme="minorHAnsi" w:hAnsiTheme="minorHAnsi" w:cstheme="minorHAnsi"/>
          <w:lang w:val="en-GB"/>
        </w:rPr>
      </w:pPr>
      <w:r>
        <w:rPr>
          <w:rFonts w:asciiTheme="minorHAnsi" w:hAnsiTheme="minorHAnsi" w:cstheme="minorHAnsi"/>
          <w:lang w:val="en-GB"/>
        </w:rPr>
        <w:t>“</w:t>
      </w:r>
      <w:r w:rsidRPr="00623A95">
        <w:rPr>
          <w:rFonts w:asciiTheme="minorHAnsi" w:hAnsiTheme="minorHAnsi" w:cstheme="minorHAnsi"/>
          <w:lang w:val="en-GB"/>
        </w:rPr>
        <w:t xml:space="preserve">2022 continue to be a challenging year for the global economy, with market turmoil in many areas, especially in the energy sector. High level of both oil and gas prices, together with uncertainty in the safety of supply, have led to government interventions in many countries. Rise in the prices pushed the revenues of the entire oil and gas industry but various regulatory decisions on the other hand create a position where future trends are not easy to foresee. </w:t>
      </w:r>
    </w:p>
    <w:p w14:paraId="12B6BCAC" w14:textId="77777777" w:rsidR="00623A95" w:rsidRPr="00623A95" w:rsidRDefault="00623A95" w:rsidP="00623A95">
      <w:pPr>
        <w:jc w:val="both"/>
        <w:rPr>
          <w:rFonts w:asciiTheme="minorHAnsi" w:hAnsiTheme="minorHAnsi" w:cstheme="minorHAnsi"/>
          <w:lang w:val="en-GB"/>
        </w:rPr>
      </w:pPr>
    </w:p>
    <w:p w14:paraId="042909BB" w14:textId="4A7F0717" w:rsidR="00623A95" w:rsidRDefault="00623A95" w:rsidP="00623A95">
      <w:pPr>
        <w:jc w:val="both"/>
        <w:rPr>
          <w:rFonts w:asciiTheme="minorHAnsi" w:hAnsiTheme="minorHAnsi" w:cstheme="minorHAnsi"/>
          <w:lang w:val="en-GB"/>
        </w:rPr>
      </w:pPr>
      <w:r w:rsidRPr="00623A95">
        <w:rPr>
          <w:rFonts w:asciiTheme="minorHAnsi" w:hAnsiTheme="minorHAnsi" w:cstheme="minorHAnsi"/>
          <w:lang w:val="en-GB"/>
        </w:rPr>
        <w:t>INA’s result in such environment stayed strong, with Exploration and Production bringing the biggest contribution to the result. Production declines as expected in line with the mature portfolio, but multiple development activities aimed at moderating natural decline are underway, both onshore and offshore.</w:t>
      </w:r>
    </w:p>
    <w:p w14:paraId="063FE151" w14:textId="77777777" w:rsidR="00623A95" w:rsidRPr="00623A95" w:rsidRDefault="00623A95" w:rsidP="00623A95">
      <w:pPr>
        <w:jc w:val="both"/>
        <w:rPr>
          <w:rFonts w:asciiTheme="minorHAnsi" w:hAnsiTheme="minorHAnsi" w:cstheme="minorHAnsi"/>
          <w:lang w:val="en-GB"/>
        </w:rPr>
      </w:pPr>
    </w:p>
    <w:p w14:paraId="35670022" w14:textId="0770C763" w:rsidR="00623A95" w:rsidRDefault="00623A95" w:rsidP="00623A95">
      <w:pPr>
        <w:jc w:val="both"/>
        <w:rPr>
          <w:rFonts w:asciiTheme="minorHAnsi" w:hAnsiTheme="minorHAnsi" w:cstheme="minorHAnsi"/>
          <w:lang w:val="en-GB"/>
        </w:rPr>
      </w:pPr>
      <w:r w:rsidRPr="00623A95">
        <w:rPr>
          <w:rFonts w:asciiTheme="minorHAnsi" w:hAnsiTheme="minorHAnsi" w:cstheme="minorHAnsi"/>
          <w:lang w:val="en-GB"/>
        </w:rPr>
        <w:t xml:space="preserve">Due to the mentioned global risks and lower product availability, refining margins improved greatly and supported the result of the Refining and Marketing, including Customer Services and Retail, despite the regulatory constraints on price and margins. In these circumstances INA’s priority is the safe supply of the market, which is ensured with no major disturbances in the supply. Seasonality of Croatian market is visible with growth of Retail volumes, not just in </w:t>
      </w:r>
      <w:r w:rsidRPr="00623A95">
        <w:rPr>
          <w:rFonts w:asciiTheme="minorHAnsi" w:hAnsiTheme="minorHAnsi" w:cstheme="minorHAnsi"/>
          <w:lang w:val="en-GB"/>
        </w:rPr>
        <w:lastRenderedPageBreak/>
        <w:t xml:space="preserve">fuel but also in non-fuel segment. Considering all the above factors INA’s EBITDA exceeded HRK 2.7 billion in first half 2022. Tourist season is in full swing and the Q3 result will likely show even stronger result, providing the regulatory measures don’t additionally impact the market. </w:t>
      </w:r>
    </w:p>
    <w:p w14:paraId="0C9DDD96" w14:textId="77777777" w:rsidR="00623A95" w:rsidRPr="00623A95" w:rsidRDefault="00623A95" w:rsidP="00623A95">
      <w:pPr>
        <w:jc w:val="both"/>
        <w:rPr>
          <w:rFonts w:asciiTheme="minorHAnsi" w:hAnsiTheme="minorHAnsi" w:cstheme="minorHAnsi"/>
          <w:lang w:val="en-GB"/>
        </w:rPr>
      </w:pPr>
    </w:p>
    <w:p w14:paraId="188B6E47" w14:textId="1BD99AE9" w:rsidR="00623A95" w:rsidRPr="00260049" w:rsidRDefault="00623A95" w:rsidP="00623A95">
      <w:pPr>
        <w:jc w:val="both"/>
        <w:rPr>
          <w:rFonts w:asciiTheme="minorHAnsi" w:hAnsiTheme="minorHAnsi" w:cstheme="minorHAnsi"/>
          <w:lang w:val="en-GB"/>
        </w:rPr>
        <w:sectPr w:rsidR="00623A95" w:rsidRPr="00260049">
          <w:headerReference w:type="default" r:id="rId13"/>
          <w:footerReference w:type="default" r:id="rId14"/>
          <w:pgSz w:w="11906" w:h="16838"/>
          <w:pgMar w:top="1417" w:right="1417" w:bottom="1417" w:left="1417" w:header="708" w:footer="708" w:gutter="0"/>
          <w:cols w:space="708"/>
          <w:docGrid w:linePitch="360"/>
        </w:sectPr>
      </w:pPr>
      <w:r w:rsidRPr="00623A95">
        <w:rPr>
          <w:rFonts w:asciiTheme="minorHAnsi" w:hAnsiTheme="minorHAnsi" w:cstheme="minorHAnsi"/>
          <w:lang w:val="en-GB"/>
        </w:rPr>
        <w:t>Apart from the strong revenues INA is also in a period of high investments. Capital expenditure more than double compared to first half 2021 and exceeded HRK 1.3 billion, of which more than a billion in the Refining segment. Rijeka Refinery Upgrade Project total completion is at more than 50% and continues as one of the largest investments in recent years, not just on INA level but also on country level. With the completion of the project supply of the domestic and core markets will be not just safe but also significantly more economically sustainable.</w:t>
      </w:r>
      <w:r>
        <w:rPr>
          <w:rFonts w:asciiTheme="minorHAnsi" w:hAnsiTheme="minorHAnsi" w:cstheme="minorHAnsi"/>
          <w:lang w:val="en-GB"/>
        </w:rPr>
        <w:t>”</w:t>
      </w:r>
    </w:p>
    <w:p w14:paraId="741B3900" w14:textId="4517136B" w:rsidR="000038FF" w:rsidRPr="00260049" w:rsidRDefault="000038FF" w:rsidP="00BC616F">
      <w:pPr>
        <w:spacing w:line="360" w:lineRule="auto"/>
        <w:jc w:val="both"/>
        <w:rPr>
          <w:rFonts w:asciiTheme="minorHAnsi" w:hAnsiTheme="minorHAnsi" w:cstheme="minorHAnsi"/>
          <w:lang w:val="en-GB"/>
        </w:rPr>
      </w:pPr>
    </w:p>
    <w:p w14:paraId="14C537A8" w14:textId="44CEA309" w:rsidR="00FF0C7C" w:rsidRPr="00260049" w:rsidRDefault="00E050DE" w:rsidP="00C0068C">
      <w:pPr>
        <w:spacing w:line="360" w:lineRule="auto"/>
        <w:jc w:val="center"/>
        <w:rPr>
          <w:rFonts w:asciiTheme="minorHAnsi" w:hAnsiTheme="minorHAnsi" w:cstheme="minorHAnsi"/>
          <w:lang w:val="en-GB"/>
        </w:rPr>
      </w:pPr>
      <w:r>
        <w:rPr>
          <w:rFonts w:asciiTheme="minorHAnsi" w:hAnsiTheme="minorHAnsi" w:cstheme="minorHAnsi"/>
          <w:noProof/>
          <w:lang w:val="en-GB"/>
        </w:rPr>
        <w:drawing>
          <wp:inline distT="0" distB="0" distL="0" distR="0" wp14:anchorId="266FAD15" wp14:editId="7081708F">
            <wp:extent cx="2951018" cy="227323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3832" cy="2275401"/>
                    </a:xfrm>
                    <a:prstGeom prst="rect">
                      <a:avLst/>
                    </a:prstGeom>
                    <a:noFill/>
                  </pic:spPr>
                </pic:pic>
              </a:graphicData>
            </a:graphic>
          </wp:inline>
        </w:drawing>
      </w:r>
    </w:p>
    <w:p w14:paraId="6CF4E1F3" w14:textId="77777777" w:rsidR="00C0068C" w:rsidRPr="00260049" w:rsidRDefault="00C0068C" w:rsidP="00C0068C">
      <w:pPr>
        <w:spacing w:line="360" w:lineRule="auto"/>
        <w:jc w:val="center"/>
        <w:rPr>
          <w:rFonts w:asciiTheme="minorHAnsi" w:hAnsiTheme="minorHAnsi" w:cstheme="minorHAnsi"/>
          <w:lang w:val="en-GB"/>
        </w:rPr>
      </w:pPr>
    </w:p>
    <w:p w14:paraId="2B367E09" w14:textId="1C60441A" w:rsidR="00E050DE" w:rsidRPr="00260049" w:rsidRDefault="00E050DE" w:rsidP="006A6D32">
      <w:pPr>
        <w:spacing w:line="360" w:lineRule="auto"/>
        <w:jc w:val="center"/>
        <w:rPr>
          <w:rFonts w:asciiTheme="minorHAnsi" w:hAnsiTheme="minorHAnsi" w:cstheme="minorHAnsi"/>
          <w:lang w:val="en-GB"/>
        </w:rPr>
      </w:pPr>
      <w:r>
        <w:rPr>
          <w:rFonts w:asciiTheme="minorHAnsi" w:hAnsiTheme="minorHAnsi" w:cstheme="minorHAnsi"/>
          <w:noProof/>
          <w:lang w:val="en-GB"/>
        </w:rPr>
        <w:drawing>
          <wp:inline distT="0" distB="0" distL="0" distR="0" wp14:anchorId="319F1E70" wp14:editId="296ED7F9">
            <wp:extent cx="2999740" cy="2121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6EA9CA16" w14:textId="7774EF1C" w:rsidR="006A6D32" w:rsidRPr="00260049" w:rsidRDefault="006A6D32" w:rsidP="006A6D32">
      <w:pPr>
        <w:spacing w:line="360" w:lineRule="auto"/>
        <w:jc w:val="center"/>
        <w:rPr>
          <w:rFonts w:asciiTheme="minorHAnsi" w:hAnsiTheme="minorHAnsi" w:cstheme="minorHAnsi"/>
          <w:lang w:val="en-GB"/>
        </w:rPr>
      </w:pPr>
    </w:p>
    <w:p w14:paraId="10F07FFD" w14:textId="6AB97A1A" w:rsidR="00D374E5" w:rsidRDefault="00D374E5" w:rsidP="00D374E5">
      <w:pPr>
        <w:spacing w:line="360" w:lineRule="auto"/>
        <w:rPr>
          <w:rFonts w:asciiTheme="minorHAnsi" w:hAnsiTheme="minorHAnsi" w:cstheme="minorHAnsi"/>
          <w:lang w:val="en-GB"/>
        </w:rPr>
      </w:pPr>
    </w:p>
    <w:p w14:paraId="688E2F54" w14:textId="77777777" w:rsidR="00286848" w:rsidRPr="00286848" w:rsidRDefault="00286848" w:rsidP="00D374E5">
      <w:pPr>
        <w:spacing w:line="360" w:lineRule="auto"/>
        <w:rPr>
          <w:rFonts w:asciiTheme="minorHAnsi" w:hAnsiTheme="minorHAnsi" w:cstheme="minorHAnsi"/>
          <w:sz w:val="14"/>
          <w:szCs w:val="14"/>
          <w:lang w:val="en-GB"/>
        </w:rPr>
      </w:pPr>
    </w:p>
    <w:p w14:paraId="13F51E50" w14:textId="564E39B3" w:rsidR="00FF0C7C" w:rsidRPr="00260049" w:rsidRDefault="00E050DE" w:rsidP="00C0068C">
      <w:pPr>
        <w:spacing w:line="360" w:lineRule="auto"/>
        <w:jc w:val="center"/>
        <w:rPr>
          <w:rFonts w:asciiTheme="minorHAnsi" w:hAnsiTheme="minorHAnsi" w:cstheme="minorHAnsi"/>
          <w:lang w:val="en-GB"/>
        </w:rPr>
      </w:pPr>
      <w:r>
        <w:rPr>
          <w:rFonts w:asciiTheme="minorHAnsi" w:hAnsiTheme="minorHAnsi" w:cstheme="minorHAnsi"/>
          <w:noProof/>
          <w:lang w:val="en-GB"/>
        </w:rPr>
        <w:drawing>
          <wp:inline distT="0" distB="0" distL="0" distR="0" wp14:anchorId="501CBB05" wp14:editId="1798A713">
            <wp:extent cx="2999740" cy="2121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3FBB3C41" w14:textId="77777777" w:rsidR="00900453" w:rsidRPr="00260049" w:rsidRDefault="00900453" w:rsidP="00C0068C">
      <w:pPr>
        <w:spacing w:line="360" w:lineRule="auto"/>
        <w:jc w:val="center"/>
        <w:rPr>
          <w:rFonts w:asciiTheme="minorHAnsi" w:hAnsiTheme="minorHAnsi" w:cstheme="minorHAnsi"/>
          <w:lang w:val="en-GB"/>
        </w:rPr>
      </w:pPr>
    </w:p>
    <w:p w14:paraId="24076475" w14:textId="1A5FFB42" w:rsidR="008B13EE" w:rsidRPr="00260049" w:rsidRDefault="00E050DE" w:rsidP="00C0068C">
      <w:pPr>
        <w:spacing w:line="360" w:lineRule="auto"/>
        <w:jc w:val="center"/>
        <w:rPr>
          <w:rFonts w:asciiTheme="minorHAnsi" w:hAnsiTheme="minorHAnsi" w:cstheme="minorHAnsi"/>
          <w:lang w:val="en-GB"/>
        </w:rPr>
      </w:pPr>
      <w:r>
        <w:rPr>
          <w:rFonts w:asciiTheme="minorHAnsi" w:hAnsiTheme="minorHAnsi" w:cstheme="minorHAnsi"/>
          <w:noProof/>
          <w:lang w:val="en-GB"/>
        </w:rPr>
        <w:drawing>
          <wp:inline distT="0" distB="0" distL="0" distR="0" wp14:anchorId="6436593E" wp14:editId="302BC637">
            <wp:extent cx="2999740" cy="2121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1C752761" w14:textId="77777777" w:rsidR="005756D5" w:rsidRPr="00260049" w:rsidRDefault="005756D5" w:rsidP="00C0068C">
      <w:pPr>
        <w:spacing w:line="360" w:lineRule="auto"/>
        <w:jc w:val="both"/>
        <w:rPr>
          <w:rFonts w:asciiTheme="minorHAnsi" w:hAnsiTheme="minorHAnsi" w:cstheme="minorHAnsi"/>
          <w:b/>
          <w:lang w:val="en-GB"/>
        </w:rPr>
      </w:pPr>
    </w:p>
    <w:p w14:paraId="3812664C" w14:textId="77777777" w:rsidR="00621EAF" w:rsidRPr="00260049" w:rsidRDefault="00621EAF" w:rsidP="00C0068C">
      <w:pPr>
        <w:spacing w:line="360" w:lineRule="auto"/>
        <w:jc w:val="both"/>
        <w:rPr>
          <w:rFonts w:asciiTheme="minorHAnsi" w:hAnsiTheme="minorHAnsi" w:cstheme="minorHAnsi"/>
          <w:b/>
          <w:lang w:val="en-GB"/>
        </w:rPr>
        <w:sectPr w:rsidR="00621EAF" w:rsidRPr="00260049" w:rsidSect="00621EAF">
          <w:type w:val="continuous"/>
          <w:pgSz w:w="11906" w:h="16838"/>
          <w:pgMar w:top="1417" w:right="1417" w:bottom="1417" w:left="1417" w:header="708" w:footer="708" w:gutter="0"/>
          <w:cols w:num="2" w:space="708"/>
          <w:docGrid w:linePitch="360"/>
        </w:sectPr>
      </w:pPr>
    </w:p>
    <w:p w14:paraId="036B864B" w14:textId="77777777" w:rsidR="00547E81" w:rsidRDefault="00547E81" w:rsidP="00C0068C">
      <w:pPr>
        <w:spacing w:line="360" w:lineRule="auto"/>
        <w:jc w:val="both"/>
        <w:rPr>
          <w:rFonts w:asciiTheme="minorHAnsi" w:hAnsiTheme="minorHAnsi" w:cstheme="minorHAnsi"/>
          <w:b/>
          <w:lang w:val="en-GB"/>
        </w:rPr>
      </w:pPr>
    </w:p>
    <w:p w14:paraId="0763C3AC" w14:textId="77777777" w:rsidR="006E5565" w:rsidRDefault="006E5565" w:rsidP="00C0068C">
      <w:pPr>
        <w:spacing w:line="360" w:lineRule="auto"/>
        <w:jc w:val="both"/>
        <w:rPr>
          <w:rFonts w:asciiTheme="minorHAnsi" w:hAnsiTheme="minorHAnsi" w:cstheme="minorHAnsi"/>
          <w:b/>
          <w:lang w:val="en-GB"/>
        </w:rPr>
      </w:pPr>
    </w:p>
    <w:p w14:paraId="273CB580" w14:textId="231C1524" w:rsidR="00621EAF" w:rsidRDefault="00756EF3" w:rsidP="00C0068C">
      <w:pPr>
        <w:spacing w:line="360" w:lineRule="auto"/>
        <w:jc w:val="both"/>
        <w:rPr>
          <w:rFonts w:asciiTheme="minorHAnsi" w:hAnsiTheme="minorHAnsi" w:cstheme="minorHAnsi"/>
          <w:b/>
          <w:lang w:val="en-GB"/>
        </w:rPr>
      </w:pPr>
      <w:r w:rsidRPr="00286848">
        <w:rPr>
          <w:rFonts w:asciiTheme="minorHAnsi" w:hAnsiTheme="minorHAnsi" w:cstheme="minorHAnsi"/>
          <w:b/>
          <w:lang w:val="en-GB"/>
        </w:rPr>
        <w:t>Exploration and Production</w:t>
      </w:r>
    </w:p>
    <w:p w14:paraId="55C2D738" w14:textId="00C76CCE" w:rsidR="00613BA8" w:rsidRDefault="00613BA8" w:rsidP="00613BA8">
      <w:pPr>
        <w:rPr>
          <w:rFonts w:asciiTheme="minorHAnsi" w:hAnsiTheme="minorHAnsi" w:cstheme="minorHAnsi"/>
          <w:bCs/>
          <w:lang w:val="en-GB"/>
        </w:rPr>
      </w:pPr>
      <w:r w:rsidRPr="00613BA8">
        <w:rPr>
          <w:rFonts w:asciiTheme="minorHAnsi" w:hAnsiTheme="minorHAnsi" w:cstheme="minorHAnsi"/>
          <w:bCs/>
          <w:lang w:val="en-GB"/>
        </w:rPr>
        <w:t xml:space="preserve">Higher prices impacted sales revenues positively by HRK 1.3 </w:t>
      </w:r>
      <w:r w:rsidR="00BC24F7">
        <w:rPr>
          <w:rFonts w:asciiTheme="minorHAnsi" w:hAnsiTheme="minorHAnsi" w:cstheme="minorHAnsi"/>
          <w:bCs/>
          <w:lang w:val="en-GB"/>
        </w:rPr>
        <w:t>b</w:t>
      </w:r>
      <w:r w:rsidRPr="00613BA8">
        <w:rPr>
          <w:rFonts w:asciiTheme="minorHAnsi" w:hAnsiTheme="minorHAnsi" w:cstheme="minorHAnsi"/>
          <w:bCs/>
          <w:lang w:val="en-GB"/>
        </w:rPr>
        <w:t>illion. Increased gas prices added HRK 715 million positive effect, while 66% higher Brent price brought an additional HRK 492 million crude oil and condensate sales revenues with other products positive impact on revenues in the amount of HRK 109 million</w:t>
      </w:r>
      <w:r>
        <w:rPr>
          <w:rFonts w:asciiTheme="minorHAnsi" w:hAnsiTheme="minorHAnsi" w:cstheme="minorHAnsi"/>
          <w:bCs/>
          <w:lang w:val="en-GB"/>
        </w:rPr>
        <w:t>.</w:t>
      </w:r>
    </w:p>
    <w:p w14:paraId="5124C738" w14:textId="77777777" w:rsidR="00613BA8" w:rsidRPr="00613BA8" w:rsidRDefault="00613BA8" w:rsidP="00613BA8">
      <w:pPr>
        <w:rPr>
          <w:rFonts w:asciiTheme="minorHAnsi" w:hAnsiTheme="minorHAnsi" w:cstheme="minorHAnsi"/>
          <w:bCs/>
          <w:lang w:val="en-GB"/>
        </w:rPr>
      </w:pPr>
    </w:p>
    <w:p w14:paraId="36CE2CF3" w14:textId="14C869E6" w:rsidR="00147E32" w:rsidRDefault="00147E32" w:rsidP="00147E32">
      <w:pPr>
        <w:rPr>
          <w:rFonts w:asciiTheme="minorHAnsi" w:hAnsiTheme="minorHAnsi" w:cstheme="minorHAnsi"/>
          <w:noProof/>
          <w:lang w:val="en-GB"/>
        </w:rPr>
      </w:pPr>
      <w:r w:rsidRPr="00147E32">
        <w:rPr>
          <w:rFonts w:asciiTheme="minorHAnsi" w:hAnsiTheme="minorHAnsi" w:cstheme="minorHAnsi"/>
          <w:noProof/>
          <w:lang w:val="en-GB"/>
        </w:rPr>
        <w:t>Higher CAPEX level compared to H1 2021 mainly as a result of development activities on Croatia Offshore drilling campaign and on Croatia Onshore. Main activities in H1 2022:</w:t>
      </w:r>
    </w:p>
    <w:p w14:paraId="67936442" w14:textId="77777777" w:rsidR="00147E32" w:rsidRPr="00147E32" w:rsidRDefault="00147E32" w:rsidP="00147E32">
      <w:pPr>
        <w:rPr>
          <w:rFonts w:asciiTheme="minorHAnsi" w:hAnsiTheme="minorHAnsi" w:cstheme="minorHAnsi"/>
          <w:noProof/>
          <w:lang w:val="en-GB"/>
        </w:rPr>
      </w:pPr>
    </w:p>
    <w:p w14:paraId="1E9F3E65" w14:textId="77777777" w:rsidR="00147E32" w:rsidRPr="00147E32" w:rsidRDefault="00147E32" w:rsidP="00147E32">
      <w:pPr>
        <w:rPr>
          <w:rFonts w:asciiTheme="minorHAnsi" w:hAnsiTheme="minorHAnsi" w:cstheme="minorHAnsi"/>
          <w:b/>
          <w:bCs/>
          <w:noProof/>
          <w:lang w:val="en-GB"/>
        </w:rPr>
      </w:pPr>
      <w:r w:rsidRPr="00147E32">
        <w:rPr>
          <w:rFonts w:asciiTheme="minorHAnsi" w:hAnsiTheme="minorHAnsi" w:cstheme="minorHAnsi"/>
          <w:b/>
          <w:bCs/>
          <w:noProof/>
          <w:lang w:val="en-GB"/>
        </w:rPr>
        <w:t>Croatia Exploration:</w:t>
      </w:r>
    </w:p>
    <w:p w14:paraId="5E29738B" w14:textId="16CFF9A3" w:rsidR="00147E32" w:rsidRPr="00147E32" w:rsidRDefault="00147E32" w:rsidP="00147E32">
      <w:pPr>
        <w:pStyle w:val="ListParagraph"/>
        <w:numPr>
          <w:ilvl w:val="0"/>
          <w:numId w:val="6"/>
        </w:numPr>
        <w:rPr>
          <w:rFonts w:asciiTheme="minorHAnsi" w:hAnsiTheme="minorHAnsi" w:cstheme="minorHAnsi"/>
          <w:noProof/>
          <w:lang w:val="en-GB"/>
        </w:rPr>
      </w:pPr>
      <w:r w:rsidRPr="00147E32">
        <w:rPr>
          <w:rFonts w:asciiTheme="minorHAnsi" w:hAnsiTheme="minorHAnsi" w:cstheme="minorHAnsi"/>
          <w:noProof/>
          <w:lang w:val="en-GB"/>
        </w:rPr>
        <w:t xml:space="preserve">Drava-03: Permitting and preparation for drilling underway </w:t>
      </w:r>
    </w:p>
    <w:p w14:paraId="774286F1" w14:textId="376F02DC" w:rsidR="00147E32" w:rsidRPr="00147E32" w:rsidRDefault="00147E32" w:rsidP="00147E32">
      <w:pPr>
        <w:pStyle w:val="ListParagraph"/>
        <w:numPr>
          <w:ilvl w:val="0"/>
          <w:numId w:val="6"/>
        </w:numPr>
        <w:rPr>
          <w:rFonts w:asciiTheme="minorHAnsi" w:hAnsiTheme="minorHAnsi" w:cstheme="minorHAnsi"/>
          <w:noProof/>
          <w:lang w:val="en-GB"/>
        </w:rPr>
      </w:pPr>
      <w:r w:rsidRPr="00147E32">
        <w:rPr>
          <w:rFonts w:asciiTheme="minorHAnsi" w:hAnsiTheme="minorHAnsi" w:cstheme="minorHAnsi"/>
          <w:noProof/>
          <w:lang w:val="en-GB"/>
        </w:rPr>
        <w:t>SZH-01: Seismic interpretation, geochronological study and laboratory analysis in progress</w:t>
      </w:r>
    </w:p>
    <w:p w14:paraId="4E3FB786" w14:textId="5F795D01" w:rsidR="00147E32" w:rsidRDefault="00147E32" w:rsidP="00147E32">
      <w:pPr>
        <w:pStyle w:val="ListParagraph"/>
        <w:numPr>
          <w:ilvl w:val="0"/>
          <w:numId w:val="6"/>
        </w:numPr>
        <w:rPr>
          <w:rFonts w:asciiTheme="minorHAnsi" w:hAnsiTheme="minorHAnsi" w:cstheme="minorHAnsi"/>
          <w:noProof/>
          <w:lang w:val="en-GB"/>
        </w:rPr>
      </w:pPr>
      <w:r w:rsidRPr="00147E32">
        <w:rPr>
          <w:rFonts w:asciiTheme="minorHAnsi" w:hAnsiTheme="minorHAnsi" w:cstheme="minorHAnsi"/>
          <w:noProof/>
          <w:lang w:val="en-GB"/>
        </w:rPr>
        <w:t>DI-14: External G&amp;G study completed, final G&amp;G in-house study completed</w:t>
      </w:r>
    </w:p>
    <w:p w14:paraId="4DF1C994" w14:textId="77777777" w:rsidR="00F56832" w:rsidRPr="00147E32" w:rsidRDefault="00F56832" w:rsidP="00F56832">
      <w:pPr>
        <w:pStyle w:val="ListParagraph"/>
        <w:ind w:left="360"/>
        <w:rPr>
          <w:rFonts w:asciiTheme="minorHAnsi" w:hAnsiTheme="minorHAnsi" w:cstheme="minorHAnsi"/>
          <w:noProof/>
          <w:lang w:val="en-GB"/>
        </w:rPr>
      </w:pPr>
    </w:p>
    <w:p w14:paraId="7D705FC6" w14:textId="77777777" w:rsidR="00147E32" w:rsidRPr="00147E32" w:rsidRDefault="00147E32" w:rsidP="00147E32">
      <w:pPr>
        <w:rPr>
          <w:rFonts w:asciiTheme="minorHAnsi" w:hAnsiTheme="minorHAnsi" w:cstheme="minorHAnsi"/>
          <w:b/>
          <w:bCs/>
          <w:noProof/>
          <w:lang w:val="en-GB"/>
        </w:rPr>
      </w:pPr>
      <w:r w:rsidRPr="00147E32">
        <w:rPr>
          <w:rFonts w:asciiTheme="minorHAnsi" w:hAnsiTheme="minorHAnsi" w:cstheme="minorHAnsi"/>
          <w:b/>
          <w:bCs/>
          <w:noProof/>
          <w:lang w:val="en-GB"/>
        </w:rPr>
        <w:t>Croatia Development Offshore:</w:t>
      </w:r>
    </w:p>
    <w:p w14:paraId="5B1735CD" w14:textId="44DFA0C0" w:rsidR="00147E32" w:rsidRPr="008E662B" w:rsidRDefault="00147E32" w:rsidP="008E662B">
      <w:pPr>
        <w:pStyle w:val="ListParagraph"/>
        <w:numPr>
          <w:ilvl w:val="0"/>
          <w:numId w:val="7"/>
        </w:numPr>
        <w:rPr>
          <w:rFonts w:asciiTheme="minorHAnsi" w:hAnsiTheme="minorHAnsi" w:cstheme="minorHAnsi"/>
          <w:noProof/>
          <w:lang w:val="en-GB"/>
        </w:rPr>
      </w:pPr>
      <w:r w:rsidRPr="008E662B">
        <w:rPr>
          <w:rFonts w:asciiTheme="minorHAnsi" w:hAnsiTheme="minorHAnsi" w:cstheme="minorHAnsi"/>
          <w:noProof/>
          <w:lang w:val="en-GB"/>
        </w:rPr>
        <w:t>Ika B-1 R well: initial production started on March 3, 2022</w:t>
      </w:r>
    </w:p>
    <w:p w14:paraId="2477D184" w14:textId="5362FC28" w:rsidR="00147E32" w:rsidRDefault="00147E32" w:rsidP="008E662B">
      <w:pPr>
        <w:pStyle w:val="ListParagraph"/>
        <w:numPr>
          <w:ilvl w:val="0"/>
          <w:numId w:val="7"/>
        </w:numPr>
        <w:rPr>
          <w:rFonts w:asciiTheme="minorHAnsi" w:hAnsiTheme="minorHAnsi" w:cstheme="minorHAnsi"/>
          <w:noProof/>
          <w:lang w:val="en-GB"/>
        </w:rPr>
      </w:pPr>
      <w:r w:rsidRPr="008E662B">
        <w:rPr>
          <w:rFonts w:asciiTheme="minorHAnsi" w:hAnsiTheme="minorHAnsi" w:cstheme="minorHAnsi"/>
          <w:noProof/>
          <w:lang w:val="en-GB"/>
        </w:rPr>
        <w:t>Marica D Dir well: Hook up completed. Trial production started on May 26, 2022</w:t>
      </w:r>
    </w:p>
    <w:p w14:paraId="17705AA2" w14:textId="77777777" w:rsidR="00F56832" w:rsidRPr="008E662B" w:rsidRDefault="00F56832" w:rsidP="00F56832">
      <w:pPr>
        <w:pStyle w:val="ListParagraph"/>
        <w:ind w:left="360"/>
        <w:rPr>
          <w:rFonts w:asciiTheme="minorHAnsi" w:hAnsiTheme="minorHAnsi" w:cstheme="minorHAnsi"/>
          <w:noProof/>
          <w:lang w:val="en-GB"/>
        </w:rPr>
      </w:pPr>
    </w:p>
    <w:p w14:paraId="23AD78D7" w14:textId="77777777" w:rsidR="00147E32" w:rsidRPr="00147E32" w:rsidRDefault="00147E32" w:rsidP="00147E32">
      <w:pPr>
        <w:rPr>
          <w:rFonts w:asciiTheme="minorHAnsi" w:hAnsiTheme="minorHAnsi" w:cstheme="minorHAnsi"/>
          <w:b/>
          <w:bCs/>
          <w:noProof/>
          <w:lang w:val="en-GB"/>
        </w:rPr>
      </w:pPr>
      <w:r w:rsidRPr="00147E32">
        <w:rPr>
          <w:rFonts w:asciiTheme="minorHAnsi" w:hAnsiTheme="minorHAnsi" w:cstheme="minorHAnsi"/>
          <w:b/>
          <w:bCs/>
          <w:noProof/>
          <w:lang w:val="en-GB"/>
        </w:rPr>
        <w:t>Croatia Development Onshore:</w:t>
      </w:r>
    </w:p>
    <w:p w14:paraId="5101994F" w14:textId="607D1965" w:rsidR="00147E32" w:rsidRPr="008E662B" w:rsidRDefault="00147E32" w:rsidP="008E662B">
      <w:pPr>
        <w:pStyle w:val="ListParagraph"/>
        <w:numPr>
          <w:ilvl w:val="0"/>
          <w:numId w:val="8"/>
        </w:numPr>
        <w:rPr>
          <w:rFonts w:asciiTheme="minorHAnsi" w:hAnsiTheme="minorHAnsi" w:cstheme="minorHAnsi"/>
          <w:noProof/>
          <w:lang w:val="en-GB"/>
        </w:rPr>
      </w:pPr>
      <w:r w:rsidRPr="008E662B">
        <w:rPr>
          <w:rFonts w:asciiTheme="minorHAnsi" w:hAnsiTheme="minorHAnsi" w:cstheme="minorHAnsi"/>
          <w:noProof/>
          <w:lang w:val="en-GB"/>
        </w:rPr>
        <w:t>In total 25 workovers were performed</w:t>
      </w:r>
    </w:p>
    <w:p w14:paraId="4563574C" w14:textId="63AE7A0E" w:rsidR="00147E32" w:rsidRPr="008E662B" w:rsidRDefault="00147E32" w:rsidP="008E662B">
      <w:pPr>
        <w:pStyle w:val="ListParagraph"/>
        <w:numPr>
          <w:ilvl w:val="0"/>
          <w:numId w:val="8"/>
        </w:numPr>
        <w:rPr>
          <w:rFonts w:asciiTheme="minorHAnsi" w:hAnsiTheme="minorHAnsi" w:cstheme="minorHAnsi"/>
          <w:noProof/>
          <w:lang w:val="en-GB"/>
        </w:rPr>
      </w:pPr>
      <w:r w:rsidRPr="008E662B">
        <w:rPr>
          <w:rFonts w:asciiTheme="minorHAnsi" w:hAnsiTheme="minorHAnsi" w:cstheme="minorHAnsi"/>
          <w:noProof/>
          <w:lang w:val="en-GB"/>
        </w:rPr>
        <w:t>Dravica-3: Drilling started on April 18, finished on May 31, 2022, the well is negative. Based on results, review of surface production concept is in progress</w:t>
      </w:r>
    </w:p>
    <w:p w14:paraId="0F18D228" w14:textId="4C51B2FF" w:rsidR="00147E32" w:rsidRDefault="00147E32" w:rsidP="008E662B">
      <w:pPr>
        <w:pStyle w:val="ListParagraph"/>
        <w:numPr>
          <w:ilvl w:val="0"/>
          <w:numId w:val="8"/>
        </w:numPr>
        <w:rPr>
          <w:rFonts w:asciiTheme="minorHAnsi" w:hAnsiTheme="minorHAnsi" w:cstheme="minorHAnsi"/>
          <w:noProof/>
          <w:lang w:val="en-GB"/>
        </w:rPr>
      </w:pPr>
      <w:r w:rsidRPr="008E662B">
        <w:rPr>
          <w:rFonts w:asciiTheme="minorHAnsi" w:hAnsiTheme="minorHAnsi" w:cstheme="minorHAnsi"/>
          <w:noProof/>
          <w:lang w:val="en-GB"/>
        </w:rPr>
        <w:t>EOR Šandrovac: finished CO2 injection phase; start of water injection at beginning of April and it is ongoing</w:t>
      </w:r>
    </w:p>
    <w:p w14:paraId="754CB8AD" w14:textId="77777777" w:rsidR="00F56832" w:rsidRPr="008E662B" w:rsidRDefault="00F56832" w:rsidP="00F56832">
      <w:pPr>
        <w:pStyle w:val="ListParagraph"/>
        <w:ind w:left="360"/>
        <w:rPr>
          <w:rFonts w:asciiTheme="minorHAnsi" w:hAnsiTheme="minorHAnsi" w:cstheme="minorHAnsi"/>
          <w:noProof/>
          <w:lang w:val="en-GB"/>
        </w:rPr>
      </w:pPr>
    </w:p>
    <w:p w14:paraId="46431050" w14:textId="6B12682F" w:rsidR="00147E32" w:rsidRPr="00147E32" w:rsidRDefault="00147E32" w:rsidP="00147E32">
      <w:pPr>
        <w:rPr>
          <w:rFonts w:asciiTheme="minorHAnsi" w:hAnsiTheme="minorHAnsi" w:cstheme="minorHAnsi"/>
          <w:b/>
          <w:bCs/>
          <w:noProof/>
          <w:lang w:val="en-GB"/>
        </w:rPr>
      </w:pPr>
      <w:r w:rsidRPr="00147E32">
        <w:rPr>
          <w:rFonts w:asciiTheme="minorHAnsi" w:hAnsiTheme="minorHAnsi" w:cstheme="minorHAnsi"/>
          <w:b/>
          <w:bCs/>
          <w:noProof/>
          <w:lang w:val="en-GB"/>
        </w:rPr>
        <w:t>Egypt</w:t>
      </w:r>
      <w:r w:rsidR="00C104C9">
        <w:rPr>
          <w:rFonts w:asciiTheme="minorHAnsi" w:hAnsiTheme="minorHAnsi" w:cstheme="minorHAnsi"/>
          <w:b/>
          <w:bCs/>
          <w:noProof/>
          <w:lang w:val="en-GB"/>
        </w:rPr>
        <w:t>:</w:t>
      </w:r>
    </w:p>
    <w:p w14:paraId="103931B8" w14:textId="00FC7E5B" w:rsidR="00ED7AA1" w:rsidRPr="008E662B" w:rsidRDefault="00147E32" w:rsidP="008E662B">
      <w:pPr>
        <w:pStyle w:val="ListParagraph"/>
        <w:numPr>
          <w:ilvl w:val="0"/>
          <w:numId w:val="9"/>
        </w:numPr>
        <w:rPr>
          <w:rFonts w:asciiTheme="minorHAnsi" w:hAnsiTheme="minorHAnsi" w:cstheme="minorHAnsi"/>
          <w:b/>
          <w:lang w:val="en-GB"/>
        </w:rPr>
        <w:sectPr w:rsidR="00ED7AA1" w:rsidRPr="008E662B" w:rsidSect="00621EAF">
          <w:type w:val="continuous"/>
          <w:pgSz w:w="11906" w:h="16838"/>
          <w:pgMar w:top="1417" w:right="1417" w:bottom="1417" w:left="1417" w:header="708" w:footer="708" w:gutter="0"/>
          <w:cols w:space="708"/>
          <w:docGrid w:linePitch="360"/>
        </w:sectPr>
      </w:pPr>
      <w:r w:rsidRPr="008E662B">
        <w:rPr>
          <w:rFonts w:asciiTheme="minorHAnsi" w:hAnsiTheme="minorHAnsi" w:cstheme="minorHAnsi"/>
          <w:noProof/>
          <w:lang w:val="en-GB"/>
        </w:rPr>
        <w:t xml:space="preserve">Egypt, North Bahariya concession: 7 development wells drilled (3 producers and 4 water injectors), out of which 2 put in production as oil producers, </w:t>
      </w:r>
      <w:r w:rsidR="008E662B">
        <w:rPr>
          <w:rFonts w:asciiTheme="minorHAnsi" w:hAnsiTheme="minorHAnsi" w:cstheme="minorHAnsi"/>
          <w:noProof/>
          <w:lang w:val="en-GB"/>
        </w:rPr>
        <w:t>third</w:t>
      </w:r>
      <w:r w:rsidRPr="008E662B">
        <w:rPr>
          <w:rFonts w:asciiTheme="minorHAnsi" w:hAnsiTheme="minorHAnsi" w:cstheme="minorHAnsi"/>
          <w:noProof/>
          <w:lang w:val="en-GB"/>
        </w:rPr>
        <w:t xml:space="preserve"> drilled oil well completion in progress. </w:t>
      </w:r>
      <w:r w:rsidR="00ED7AA1" w:rsidRPr="008E662B">
        <w:rPr>
          <w:rFonts w:asciiTheme="minorHAnsi" w:hAnsiTheme="minorHAnsi" w:cstheme="minorHAnsi"/>
          <w:noProof/>
          <w:lang w:val="en-GB"/>
        </w:rPr>
        <w:br w:type="page"/>
      </w:r>
    </w:p>
    <w:p w14:paraId="079C25F9" w14:textId="34D42DFF" w:rsidR="00ED7AA1" w:rsidRDefault="00ED7AA1" w:rsidP="003E0A2F">
      <w:pPr>
        <w:spacing w:line="360" w:lineRule="auto"/>
        <w:jc w:val="center"/>
        <w:rPr>
          <w:rFonts w:asciiTheme="minorHAnsi" w:hAnsiTheme="minorHAnsi" w:cstheme="minorHAnsi"/>
          <w:b/>
          <w:lang w:val="en-GB"/>
        </w:rPr>
      </w:pPr>
      <w:r>
        <w:rPr>
          <w:rFonts w:asciiTheme="minorHAnsi" w:hAnsiTheme="minorHAnsi" w:cstheme="minorHAnsi"/>
          <w:b/>
          <w:noProof/>
          <w:lang w:val="en-GB"/>
        </w:rPr>
        <w:lastRenderedPageBreak/>
        <w:drawing>
          <wp:inline distT="0" distB="0" distL="0" distR="0" wp14:anchorId="479C64AB" wp14:editId="51C51B77">
            <wp:extent cx="2856016" cy="2205492"/>
            <wp:effectExtent l="0" t="0" r="190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704" cy="2206796"/>
                    </a:xfrm>
                    <a:prstGeom prst="rect">
                      <a:avLst/>
                    </a:prstGeom>
                    <a:noFill/>
                  </pic:spPr>
                </pic:pic>
              </a:graphicData>
            </a:graphic>
          </wp:inline>
        </w:drawing>
      </w:r>
    </w:p>
    <w:p w14:paraId="4555C57F" w14:textId="52F697C9" w:rsidR="00ED7AA1" w:rsidRPr="00260049" w:rsidRDefault="00ED7AA1" w:rsidP="003E0A2F">
      <w:pPr>
        <w:spacing w:line="360" w:lineRule="auto"/>
        <w:jc w:val="center"/>
        <w:rPr>
          <w:rFonts w:asciiTheme="minorHAnsi" w:hAnsiTheme="minorHAnsi" w:cstheme="minorHAnsi"/>
          <w:b/>
          <w:lang w:val="en-GB"/>
        </w:rPr>
      </w:pPr>
      <w:r>
        <w:rPr>
          <w:rFonts w:asciiTheme="minorHAnsi" w:hAnsiTheme="minorHAnsi" w:cstheme="minorHAnsi"/>
          <w:b/>
          <w:noProof/>
          <w:lang w:val="en-GB"/>
        </w:rPr>
        <w:drawing>
          <wp:inline distT="0" distB="0" distL="0" distR="0" wp14:anchorId="4D364C88" wp14:editId="5929CD43">
            <wp:extent cx="2915392" cy="225751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6641" cy="2258483"/>
                    </a:xfrm>
                    <a:prstGeom prst="rect">
                      <a:avLst/>
                    </a:prstGeom>
                    <a:noFill/>
                  </pic:spPr>
                </pic:pic>
              </a:graphicData>
            </a:graphic>
          </wp:inline>
        </w:drawing>
      </w:r>
    </w:p>
    <w:p w14:paraId="7D352599" w14:textId="77777777" w:rsidR="00ED7AA1" w:rsidRDefault="00ED7AA1" w:rsidP="00DE61CC">
      <w:pPr>
        <w:spacing w:line="360" w:lineRule="auto"/>
        <w:jc w:val="both"/>
        <w:rPr>
          <w:rFonts w:asciiTheme="minorHAnsi" w:hAnsiTheme="minorHAnsi" w:cstheme="minorHAnsi"/>
          <w:lang w:val="en-GB"/>
        </w:rPr>
        <w:sectPr w:rsidR="00ED7AA1" w:rsidSect="00ED7AA1">
          <w:type w:val="continuous"/>
          <w:pgSz w:w="11906" w:h="16838"/>
          <w:pgMar w:top="1417" w:right="1417" w:bottom="1417" w:left="1417" w:header="708" w:footer="708" w:gutter="0"/>
          <w:cols w:num="2" w:space="708"/>
          <w:docGrid w:linePitch="360"/>
        </w:sectPr>
      </w:pPr>
    </w:p>
    <w:p w14:paraId="14A28E35" w14:textId="02D21706" w:rsidR="00ED7AA1" w:rsidRPr="00260049" w:rsidRDefault="00ED7AA1" w:rsidP="00DE61CC">
      <w:pPr>
        <w:spacing w:line="360" w:lineRule="auto"/>
        <w:jc w:val="both"/>
        <w:rPr>
          <w:rFonts w:asciiTheme="minorHAnsi" w:hAnsiTheme="minorHAnsi" w:cstheme="minorHAnsi"/>
          <w:lang w:val="en-GB"/>
        </w:rPr>
      </w:pPr>
      <w:r>
        <w:rPr>
          <w:rFonts w:asciiTheme="minorHAnsi" w:hAnsiTheme="minorHAnsi" w:cstheme="minorHAnsi"/>
          <w:noProof/>
          <w:lang w:val="en-GB"/>
        </w:rPr>
        <w:drawing>
          <wp:inline distT="0" distB="0" distL="0" distR="0" wp14:anchorId="78E81EF5" wp14:editId="4401B2E7">
            <wp:extent cx="2689761" cy="2082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2776" cy="2085134"/>
                    </a:xfrm>
                    <a:prstGeom prst="rect">
                      <a:avLst/>
                    </a:prstGeom>
                    <a:noFill/>
                  </pic:spPr>
                </pic:pic>
              </a:graphicData>
            </a:graphic>
          </wp:inline>
        </w:drawing>
      </w:r>
    </w:p>
    <w:p w14:paraId="3F2394D2" w14:textId="77777777" w:rsidR="00C0068C" w:rsidRPr="00260049" w:rsidRDefault="00C0068C" w:rsidP="00C0068C">
      <w:pPr>
        <w:spacing w:line="360" w:lineRule="auto"/>
        <w:jc w:val="both"/>
        <w:rPr>
          <w:rFonts w:asciiTheme="minorHAnsi" w:hAnsiTheme="minorHAnsi" w:cstheme="minorHAnsi"/>
          <w:b/>
          <w:lang w:val="en-GB"/>
        </w:rPr>
      </w:pPr>
    </w:p>
    <w:p w14:paraId="1B1B1591" w14:textId="0340FB84" w:rsidR="003E0A2F" w:rsidRDefault="00C0068C" w:rsidP="001B7CDD">
      <w:pPr>
        <w:spacing w:line="360" w:lineRule="auto"/>
        <w:jc w:val="both"/>
        <w:rPr>
          <w:rFonts w:asciiTheme="minorHAnsi" w:hAnsiTheme="minorHAnsi" w:cstheme="minorHAnsi"/>
          <w:b/>
          <w:lang w:val="en-GB"/>
        </w:rPr>
      </w:pPr>
      <w:r w:rsidRPr="00286848">
        <w:rPr>
          <w:rFonts w:asciiTheme="minorHAnsi" w:hAnsiTheme="minorHAnsi" w:cstheme="minorHAnsi"/>
          <w:b/>
          <w:lang w:val="en-GB"/>
        </w:rPr>
        <w:t>Refining and Marketing, including Consumer Services and Retail</w:t>
      </w:r>
    </w:p>
    <w:p w14:paraId="7BD4D6AF" w14:textId="1C430427" w:rsidR="00702406" w:rsidRDefault="00702406" w:rsidP="00702406">
      <w:pPr>
        <w:jc w:val="both"/>
        <w:rPr>
          <w:rFonts w:asciiTheme="minorHAnsi" w:hAnsiTheme="minorHAnsi" w:cstheme="minorHAnsi"/>
          <w:bCs/>
          <w:lang w:val="en-GB"/>
        </w:rPr>
      </w:pPr>
      <w:r w:rsidRPr="00702406">
        <w:rPr>
          <w:rFonts w:asciiTheme="minorHAnsi" w:hAnsiTheme="minorHAnsi" w:cstheme="minorHAnsi"/>
          <w:bCs/>
          <w:lang w:val="en-GB"/>
        </w:rPr>
        <w:t xml:space="preserve">Captive market sales </w:t>
      </w:r>
      <w:r>
        <w:rPr>
          <w:rFonts w:asciiTheme="minorHAnsi" w:hAnsiTheme="minorHAnsi" w:cstheme="minorHAnsi"/>
          <w:bCs/>
          <w:lang w:val="en-GB"/>
        </w:rPr>
        <w:t xml:space="preserve">was </w:t>
      </w:r>
      <w:r w:rsidRPr="00702406">
        <w:rPr>
          <w:rFonts w:asciiTheme="minorHAnsi" w:hAnsiTheme="minorHAnsi" w:cstheme="minorHAnsi"/>
          <w:bCs/>
          <w:lang w:val="en-GB"/>
        </w:rPr>
        <w:t>higher, with commercial margins under pressure due to government price regulations on domestic market</w:t>
      </w:r>
      <w:r>
        <w:rPr>
          <w:rFonts w:asciiTheme="minorHAnsi" w:hAnsiTheme="minorHAnsi" w:cstheme="minorHAnsi"/>
          <w:bCs/>
          <w:lang w:val="en-GB"/>
        </w:rPr>
        <w:t xml:space="preserve">. Rijeka </w:t>
      </w:r>
      <w:r w:rsidRPr="00702406">
        <w:rPr>
          <w:rFonts w:asciiTheme="minorHAnsi" w:hAnsiTheme="minorHAnsi" w:cstheme="minorHAnsi"/>
          <w:bCs/>
          <w:lang w:val="en-GB"/>
        </w:rPr>
        <w:t>Refinery operation started end of March ensuring stable captive market supply in the upcoming months, mitigating risk of lower product availability on global market driven by Russia-Ukraine crisis. Outstanding macro environment with elevated crack spreads strongly supporting refining contribution to the financial result in Q2, partially counterbalanced by high energy prices</w:t>
      </w:r>
      <w:r>
        <w:rPr>
          <w:rFonts w:asciiTheme="minorHAnsi" w:hAnsiTheme="minorHAnsi" w:cstheme="minorHAnsi"/>
          <w:bCs/>
          <w:lang w:val="en-GB"/>
        </w:rPr>
        <w:t>.</w:t>
      </w:r>
    </w:p>
    <w:p w14:paraId="52030809" w14:textId="77777777" w:rsidR="005E78FB" w:rsidRPr="00702406" w:rsidRDefault="005E78FB" w:rsidP="00702406">
      <w:pPr>
        <w:jc w:val="both"/>
        <w:rPr>
          <w:rFonts w:asciiTheme="minorHAnsi" w:hAnsiTheme="minorHAnsi" w:cstheme="minorHAnsi"/>
          <w:bCs/>
          <w:lang w:val="en-GB"/>
        </w:rPr>
      </w:pPr>
    </w:p>
    <w:p w14:paraId="6EFDAB53" w14:textId="171B7268" w:rsidR="00ED7AA1" w:rsidRPr="00702406" w:rsidRDefault="00702406" w:rsidP="00702406">
      <w:pPr>
        <w:jc w:val="both"/>
        <w:rPr>
          <w:rFonts w:asciiTheme="minorHAnsi" w:hAnsiTheme="minorHAnsi" w:cstheme="minorHAnsi"/>
          <w:bCs/>
          <w:lang w:val="en-GB"/>
        </w:rPr>
      </w:pPr>
      <w:r w:rsidRPr="00702406">
        <w:rPr>
          <w:rFonts w:asciiTheme="minorHAnsi" w:hAnsiTheme="minorHAnsi" w:cstheme="minorHAnsi"/>
          <w:bCs/>
          <w:lang w:val="en-GB"/>
        </w:rPr>
        <w:t>Total Retail sales volumes amounted to 508 kt in H1 2022 that is 9% above the same period of 2021, reflecting improved market conditions compared to the COVID restrictions in the past year and higher tourist consumption</w:t>
      </w:r>
      <w:r>
        <w:rPr>
          <w:rFonts w:asciiTheme="minorHAnsi" w:hAnsiTheme="minorHAnsi" w:cstheme="minorHAnsi"/>
          <w:bCs/>
          <w:lang w:val="en-GB"/>
        </w:rPr>
        <w:t>.</w:t>
      </w:r>
      <w:r w:rsidR="005E78FB">
        <w:rPr>
          <w:rFonts w:asciiTheme="minorHAnsi" w:hAnsiTheme="minorHAnsi" w:cstheme="minorHAnsi"/>
          <w:bCs/>
          <w:lang w:val="en-GB"/>
        </w:rPr>
        <w:t xml:space="preserve"> </w:t>
      </w:r>
      <w:r w:rsidRPr="00702406">
        <w:rPr>
          <w:rFonts w:asciiTheme="minorHAnsi" w:hAnsiTheme="minorHAnsi" w:cstheme="minorHAnsi"/>
          <w:bCs/>
          <w:lang w:val="en-GB"/>
        </w:rPr>
        <w:t>Non-fuel margin increased 15% driven by expanded non-fuel offer, Fresh Corner roll-out and improved sales activities</w:t>
      </w:r>
      <w:r>
        <w:rPr>
          <w:rFonts w:asciiTheme="minorHAnsi" w:hAnsiTheme="minorHAnsi" w:cstheme="minorHAnsi"/>
          <w:bCs/>
          <w:lang w:val="en-GB"/>
        </w:rPr>
        <w:t xml:space="preserve">. </w:t>
      </w:r>
      <w:r w:rsidRPr="00702406">
        <w:rPr>
          <w:rFonts w:asciiTheme="minorHAnsi" w:hAnsiTheme="minorHAnsi" w:cstheme="minorHAnsi"/>
          <w:bCs/>
          <w:lang w:val="en-GB"/>
        </w:rPr>
        <w:t xml:space="preserve">Maintaining the leading position on the fuel market in Croatia is supported by the </w:t>
      </w:r>
      <w:r>
        <w:rPr>
          <w:rFonts w:asciiTheme="minorHAnsi" w:hAnsiTheme="minorHAnsi" w:cstheme="minorHAnsi"/>
          <w:bCs/>
          <w:lang w:val="en-GB"/>
        </w:rPr>
        <w:t>INA L</w:t>
      </w:r>
      <w:r w:rsidRPr="00702406">
        <w:rPr>
          <w:rFonts w:asciiTheme="minorHAnsi" w:hAnsiTheme="minorHAnsi" w:cstheme="minorHAnsi"/>
          <w:bCs/>
          <w:lang w:val="en-GB"/>
        </w:rPr>
        <w:t>oyalty program reaching 380 thousand registered members. Roll out of first own label products started (Crunch&amp;Go and Jim brands)</w:t>
      </w:r>
      <w:r>
        <w:rPr>
          <w:rFonts w:asciiTheme="minorHAnsi" w:hAnsiTheme="minorHAnsi" w:cstheme="minorHAnsi"/>
          <w:bCs/>
          <w:lang w:val="en-GB"/>
        </w:rPr>
        <w:t>.</w:t>
      </w:r>
    </w:p>
    <w:p w14:paraId="3B5E1C1A" w14:textId="3555FD20" w:rsidR="005E78FB" w:rsidRDefault="005E78FB" w:rsidP="005E78FB">
      <w:pPr>
        <w:jc w:val="both"/>
        <w:rPr>
          <w:rFonts w:asciiTheme="minorHAnsi" w:hAnsiTheme="minorHAnsi" w:cstheme="minorHAnsi"/>
          <w:bCs/>
          <w:lang w:val="en-GB"/>
        </w:rPr>
      </w:pPr>
      <w:r w:rsidRPr="005E78FB">
        <w:rPr>
          <w:rFonts w:asciiTheme="minorHAnsi" w:hAnsiTheme="minorHAnsi" w:cstheme="minorHAnsi"/>
          <w:bCs/>
          <w:lang w:val="en-GB"/>
        </w:rPr>
        <w:lastRenderedPageBreak/>
        <w:t xml:space="preserve">Refining and Marketing CAPEX amounted to HRK 968 million: </w:t>
      </w:r>
    </w:p>
    <w:p w14:paraId="69D0F313" w14:textId="77777777" w:rsidR="005E78FB" w:rsidRPr="005E78FB" w:rsidRDefault="005E78FB" w:rsidP="005E78FB">
      <w:pPr>
        <w:jc w:val="both"/>
        <w:rPr>
          <w:rFonts w:asciiTheme="minorHAnsi" w:hAnsiTheme="minorHAnsi" w:cstheme="minorHAnsi"/>
          <w:bCs/>
          <w:lang w:val="en-GB"/>
        </w:rPr>
      </w:pPr>
    </w:p>
    <w:p w14:paraId="2468F5DA" w14:textId="0114B3BA" w:rsidR="005E78FB" w:rsidRPr="005E78FB" w:rsidRDefault="005E78FB" w:rsidP="005E78FB">
      <w:pPr>
        <w:pStyle w:val="ListParagraph"/>
        <w:numPr>
          <w:ilvl w:val="0"/>
          <w:numId w:val="9"/>
        </w:numPr>
        <w:jc w:val="both"/>
        <w:rPr>
          <w:rFonts w:asciiTheme="minorHAnsi" w:hAnsiTheme="minorHAnsi" w:cstheme="minorHAnsi"/>
          <w:bCs/>
          <w:lang w:val="en-GB"/>
        </w:rPr>
      </w:pPr>
      <w:r w:rsidRPr="005E78FB">
        <w:rPr>
          <w:rFonts w:asciiTheme="minorHAnsi" w:hAnsiTheme="minorHAnsi" w:cstheme="minorHAnsi"/>
          <w:bCs/>
          <w:lang w:val="en-GB"/>
        </w:rPr>
        <w:t xml:space="preserve">Rijeka Refinery Upgrade Project - </w:t>
      </w:r>
      <w:r w:rsidR="003F5B82">
        <w:rPr>
          <w:rFonts w:asciiTheme="minorHAnsi" w:hAnsiTheme="minorHAnsi" w:cstheme="minorHAnsi"/>
          <w:bCs/>
          <w:lang w:val="en-GB"/>
        </w:rPr>
        <w:t>T</w:t>
      </w:r>
      <w:r w:rsidRPr="005E78FB">
        <w:rPr>
          <w:rFonts w:asciiTheme="minorHAnsi" w:hAnsiTheme="minorHAnsi" w:cstheme="minorHAnsi"/>
          <w:bCs/>
          <w:lang w:val="en-GB"/>
        </w:rPr>
        <w:t>he last main purchase order for subcontractors was awarded for Electrical and Instrumentation works. Manufactory and delivery at the site reached ~90%. Construction of the Coke Drums Structure was finished by reaching ~120 meters, allowing for heavy lifting of equipment and steel structures – final height ~190 meters. The construction of a 110kV powerline and substation ended. Total project completion is at 56%</w:t>
      </w:r>
      <w:r>
        <w:rPr>
          <w:rFonts w:asciiTheme="minorHAnsi" w:hAnsiTheme="minorHAnsi" w:cstheme="minorHAnsi"/>
          <w:bCs/>
          <w:lang w:val="en-GB"/>
        </w:rPr>
        <w:t>.</w:t>
      </w:r>
    </w:p>
    <w:p w14:paraId="69AC6EF4" w14:textId="42BE2AF2" w:rsidR="005E78FB" w:rsidRPr="005E78FB" w:rsidRDefault="005E78FB" w:rsidP="005E78FB">
      <w:pPr>
        <w:pStyle w:val="ListParagraph"/>
        <w:numPr>
          <w:ilvl w:val="0"/>
          <w:numId w:val="9"/>
        </w:numPr>
        <w:jc w:val="both"/>
        <w:rPr>
          <w:rFonts w:asciiTheme="minorHAnsi" w:hAnsiTheme="minorHAnsi" w:cstheme="minorHAnsi"/>
          <w:bCs/>
          <w:lang w:val="en-GB"/>
        </w:rPr>
      </w:pPr>
      <w:r w:rsidRPr="005E78FB">
        <w:rPr>
          <w:rFonts w:asciiTheme="minorHAnsi" w:hAnsiTheme="minorHAnsi" w:cstheme="minorHAnsi"/>
          <w:bCs/>
          <w:lang w:val="en-GB"/>
        </w:rPr>
        <w:t xml:space="preserve">CDU energy efficiency upgrade project - Preparation of </w:t>
      </w:r>
      <w:r>
        <w:rPr>
          <w:rFonts w:asciiTheme="minorHAnsi" w:hAnsiTheme="minorHAnsi" w:cstheme="minorHAnsi"/>
          <w:bCs/>
          <w:lang w:val="en-GB"/>
        </w:rPr>
        <w:t>m</w:t>
      </w:r>
      <w:r w:rsidRPr="005E78FB">
        <w:rPr>
          <w:rFonts w:asciiTheme="minorHAnsi" w:hAnsiTheme="minorHAnsi" w:cstheme="minorHAnsi"/>
          <w:bCs/>
          <w:lang w:val="en-GB"/>
        </w:rPr>
        <w:t>ain design ongoing (30% completion achieved). Ongoing tenders for main equipment delivery (</w:t>
      </w:r>
      <w:r>
        <w:rPr>
          <w:rFonts w:asciiTheme="minorHAnsi" w:hAnsiTheme="minorHAnsi" w:cstheme="minorHAnsi"/>
          <w:bCs/>
          <w:lang w:val="en-GB"/>
        </w:rPr>
        <w:t>h</w:t>
      </w:r>
      <w:r w:rsidRPr="005E78FB">
        <w:rPr>
          <w:rFonts w:asciiTheme="minorHAnsi" w:hAnsiTheme="minorHAnsi" w:cstheme="minorHAnsi"/>
          <w:bCs/>
          <w:lang w:val="en-GB"/>
        </w:rPr>
        <w:t xml:space="preserve">eat </w:t>
      </w:r>
      <w:r>
        <w:rPr>
          <w:rFonts w:asciiTheme="minorHAnsi" w:hAnsiTheme="minorHAnsi" w:cstheme="minorHAnsi"/>
          <w:bCs/>
          <w:lang w:val="en-GB"/>
        </w:rPr>
        <w:t>e</w:t>
      </w:r>
      <w:r w:rsidRPr="005E78FB">
        <w:rPr>
          <w:rFonts w:asciiTheme="minorHAnsi" w:hAnsiTheme="minorHAnsi" w:cstheme="minorHAnsi"/>
          <w:bCs/>
          <w:lang w:val="en-GB"/>
        </w:rPr>
        <w:t>xchangers, new pumps, overhaul of existing pumps)</w:t>
      </w:r>
      <w:r>
        <w:rPr>
          <w:rFonts w:asciiTheme="minorHAnsi" w:hAnsiTheme="minorHAnsi" w:cstheme="minorHAnsi"/>
          <w:bCs/>
          <w:lang w:val="en-GB"/>
        </w:rPr>
        <w:t>.</w:t>
      </w:r>
    </w:p>
    <w:p w14:paraId="60258C46" w14:textId="77777777" w:rsidR="005E78FB" w:rsidRDefault="005E78FB" w:rsidP="005E78FB">
      <w:pPr>
        <w:jc w:val="both"/>
        <w:rPr>
          <w:rFonts w:asciiTheme="minorHAnsi" w:hAnsiTheme="minorHAnsi" w:cstheme="minorHAnsi"/>
          <w:bCs/>
          <w:lang w:val="en-GB"/>
        </w:rPr>
      </w:pPr>
    </w:p>
    <w:p w14:paraId="24D56A2E" w14:textId="6D3417DC" w:rsidR="005E78FB" w:rsidRDefault="005E78FB" w:rsidP="005E78FB">
      <w:pPr>
        <w:jc w:val="both"/>
        <w:rPr>
          <w:rFonts w:asciiTheme="minorHAnsi" w:hAnsiTheme="minorHAnsi" w:cstheme="minorHAnsi"/>
          <w:bCs/>
          <w:lang w:val="en-GB"/>
        </w:rPr>
      </w:pPr>
      <w:r w:rsidRPr="005E78FB">
        <w:rPr>
          <w:rFonts w:asciiTheme="minorHAnsi" w:hAnsiTheme="minorHAnsi" w:cstheme="minorHAnsi"/>
          <w:bCs/>
          <w:lang w:val="en-GB"/>
        </w:rPr>
        <w:t>Consumer Services and Retail capital investments amounted to HRK 34 million in H1 2022 with focus on service station modernization and continued roll-out of Fresh Corner concept, which is present at 130 service stations</w:t>
      </w:r>
      <w:r>
        <w:rPr>
          <w:rFonts w:asciiTheme="minorHAnsi" w:hAnsiTheme="minorHAnsi" w:cstheme="minorHAnsi"/>
          <w:bCs/>
          <w:lang w:val="en-GB"/>
        </w:rPr>
        <w:t>.</w:t>
      </w:r>
    </w:p>
    <w:p w14:paraId="1BF580AC" w14:textId="77777777" w:rsidR="00286848" w:rsidRDefault="00286848" w:rsidP="001B7CDD">
      <w:pPr>
        <w:spacing w:line="360" w:lineRule="auto"/>
        <w:jc w:val="both"/>
        <w:rPr>
          <w:rFonts w:asciiTheme="minorHAnsi" w:hAnsiTheme="minorHAnsi" w:cstheme="minorHAnsi"/>
          <w:lang w:val="en-GB"/>
        </w:rPr>
      </w:pPr>
    </w:p>
    <w:p w14:paraId="2FE57887" w14:textId="79A8C036" w:rsidR="006D62BF" w:rsidRDefault="006D62BF" w:rsidP="001B7CDD">
      <w:pPr>
        <w:spacing w:line="360" w:lineRule="auto"/>
        <w:jc w:val="both"/>
        <w:rPr>
          <w:rFonts w:asciiTheme="minorHAnsi" w:hAnsiTheme="minorHAnsi" w:cstheme="minorHAnsi"/>
          <w:lang w:val="en-GB"/>
        </w:rPr>
        <w:sectPr w:rsidR="006D62BF" w:rsidSect="00621EAF">
          <w:type w:val="continuous"/>
          <w:pgSz w:w="11906" w:h="16838"/>
          <w:pgMar w:top="1417" w:right="1417" w:bottom="1417" w:left="1417" w:header="708" w:footer="708" w:gutter="0"/>
          <w:cols w:space="708"/>
          <w:docGrid w:linePitch="360"/>
        </w:sectPr>
      </w:pPr>
    </w:p>
    <w:p w14:paraId="093C2856" w14:textId="6396232C" w:rsidR="003E0A2F" w:rsidRPr="00260049" w:rsidRDefault="002837F5" w:rsidP="001B7CDD">
      <w:pPr>
        <w:spacing w:line="360" w:lineRule="auto"/>
        <w:jc w:val="both"/>
        <w:rPr>
          <w:rFonts w:asciiTheme="minorHAnsi" w:hAnsiTheme="minorHAnsi" w:cstheme="minorHAnsi"/>
          <w:lang w:val="en-GB"/>
        </w:rPr>
      </w:pPr>
      <w:r>
        <w:rPr>
          <w:rFonts w:asciiTheme="minorHAnsi" w:hAnsiTheme="minorHAnsi" w:cstheme="minorHAnsi"/>
          <w:noProof/>
          <w:lang w:val="en-GB"/>
        </w:rPr>
        <w:drawing>
          <wp:inline distT="0" distB="0" distL="0" distR="0" wp14:anchorId="680AF332" wp14:editId="0B86F660">
            <wp:extent cx="2806490" cy="216724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6946" cy="2175321"/>
                    </a:xfrm>
                    <a:prstGeom prst="rect">
                      <a:avLst/>
                    </a:prstGeom>
                    <a:noFill/>
                  </pic:spPr>
                </pic:pic>
              </a:graphicData>
            </a:graphic>
          </wp:inline>
        </w:drawing>
      </w:r>
      <w:r>
        <w:rPr>
          <w:rFonts w:asciiTheme="minorHAnsi" w:hAnsiTheme="minorHAnsi" w:cstheme="minorHAnsi"/>
          <w:noProof/>
          <w:lang w:val="en-GB"/>
        </w:rPr>
        <w:drawing>
          <wp:inline distT="0" distB="0" distL="0" distR="0" wp14:anchorId="11D045E6" wp14:editId="7E164624">
            <wp:extent cx="2630385" cy="20423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3136" cy="2044526"/>
                    </a:xfrm>
                    <a:prstGeom prst="rect">
                      <a:avLst/>
                    </a:prstGeom>
                    <a:noFill/>
                  </pic:spPr>
                </pic:pic>
              </a:graphicData>
            </a:graphic>
          </wp:inline>
        </w:drawing>
      </w:r>
    </w:p>
    <w:p w14:paraId="0E35FD98" w14:textId="0A7B5925" w:rsidR="002837F5" w:rsidRPr="00260049" w:rsidRDefault="002837F5" w:rsidP="001B7CDD">
      <w:pPr>
        <w:spacing w:line="360" w:lineRule="auto"/>
        <w:jc w:val="both"/>
        <w:rPr>
          <w:rFonts w:asciiTheme="minorHAnsi" w:hAnsiTheme="minorHAnsi" w:cstheme="minorHAnsi"/>
          <w:lang w:val="en-GB"/>
        </w:rPr>
      </w:pPr>
      <w:r>
        <w:rPr>
          <w:rFonts w:asciiTheme="minorHAnsi" w:hAnsiTheme="minorHAnsi" w:cstheme="minorHAnsi"/>
          <w:noProof/>
          <w:lang w:val="en-GB"/>
        </w:rPr>
        <w:drawing>
          <wp:inline distT="0" distB="0" distL="0" distR="0" wp14:anchorId="6A24D1FE" wp14:editId="4175A375">
            <wp:extent cx="3035893" cy="2357252"/>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0215" cy="2368372"/>
                    </a:xfrm>
                    <a:prstGeom prst="rect">
                      <a:avLst/>
                    </a:prstGeom>
                    <a:noFill/>
                  </pic:spPr>
                </pic:pic>
              </a:graphicData>
            </a:graphic>
          </wp:inline>
        </w:drawing>
      </w:r>
      <w:r>
        <w:rPr>
          <w:rFonts w:asciiTheme="minorHAnsi" w:hAnsiTheme="minorHAnsi" w:cstheme="minorHAnsi"/>
          <w:noProof/>
          <w:lang w:val="en-GB"/>
        </w:rPr>
        <w:drawing>
          <wp:inline distT="0" distB="0" distL="0" distR="0" wp14:anchorId="35175BCD" wp14:editId="324E2752">
            <wp:extent cx="2624447" cy="2037780"/>
            <wp:effectExtent l="0" t="0" r="508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7016" cy="2047539"/>
                    </a:xfrm>
                    <a:prstGeom prst="rect">
                      <a:avLst/>
                    </a:prstGeom>
                    <a:noFill/>
                  </pic:spPr>
                </pic:pic>
              </a:graphicData>
            </a:graphic>
          </wp:inline>
        </w:drawing>
      </w:r>
    </w:p>
    <w:p w14:paraId="4859BD1C" w14:textId="3682BD7C" w:rsidR="00F02807" w:rsidRPr="00260049" w:rsidRDefault="00F02807" w:rsidP="00C0068C">
      <w:pPr>
        <w:spacing w:line="360" w:lineRule="auto"/>
        <w:jc w:val="center"/>
        <w:rPr>
          <w:rFonts w:asciiTheme="minorHAnsi" w:hAnsiTheme="minorHAnsi" w:cstheme="minorHAnsi"/>
          <w:lang w:val="en-GB"/>
        </w:rPr>
      </w:pPr>
    </w:p>
    <w:p w14:paraId="114DAB63" w14:textId="77777777" w:rsidR="008C6D6F" w:rsidRDefault="008C6D6F" w:rsidP="00C0068C">
      <w:pPr>
        <w:spacing w:line="360" w:lineRule="auto"/>
        <w:jc w:val="center"/>
        <w:rPr>
          <w:rFonts w:asciiTheme="minorHAnsi" w:hAnsiTheme="minorHAnsi" w:cstheme="minorHAnsi"/>
          <w:lang w:val="en-GB"/>
        </w:rPr>
        <w:sectPr w:rsidR="008C6D6F" w:rsidSect="008C6D6F">
          <w:type w:val="continuous"/>
          <w:pgSz w:w="11906" w:h="16838"/>
          <w:pgMar w:top="1417" w:right="1417" w:bottom="1417" w:left="1417" w:header="708" w:footer="708" w:gutter="0"/>
          <w:cols w:num="2" w:space="708"/>
          <w:docGrid w:linePitch="360"/>
        </w:sectPr>
      </w:pPr>
    </w:p>
    <w:bookmarkEnd w:id="1"/>
    <w:p w14:paraId="2FFA9BE7" w14:textId="31DCFFFB" w:rsidR="008C6D6F" w:rsidRDefault="00453C86" w:rsidP="00286848">
      <w:pPr>
        <w:spacing w:line="360" w:lineRule="auto"/>
        <w:jc w:val="both"/>
        <w:rPr>
          <w:rFonts w:asciiTheme="minorHAnsi" w:hAnsiTheme="minorHAnsi" w:cstheme="minorHAnsi"/>
          <w:lang w:val="en-GB"/>
        </w:rPr>
      </w:pPr>
      <w:r>
        <w:rPr>
          <w:rFonts w:asciiTheme="minorHAnsi" w:hAnsiTheme="minorHAnsi" w:cstheme="minorHAnsi"/>
          <w:lang w:val="en-GB"/>
        </w:rPr>
        <w:t xml:space="preserve">INA Group </w:t>
      </w:r>
      <w:r w:rsidR="00E55F85">
        <w:rPr>
          <w:rFonts w:asciiTheme="minorHAnsi" w:hAnsiTheme="minorHAnsi" w:cstheme="minorHAnsi"/>
          <w:lang w:val="en-GB"/>
        </w:rPr>
        <w:t>n</w:t>
      </w:r>
      <w:r w:rsidR="007711E3" w:rsidRPr="00260049">
        <w:rPr>
          <w:rFonts w:asciiTheme="minorHAnsi" w:hAnsiTheme="minorHAnsi" w:cstheme="minorHAnsi"/>
          <w:lang w:val="en-GB"/>
        </w:rPr>
        <w:t xml:space="preserve">et gearing amounted to </w:t>
      </w:r>
      <w:r w:rsidR="00E80D63">
        <w:rPr>
          <w:rFonts w:asciiTheme="minorHAnsi" w:hAnsiTheme="minorHAnsi" w:cstheme="minorHAnsi"/>
          <w:lang w:val="en-GB"/>
        </w:rPr>
        <w:t>17</w:t>
      </w:r>
      <w:r w:rsidR="007711E3" w:rsidRPr="00260049">
        <w:rPr>
          <w:rFonts w:asciiTheme="minorHAnsi" w:hAnsiTheme="minorHAnsi" w:cstheme="minorHAnsi"/>
          <w:lang w:val="en-GB"/>
        </w:rPr>
        <w:t>.</w:t>
      </w:r>
      <w:r w:rsidR="00E80D63">
        <w:rPr>
          <w:rFonts w:asciiTheme="minorHAnsi" w:hAnsiTheme="minorHAnsi" w:cstheme="minorHAnsi"/>
          <w:lang w:val="en-GB"/>
        </w:rPr>
        <w:t>2</w:t>
      </w:r>
      <w:r w:rsidR="007711E3" w:rsidRPr="00260049">
        <w:rPr>
          <w:rFonts w:asciiTheme="minorHAnsi" w:hAnsiTheme="minorHAnsi" w:cstheme="minorHAnsi"/>
          <w:lang w:val="en-GB"/>
        </w:rPr>
        <w:t xml:space="preserve">%, whilst net debt </w:t>
      </w:r>
      <w:r w:rsidR="00E80D63">
        <w:rPr>
          <w:rFonts w:asciiTheme="minorHAnsi" w:hAnsiTheme="minorHAnsi" w:cstheme="minorHAnsi"/>
          <w:lang w:val="en-GB"/>
        </w:rPr>
        <w:t>in</w:t>
      </w:r>
      <w:r w:rsidR="00A223F1">
        <w:rPr>
          <w:rFonts w:asciiTheme="minorHAnsi" w:hAnsiTheme="minorHAnsi" w:cstheme="minorHAnsi"/>
          <w:lang w:val="en-GB"/>
        </w:rPr>
        <w:t>creased to</w:t>
      </w:r>
      <w:r w:rsidR="007711E3" w:rsidRPr="00260049">
        <w:rPr>
          <w:rFonts w:asciiTheme="minorHAnsi" w:hAnsiTheme="minorHAnsi" w:cstheme="minorHAnsi"/>
          <w:lang w:val="en-GB"/>
        </w:rPr>
        <w:t xml:space="preserve"> HRK </w:t>
      </w:r>
      <w:r w:rsidR="00E80D63">
        <w:rPr>
          <w:rFonts w:asciiTheme="minorHAnsi" w:hAnsiTheme="minorHAnsi" w:cstheme="minorHAnsi"/>
          <w:lang w:val="en-GB"/>
        </w:rPr>
        <w:t>2</w:t>
      </w:r>
      <w:r w:rsidR="00BC24F7">
        <w:rPr>
          <w:rFonts w:asciiTheme="minorHAnsi" w:hAnsiTheme="minorHAnsi" w:cstheme="minorHAnsi"/>
          <w:lang w:val="en-GB"/>
        </w:rPr>
        <w:t>.4</w:t>
      </w:r>
      <w:r w:rsidR="007711E3" w:rsidRPr="00260049">
        <w:rPr>
          <w:rFonts w:asciiTheme="minorHAnsi" w:hAnsiTheme="minorHAnsi" w:cstheme="minorHAnsi"/>
          <w:lang w:val="en-GB"/>
        </w:rPr>
        <w:t xml:space="preserve"> </w:t>
      </w:r>
      <w:r w:rsidR="00BC24F7">
        <w:rPr>
          <w:rFonts w:asciiTheme="minorHAnsi" w:hAnsiTheme="minorHAnsi" w:cstheme="minorHAnsi"/>
          <w:lang w:val="en-GB"/>
        </w:rPr>
        <w:t>b</w:t>
      </w:r>
      <w:r w:rsidR="007711E3" w:rsidRPr="00260049">
        <w:rPr>
          <w:rFonts w:asciiTheme="minorHAnsi" w:hAnsiTheme="minorHAnsi" w:cstheme="minorHAnsi"/>
          <w:lang w:val="en-GB"/>
        </w:rPr>
        <w:t>illion.</w:t>
      </w:r>
    </w:p>
    <w:p w14:paraId="5784E8DA" w14:textId="77777777" w:rsidR="001A7C4A" w:rsidRDefault="001A7C4A" w:rsidP="00286848">
      <w:pPr>
        <w:spacing w:line="360" w:lineRule="auto"/>
        <w:jc w:val="both"/>
        <w:rPr>
          <w:rFonts w:asciiTheme="minorHAnsi" w:hAnsiTheme="minorHAnsi" w:cstheme="minorHAnsi"/>
          <w:lang w:val="en-GB"/>
        </w:rPr>
      </w:pPr>
    </w:p>
    <w:p w14:paraId="16EBD45D" w14:textId="3C3BA710" w:rsidR="001A7C4A" w:rsidRDefault="001A7C4A" w:rsidP="00286848">
      <w:pPr>
        <w:spacing w:line="360" w:lineRule="auto"/>
        <w:jc w:val="both"/>
        <w:rPr>
          <w:rFonts w:asciiTheme="minorHAnsi" w:hAnsiTheme="minorHAnsi" w:cstheme="minorHAnsi"/>
          <w:lang w:val="en-GB"/>
        </w:rPr>
        <w:sectPr w:rsidR="001A7C4A" w:rsidSect="00621EAF">
          <w:type w:val="continuous"/>
          <w:pgSz w:w="11906" w:h="16838"/>
          <w:pgMar w:top="1417" w:right="1417" w:bottom="1417" w:left="1417" w:header="708" w:footer="708" w:gutter="0"/>
          <w:cols w:space="708"/>
          <w:docGrid w:linePitch="360"/>
        </w:sectPr>
      </w:pPr>
    </w:p>
    <w:p w14:paraId="31FBF9ED" w14:textId="74D8219B" w:rsidR="002837F5" w:rsidRPr="00260049" w:rsidRDefault="002837F5" w:rsidP="00C0068C">
      <w:pPr>
        <w:spacing w:line="360" w:lineRule="auto"/>
        <w:jc w:val="center"/>
        <w:rPr>
          <w:rFonts w:asciiTheme="minorHAnsi" w:hAnsiTheme="minorHAnsi" w:cstheme="minorHAnsi"/>
          <w:noProof/>
          <w:lang w:val="en-GB" w:eastAsia="hr-HR"/>
        </w:rPr>
      </w:pPr>
      <w:r>
        <w:rPr>
          <w:rFonts w:asciiTheme="minorHAnsi" w:hAnsiTheme="minorHAnsi" w:cstheme="minorHAnsi"/>
          <w:noProof/>
          <w:lang w:val="en-GB" w:eastAsia="hr-HR"/>
        </w:rPr>
        <w:drawing>
          <wp:inline distT="0" distB="0" distL="0" distR="0" wp14:anchorId="0FB97DEE" wp14:editId="5F6C5BF3">
            <wp:extent cx="2772889" cy="2136017"/>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5411" cy="2137959"/>
                    </a:xfrm>
                    <a:prstGeom prst="rect">
                      <a:avLst/>
                    </a:prstGeom>
                    <a:noFill/>
                  </pic:spPr>
                </pic:pic>
              </a:graphicData>
            </a:graphic>
          </wp:inline>
        </w:drawing>
      </w:r>
    </w:p>
    <w:p w14:paraId="2AFC750A" w14:textId="2FC8829B" w:rsidR="00130434" w:rsidRPr="00077B63" w:rsidRDefault="00130434" w:rsidP="00C0068C">
      <w:pPr>
        <w:spacing w:line="360" w:lineRule="auto"/>
        <w:jc w:val="center"/>
        <w:rPr>
          <w:rFonts w:asciiTheme="minorHAnsi" w:hAnsiTheme="minorHAnsi" w:cstheme="minorHAnsi"/>
          <w:noProof/>
          <w:sz w:val="8"/>
          <w:szCs w:val="8"/>
          <w:lang w:val="en-GB" w:eastAsia="hr-HR"/>
        </w:rPr>
      </w:pPr>
    </w:p>
    <w:p w14:paraId="703EAFA6" w14:textId="7FADF510" w:rsidR="008C6D6F" w:rsidRPr="00286848" w:rsidRDefault="002837F5" w:rsidP="00286848">
      <w:pPr>
        <w:spacing w:line="360" w:lineRule="auto"/>
        <w:jc w:val="center"/>
        <w:rPr>
          <w:rFonts w:asciiTheme="minorHAnsi" w:hAnsiTheme="minorHAnsi" w:cstheme="minorHAnsi"/>
          <w:noProof/>
          <w:lang w:val="en-GB" w:eastAsia="hr-HR"/>
        </w:rPr>
        <w:sectPr w:rsidR="008C6D6F" w:rsidRPr="00286848" w:rsidSect="008C6D6F">
          <w:type w:val="continuous"/>
          <w:pgSz w:w="11906" w:h="16838"/>
          <w:pgMar w:top="1417" w:right="1417" w:bottom="1417" w:left="1417" w:header="708" w:footer="708" w:gutter="0"/>
          <w:cols w:num="2" w:space="708"/>
          <w:docGrid w:linePitch="360"/>
        </w:sectPr>
      </w:pPr>
      <w:r>
        <w:rPr>
          <w:rFonts w:asciiTheme="minorHAnsi" w:hAnsiTheme="minorHAnsi" w:cstheme="minorHAnsi"/>
          <w:noProof/>
          <w:lang w:val="en-GB" w:eastAsia="hr-HR"/>
        </w:rPr>
        <w:drawing>
          <wp:inline distT="0" distB="0" distL="0" distR="0" wp14:anchorId="27B35FF7" wp14:editId="59539340">
            <wp:extent cx="2791111" cy="2155371"/>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5214" cy="2158540"/>
                    </a:xfrm>
                    <a:prstGeom prst="rect">
                      <a:avLst/>
                    </a:prstGeom>
                    <a:noFill/>
                  </pic:spPr>
                </pic:pic>
              </a:graphicData>
            </a:graphic>
          </wp:inline>
        </w:drawing>
      </w:r>
    </w:p>
    <w:p w14:paraId="6B395DDF" w14:textId="77777777" w:rsidR="0051395B" w:rsidRPr="00260049" w:rsidRDefault="0051395B">
      <w:pPr>
        <w:rPr>
          <w:lang w:val="en-GB"/>
        </w:rPr>
      </w:pPr>
    </w:p>
    <w:sectPr w:rsidR="0051395B" w:rsidRPr="00260049"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5C40" w14:textId="77777777" w:rsidR="00C343D0" w:rsidRDefault="00C343D0" w:rsidP="00A07306">
      <w:r>
        <w:separator/>
      </w:r>
    </w:p>
  </w:endnote>
  <w:endnote w:type="continuationSeparator" w:id="0">
    <w:p w14:paraId="09EDB687" w14:textId="77777777" w:rsidR="00C343D0" w:rsidRDefault="00C343D0"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54"/>
            <w:gridCol w:w="1835"/>
            <w:gridCol w:w="1984"/>
            <w:gridCol w:w="2093"/>
          </w:tblGrid>
          <w:tr w:rsidR="0013372E" w14:paraId="0E3432B3" w14:textId="77777777" w:rsidTr="00181E10">
            <w:trPr>
              <w:cantSplit/>
              <w:trHeight w:val="181"/>
            </w:trPr>
            <w:tc>
              <w:tcPr>
                <w:tcW w:w="1998" w:type="dxa"/>
                <w:vMerge w:val="restart"/>
                <w:tcBorders>
                  <w:top w:val="single" w:sz="4" w:space="0" w:color="auto"/>
                  <w:left w:val="nil"/>
                  <w:bottom w:val="nil"/>
                  <w:right w:val="nil"/>
                </w:tcBorders>
                <w:hideMark/>
              </w:tcPr>
              <w:p w14:paraId="2B2C637E" w14:textId="77777777" w:rsidR="0013372E" w:rsidRDefault="0013372E" w:rsidP="0013372E">
                <w:pPr>
                  <w:pStyle w:val="Footer"/>
                  <w:spacing w:before="20" w:after="20"/>
                  <w:rPr>
                    <w:rFonts w:asciiTheme="minorHAnsi" w:hAnsiTheme="minorHAnsi" w:cs="Arial"/>
                    <w:b/>
                    <w:bCs/>
                    <w:sz w:val="14"/>
                    <w:szCs w:val="14"/>
                  </w:rPr>
                </w:pPr>
                <w:r>
                  <w:rPr>
                    <w:rFonts w:cs="Arial"/>
                    <w:b/>
                    <w:bCs/>
                    <w:sz w:val="14"/>
                    <w:szCs w:val="14"/>
                  </w:rPr>
                  <w:t>INA, d.d.</w:t>
                </w:r>
              </w:p>
              <w:p w14:paraId="60F190F8" w14:textId="77777777" w:rsidR="0013372E" w:rsidRDefault="0013372E" w:rsidP="0013372E">
                <w:pPr>
                  <w:pStyle w:val="Footer"/>
                  <w:rPr>
                    <w:rFonts w:cs="Arial"/>
                    <w:sz w:val="11"/>
                    <w:szCs w:val="11"/>
                  </w:rPr>
                </w:pPr>
                <w:r>
                  <w:rPr>
                    <w:rFonts w:cs="Arial"/>
                    <w:sz w:val="11"/>
                    <w:szCs w:val="11"/>
                  </w:rPr>
                  <w:t xml:space="preserve">Avenija Većeslava Holjevca 10 </w:t>
                </w:r>
              </w:p>
              <w:p w14:paraId="2E535CC7" w14:textId="77777777" w:rsidR="0013372E" w:rsidRDefault="0013372E" w:rsidP="0013372E">
                <w:pPr>
                  <w:pStyle w:val="Footer"/>
                  <w:rPr>
                    <w:rFonts w:cs="Arial"/>
                    <w:sz w:val="11"/>
                    <w:szCs w:val="11"/>
                  </w:rPr>
                </w:pPr>
                <w:r>
                  <w:rPr>
                    <w:rFonts w:cs="Arial"/>
                    <w:sz w:val="11"/>
                    <w:szCs w:val="11"/>
                  </w:rPr>
                  <w:t>10 002 Zagreb    p.p. 555</w:t>
                </w:r>
              </w:p>
              <w:p w14:paraId="4F1AFA3C" w14:textId="77777777" w:rsidR="0013372E" w:rsidRDefault="0013372E" w:rsidP="0013372E">
                <w:pPr>
                  <w:pStyle w:val="Footer"/>
                  <w:rPr>
                    <w:rFonts w:cs="Arial"/>
                    <w:i/>
                    <w:iCs/>
                    <w:sz w:val="11"/>
                    <w:szCs w:val="11"/>
                  </w:rPr>
                </w:pPr>
                <w:r>
                  <w:rPr>
                    <w:rFonts w:cs="Arial"/>
                    <w:sz w:val="11"/>
                    <w:szCs w:val="11"/>
                  </w:rPr>
                  <w:t xml:space="preserve">Hrvatska – </w:t>
                </w:r>
                <w:r>
                  <w:rPr>
                    <w:rFonts w:cs="Arial"/>
                    <w:i/>
                    <w:iCs/>
                    <w:sz w:val="11"/>
                    <w:szCs w:val="11"/>
                  </w:rPr>
                  <w:t>Croatia</w:t>
                </w:r>
              </w:p>
              <w:p w14:paraId="58FEB5A0" w14:textId="77777777" w:rsidR="0013372E" w:rsidRDefault="0013372E" w:rsidP="0013372E">
                <w:pPr>
                  <w:pStyle w:val="Footer"/>
                  <w:rPr>
                    <w:rFonts w:cs="Arial"/>
                    <w:sz w:val="11"/>
                    <w:szCs w:val="11"/>
                  </w:rPr>
                </w:pPr>
                <w:r>
                  <w:rPr>
                    <w:sz w:val="11"/>
                    <w:szCs w:val="11"/>
                  </w:rPr>
                  <w:t>BIC (SWIFT): INAHHR22</w:t>
                </w:r>
              </w:p>
              <w:p w14:paraId="3E8A8F32" w14:textId="77777777" w:rsidR="0013372E" w:rsidRDefault="0013372E" w:rsidP="0013372E">
                <w:pPr>
                  <w:pStyle w:val="Footer"/>
                  <w:rPr>
                    <w:rFonts w:cstheme="minorBidi"/>
                    <w:sz w:val="11"/>
                    <w:szCs w:val="11"/>
                  </w:rPr>
                </w:pPr>
                <w:r>
                  <w:rPr>
                    <w:rFonts w:cs="Arial"/>
                    <w:sz w:val="11"/>
                    <w:szCs w:val="11"/>
                  </w:rPr>
                  <w:t xml:space="preserve">Telefon – </w:t>
                </w:r>
                <w:r>
                  <w:rPr>
                    <w:rFonts w:cs="Arial"/>
                    <w:i/>
                    <w:iCs/>
                    <w:sz w:val="11"/>
                    <w:szCs w:val="11"/>
                  </w:rPr>
                  <w:t>Telephone:</w:t>
                </w:r>
                <w:r>
                  <w:rPr>
                    <w:rFonts w:cs="Arial"/>
                    <w:sz w:val="11"/>
                    <w:szCs w:val="11"/>
                  </w:rPr>
                  <w:t xml:space="preserve"> 08001112</w:t>
                </w:r>
              </w:p>
            </w:tc>
            <w:tc>
              <w:tcPr>
                <w:tcW w:w="1554" w:type="dxa"/>
                <w:tcBorders>
                  <w:top w:val="single" w:sz="4" w:space="0" w:color="auto"/>
                  <w:left w:val="nil"/>
                  <w:bottom w:val="nil"/>
                  <w:right w:val="nil"/>
                </w:tcBorders>
                <w:vAlign w:val="center"/>
                <w:hideMark/>
              </w:tcPr>
              <w:p w14:paraId="64A4435C" w14:textId="77777777" w:rsidR="0013372E" w:rsidRDefault="0013372E" w:rsidP="0013372E">
                <w:pPr>
                  <w:pStyle w:val="Footer"/>
                  <w:ind w:left="-108"/>
                  <w:rPr>
                    <w:sz w:val="10"/>
                    <w:szCs w:val="10"/>
                  </w:rPr>
                </w:pPr>
                <w:r>
                  <w:rPr>
                    <w:rFonts w:cs="Arial"/>
                    <w:sz w:val="10"/>
                    <w:szCs w:val="10"/>
                  </w:rPr>
                  <w:t xml:space="preserve">Banka - </w:t>
                </w:r>
                <w:r>
                  <w:rPr>
                    <w:rFonts w:cs="Arial"/>
                    <w:i/>
                    <w:iCs/>
                    <w:sz w:val="10"/>
                    <w:szCs w:val="10"/>
                  </w:rPr>
                  <w:t>Bank</w:t>
                </w:r>
              </w:p>
            </w:tc>
            <w:tc>
              <w:tcPr>
                <w:tcW w:w="1835" w:type="dxa"/>
                <w:tcBorders>
                  <w:top w:val="single" w:sz="4" w:space="0" w:color="auto"/>
                  <w:left w:val="nil"/>
                  <w:bottom w:val="nil"/>
                  <w:right w:val="nil"/>
                </w:tcBorders>
                <w:vAlign w:val="center"/>
                <w:hideMark/>
              </w:tcPr>
              <w:p w14:paraId="0CB9043B" w14:textId="77777777" w:rsidR="0013372E" w:rsidRDefault="0013372E" w:rsidP="0013372E">
                <w:pPr>
                  <w:pStyle w:val="Footer"/>
                  <w:ind w:left="-108"/>
                  <w:rPr>
                    <w:rFonts w:cs="Arial"/>
                    <w:sz w:val="10"/>
                    <w:szCs w:val="10"/>
                  </w:rPr>
                </w:pPr>
                <w:r>
                  <w:rPr>
                    <w:rFonts w:cs="Arial"/>
                    <w:sz w:val="10"/>
                    <w:szCs w:val="10"/>
                  </w:rPr>
                  <w:t xml:space="preserve">Adresa - </w:t>
                </w:r>
                <w:r>
                  <w:rPr>
                    <w:rFonts w:cs="Arial"/>
                    <w:i/>
                    <w:iCs/>
                    <w:sz w:val="10"/>
                    <w:szCs w:val="10"/>
                    <w:lang w:val="en-GB"/>
                  </w:rPr>
                  <w:t>Address</w:t>
                </w:r>
              </w:p>
            </w:tc>
            <w:tc>
              <w:tcPr>
                <w:tcW w:w="1984" w:type="dxa"/>
                <w:tcBorders>
                  <w:top w:val="single" w:sz="4" w:space="0" w:color="auto"/>
                  <w:left w:val="nil"/>
                  <w:bottom w:val="nil"/>
                  <w:right w:val="nil"/>
                </w:tcBorders>
                <w:vAlign w:val="center"/>
                <w:hideMark/>
              </w:tcPr>
              <w:p w14:paraId="30E3FCD0" w14:textId="77777777" w:rsidR="0013372E" w:rsidRDefault="0013372E" w:rsidP="0013372E">
                <w:pPr>
                  <w:pStyle w:val="Footer"/>
                  <w:ind w:left="-108" w:right="-108"/>
                  <w:rPr>
                    <w:rFonts w:cs="Arial"/>
                    <w:sz w:val="10"/>
                    <w:szCs w:val="10"/>
                  </w:rPr>
                </w:pPr>
                <w:r>
                  <w:rPr>
                    <w:rFonts w:cs="Arial"/>
                    <w:sz w:val="10"/>
                    <w:szCs w:val="10"/>
                  </w:rPr>
                  <w:t xml:space="preserve">IBAN broj - </w:t>
                </w:r>
                <w:r>
                  <w:rPr>
                    <w:rFonts w:cs="Arial"/>
                    <w:i/>
                    <w:iCs/>
                    <w:sz w:val="10"/>
                    <w:szCs w:val="10"/>
                  </w:rPr>
                  <w:t xml:space="preserve">IBAN </w:t>
                </w:r>
                <w:r>
                  <w:rPr>
                    <w:rFonts w:cs="Arial"/>
                    <w:i/>
                    <w:iCs/>
                    <w:sz w:val="10"/>
                    <w:szCs w:val="10"/>
                    <w:lang w:val="en-GB"/>
                  </w:rPr>
                  <w:t>Number</w:t>
                </w:r>
                <w:r>
                  <w:rPr>
                    <w:rFonts w:cs="Arial"/>
                    <w:i/>
                    <w:iCs/>
                    <w:sz w:val="10"/>
                    <w:szCs w:val="10"/>
                  </w:rPr>
                  <w:t xml:space="preserve">, </w:t>
                </w:r>
              </w:p>
            </w:tc>
            <w:tc>
              <w:tcPr>
                <w:tcW w:w="2093" w:type="dxa"/>
                <w:vMerge w:val="restart"/>
                <w:tcBorders>
                  <w:top w:val="single" w:sz="4" w:space="0" w:color="auto"/>
                  <w:left w:val="nil"/>
                  <w:bottom w:val="single" w:sz="4" w:space="0" w:color="auto"/>
                  <w:right w:val="nil"/>
                </w:tcBorders>
                <w:tcMar>
                  <w:top w:w="0" w:type="dxa"/>
                  <w:left w:w="57" w:type="dxa"/>
                  <w:bottom w:w="0" w:type="dxa"/>
                  <w:right w:w="57" w:type="dxa"/>
                </w:tcMar>
                <w:hideMark/>
              </w:tcPr>
              <w:p w14:paraId="356685F0" w14:textId="77777777" w:rsidR="0013372E" w:rsidRDefault="0013372E" w:rsidP="0013372E">
                <w:pPr>
                  <w:pStyle w:val="Footer"/>
                  <w:spacing w:before="40"/>
                  <w:rPr>
                    <w:rFonts w:ascii="Arial Narrow" w:hAnsi="Arial Narrow" w:cs="Arial"/>
                    <w:sz w:val="12"/>
                    <w:szCs w:val="12"/>
                  </w:rPr>
                </w:pPr>
                <w:r>
                  <w:rPr>
                    <w:rFonts w:ascii="Arial Narrow" w:hAnsi="Arial Narrow" w:cs="Arial"/>
                    <w:sz w:val="12"/>
                    <w:szCs w:val="12"/>
                  </w:rPr>
                  <w:t>Trgovački sud u Zagrebu</w:t>
                </w:r>
              </w:p>
              <w:p w14:paraId="392D21E1" w14:textId="77777777" w:rsidR="0013372E" w:rsidRDefault="0013372E" w:rsidP="0013372E">
                <w:pPr>
                  <w:pStyle w:val="Footer"/>
                  <w:rPr>
                    <w:rFonts w:ascii="Arial Narrow" w:hAnsi="Arial Narrow" w:cs="Arial"/>
                    <w:i/>
                    <w:iCs/>
                    <w:sz w:val="12"/>
                    <w:szCs w:val="12"/>
                  </w:rPr>
                </w:pPr>
                <w:r>
                  <w:rPr>
                    <w:rFonts w:ascii="Arial Narrow" w:hAnsi="Arial Narrow" w:cs="Arial"/>
                    <w:i/>
                    <w:iCs/>
                    <w:sz w:val="12"/>
                    <w:szCs w:val="12"/>
                    <w:lang w:val="en-US"/>
                  </w:rPr>
                  <w:t xml:space="preserve">Commercial Court in </w:t>
                </w:r>
                <w:smartTag w:uri="urn:schemas-microsoft-com:office:smarttags" w:element="place">
                  <w:smartTag w:uri="urn:schemas-microsoft-com:office:smarttags" w:element="City">
                    <w:r>
                      <w:rPr>
                        <w:rFonts w:ascii="Arial Narrow" w:hAnsi="Arial Narrow" w:cs="Arial"/>
                        <w:i/>
                        <w:iCs/>
                        <w:sz w:val="12"/>
                        <w:szCs w:val="12"/>
                        <w:lang w:val="en-US"/>
                      </w:rPr>
                      <w:t>Zagreb</w:t>
                    </w:r>
                  </w:smartTag>
                </w:smartTag>
              </w:p>
              <w:p w14:paraId="1379787A"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MBS: 080000604</w:t>
                </w:r>
              </w:p>
              <w:p w14:paraId="360F9B97" w14:textId="77777777" w:rsidR="0013372E" w:rsidRDefault="0013372E" w:rsidP="0013372E">
                <w:pPr>
                  <w:pStyle w:val="Footer"/>
                  <w:rPr>
                    <w:rFonts w:ascii="Arial Narrow" w:hAnsi="Arial Narrow" w:cs="Arial"/>
                    <w:i/>
                    <w:iCs/>
                    <w:sz w:val="12"/>
                    <w:szCs w:val="12"/>
                  </w:rPr>
                </w:pPr>
                <w:r>
                  <w:rPr>
                    <w:rFonts w:ascii="Arial Narrow" w:hAnsi="Arial Narrow" w:cs="Arial"/>
                    <w:sz w:val="12"/>
                    <w:szCs w:val="12"/>
                  </w:rPr>
                  <w:t xml:space="preserve">Uplaćen temeljni kapital – </w:t>
                </w:r>
                <w:r>
                  <w:rPr>
                    <w:rFonts w:ascii="Arial Narrow" w:hAnsi="Arial Narrow" w:cs="Arial"/>
                    <w:i/>
                    <w:iCs/>
                    <w:sz w:val="12"/>
                    <w:szCs w:val="12"/>
                    <w:lang w:val="en-US"/>
                  </w:rPr>
                  <w:t>Paid</w:t>
                </w:r>
                <w:r>
                  <w:rPr>
                    <w:rFonts w:ascii="Arial Narrow" w:hAnsi="Arial Narrow" w:cs="Arial"/>
                    <w:sz w:val="12"/>
                    <w:szCs w:val="12"/>
                    <w:lang w:val="en-US"/>
                  </w:rPr>
                  <w:t xml:space="preserve"> c</w:t>
                </w:r>
                <w:r>
                  <w:rPr>
                    <w:rFonts w:ascii="Arial Narrow" w:hAnsi="Arial Narrow" w:cs="Arial"/>
                    <w:i/>
                    <w:iCs/>
                    <w:sz w:val="12"/>
                    <w:szCs w:val="12"/>
                    <w:lang w:val="en-US"/>
                  </w:rPr>
                  <w:t>apital stock</w:t>
                </w:r>
              </w:p>
              <w:p w14:paraId="0FD0BD56"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 xml:space="preserve">9.000.000.000,00 kn - HRK </w:t>
                </w:r>
              </w:p>
              <w:p w14:paraId="55FC38AC"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Broj izdanih dionica / Nominalna vrijednost</w:t>
                </w:r>
              </w:p>
              <w:p w14:paraId="481713AC" w14:textId="77777777" w:rsidR="0013372E" w:rsidRDefault="0013372E" w:rsidP="0013372E">
                <w:pPr>
                  <w:pStyle w:val="Footer"/>
                  <w:rPr>
                    <w:rFonts w:ascii="Arial Narrow" w:hAnsi="Arial Narrow" w:cs="Arial"/>
                    <w:i/>
                    <w:iCs/>
                    <w:sz w:val="12"/>
                    <w:szCs w:val="12"/>
                    <w:lang w:val="en-US"/>
                  </w:rPr>
                </w:pPr>
                <w:r>
                  <w:rPr>
                    <w:rFonts w:ascii="Arial Narrow" w:hAnsi="Arial Narrow" w:cs="Arial"/>
                    <w:i/>
                    <w:iCs/>
                    <w:sz w:val="12"/>
                    <w:szCs w:val="12"/>
                    <w:lang w:val="en-US"/>
                  </w:rPr>
                  <w:t>No. of issued shares / Nominal value</w:t>
                </w:r>
              </w:p>
              <w:p w14:paraId="385A8A9F"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 xml:space="preserve">10.000.000 / 900,00 kn - HRK </w:t>
                </w:r>
              </w:p>
              <w:p w14:paraId="0484C723"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 xml:space="preserve">Matični broj – </w:t>
                </w:r>
                <w:r>
                  <w:rPr>
                    <w:rFonts w:ascii="Arial Narrow" w:hAnsi="Arial Narrow" w:cs="Arial"/>
                    <w:i/>
                    <w:iCs/>
                    <w:sz w:val="12"/>
                    <w:szCs w:val="12"/>
                    <w:lang w:val="nl-NL"/>
                  </w:rPr>
                  <w:t>Reg. No</w:t>
                </w:r>
                <w:r>
                  <w:rPr>
                    <w:rFonts w:ascii="Arial Narrow" w:hAnsi="Arial Narrow" w:cs="Arial"/>
                    <w:i/>
                    <w:iCs/>
                    <w:sz w:val="12"/>
                    <w:szCs w:val="12"/>
                  </w:rPr>
                  <w:t>.</w:t>
                </w:r>
                <w:r>
                  <w:rPr>
                    <w:rFonts w:ascii="Arial Narrow" w:hAnsi="Arial Narrow" w:cs="Arial"/>
                    <w:sz w:val="12"/>
                    <w:szCs w:val="12"/>
                  </w:rPr>
                  <w:t xml:space="preserve"> 3586243</w:t>
                </w:r>
              </w:p>
              <w:p w14:paraId="74D8473A" w14:textId="77777777" w:rsidR="0013372E" w:rsidRDefault="0013372E" w:rsidP="0013372E">
                <w:pPr>
                  <w:pStyle w:val="Footer"/>
                  <w:rPr>
                    <w:rFonts w:ascii="Arial Narrow" w:hAnsi="Arial Narrow" w:cs="Arial"/>
                    <w:sz w:val="12"/>
                    <w:szCs w:val="12"/>
                  </w:rPr>
                </w:pPr>
                <w:r>
                  <w:rPr>
                    <w:rFonts w:ascii="Arial Narrow" w:hAnsi="Arial Narrow" w:cs="Arial"/>
                    <w:sz w:val="12"/>
                    <w:szCs w:val="12"/>
                  </w:rPr>
                  <w:t>OIB – 27759560625</w:t>
                </w:r>
              </w:p>
              <w:p w14:paraId="28318125" w14:textId="77777777" w:rsidR="0013372E" w:rsidRDefault="0013372E" w:rsidP="0013372E">
                <w:pPr>
                  <w:pStyle w:val="Footer"/>
                  <w:rPr>
                    <w:rFonts w:asciiTheme="minorHAnsi" w:hAnsiTheme="minorHAnsi" w:cstheme="minorBidi"/>
                    <w:sz w:val="11"/>
                    <w:szCs w:val="11"/>
                  </w:rPr>
                </w:pPr>
                <w:r>
                  <w:rPr>
                    <w:rFonts w:ascii="Arial Narrow" w:hAnsi="Arial Narrow" w:cs="Arial"/>
                    <w:sz w:val="12"/>
                    <w:szCs w:val="12"/>
                  </w:rPr>
                  <w:t xml:space="preserve">PDV identifikacijski broj / </w:t>
                </w:r>
                <w:r>
                  <w:rPr>
                    <w:rFonts w:ascii="Arial Narrow" w:hAnsi="Arial Narrow" w:cs="Arial"/>
                    <w:i/>
                    <w:iCs/>
                    <w:sz w:val="12"/>
                    <w:szCs w:val="12"/>
                  </w:rPr>
                  <w:t xml:space="preserve">VAT </w:t>
                </w:r>
                <w:r>
                  <w:rPr>
                    <w:rFonts w:ascii="Arial Narrow" w:hAnsi="Arial Narrow" w:cs="Arial"/>
                    <w:i/>
                    <w:iCs/>
                    <w:sz w:val="12"/>
                    <w:szCs w:val="12"/>
                    <w:lang w:val="en-US"/>
                  </w:rPr>
                  <w:t>identification number</w:t>
                </w:r>
                <w:r>
                  <w:rPr>
                    <w:rFonts w:ascii="Arial Narrow" w:hAnsi="Arial Narrow" w:cs="Arial"/>
                    <w:sz w:val="12"/>
                    <w:szCs w:val="12"/>
                    <w:lang w:val="en-US"/>
                  </w:rPr>
                  <w:t xml:space="preserve"> </w:t>
                </w:r>
                <w:r>
                  <w:rPr>
                    <w:sz w:val="11"/>
                    <w:szCs w:val="11"/>
                  </w:rPr>
                  <w:t>HR27759560625</w:t>
                </w:r>
              </w:p>
            </w:tc>
          </w:tr>
          <w:tr w:rsidR="0013372E" w14:paraId="72AEE654" w14:textId="77777777" w:rsidTr="00181E10">
            <w:trPr>
              <w:cantSplit/>
              <w:trHeight w:val="1304"/>
            </w:trPr>
            <w:tc>
              <w:tcPr>
                <w:tcW w:w="0" w:type="auto"/>
                <w:vMerge/>
                <w:tcBorders>
                  <w:top w:val="single" w:sz="4" w:space="0" w:color="auto"/>
                  <w:left w:val="nil"/>
                  <w:bottom w:val="nil"/>
                  <w:right w:val="nil"/>
                </w:tcBorders>
                <w:vAlign w:val="center"/>
                <w:hideMark/>
              </w:tcPr>
              <w:p w14:paraId="0389B0BB" w14:textId="77777777" w:rsidR="0013372E" w:rsidRDefault="0013372E" w:rsidP="0013372E">
                <w:pPr>
                  <w:rPr>
                    <w:sz w:val="11"/>
                    <w:szCs w:val="11"/>
                  </w:rPr>
                </w:pPr>
              </w:p>
            </w:tc>
            <w:tc>
              <w:tcPr>
                <w:tcW w:w="1554" w:type="dxa"/>
                <w:tcBorders>
                  <w:top w:val="nil"/>
                  <w:left w:val="nil"/>
                  <w:bottom w:val="nil"/>
                  <w:right w:val="nil"/>
                </w:tcBorders>
              </w:tcPr>
              <w:p w14:paraId="544DB625"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Privredna banka Zagreb d.d.</w:t>
                </w:r>
              </w:p>
              <w:p w14:paraId="44519CD5"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 xml:space="preserve">Raiffeisenbank Austria d.d. </w:t>
                </w:r>
              </w:p>
              <w:p w14:paraId="09FA66BB"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Zagrebačka banka d.d.</w:t>
                </w:r>
              </w:p>
              <w:p w14:paraId="6643D51F"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OTP banka d.d.</w:t>
                </w:r>
              </w:p>
              <w:p w14:paraId="5353E126"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sz w:val="10"/>
                    <w:szCs w:val="10"/>
                  </w:rPr>
                  <w:t xml:space="preserve">Erste&amp;Steiermärkische Bank </w:t>
                </w:r>
                <w:r>
                  <w:rPr>
                    <w:rFonts w:ascii="Arial Narrow" w:hAnsi="Arial Narrow" w:cs="Arial"/>
                    <w:sz w:val="10"/>
                    <w:szCs w:val="10"/>
                  </w:rPr>
                  <w:t xml:space="preserve">d.d. </w:t>
                </w:r>
              </w:p>
              <w:p w14:paraId="53F1554E"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BANCA POPOLARE DI SONDRIO</w:t>
                </w:r>
              </w:p>
              <w:p w14:paraId="6C627DC1" w14:textId="77777777" w:rsidR="0013372E" w:rsidRDefault="0013372E" w:rsidP="0013372E">
                <w:pPr>
                  <w:pStyle w:val="Footer"/>
                  <w:spacing w:line="216" w:lineRule="auto"/>
                  <w:ind w:left="-108"/>
                  <w:rPr>
                    <w:rFonts w:ascii="Arial Narrow" w:hAnsi="Arial Narrow" w:cstheme="minorBidi"/>
                    <w:sz w:val="10"/>
                    <w:szCs w:val="10"/>
                    <w:lang w:bidi="ta-IN"/>
                  </w:rPr>
                </w:pPr>
                <w:r>
                  <w:rPr>
                    <w:rFonts w:ascii="Arial Narrow" w:hAnsi="Arial Narrow"/>
                    <w:sz w:val="10"/>
                    <w:szCs w:val="10"/>
                    <w:lang w:bidi="ta-IN"/>
                  </w:rPr>
                  <w:t>UniCredit Bank Austria AG</w:t>
                </w:r>
              </w:p>
              <w:p w14:paraId="197F4EF3" w14:textId="77777777" w:rsidR="0013372E" w:rsidRDefault="0013372E" w:rsidP="0013372E">
                <w:pPr>
                  <w:pStyle w:val="Footer"/>
                  <w:spacing w:line="216" w:lineRule="auto"/>
                  <w:ind w:left="-108"/>
                  <w:rPr>
                    <w:rFonts w:ascii="Arial Narrow" w:hAnsi="Arial Narrow"/>
                    <w:sz w:val="10"/>
                    <w:szCs w:val="10"/>
                    <w:lang w:bidi="ta-IN"/>
                  </w:rPr>
                </w:pPr>
              </w:p>
              <w:p w14:paraId="4404813E" w14:textId="77777777" w:rsidR="0013372E" w:rsidRDefault="0013372E" w:rsidP="0013372E">
                <w:pPr>
                  <w:pStyle w:val="Footer"/>
                  <w:spacing w:line="216" w:lineRule="auto"/>
                  <w:ind w:left="-108"/>
                  <w:rPr>
                    <w:rFonts w:ascii="Arial Narrow" w:hAnsi="Arial Narrow"/>
                    <w:sz w:val="10"/>
                    <w:szCs w:val="10"/>
                    <w:lang w:bidi="ta-IN"/>
                  </w:rPr>
                </w:pPr>
              </w:p>
              <w:p w14:paraId="7BDEED81" w14:textId="77777777" w:rsidR="0013372E" w:rsidRDefault="0013372E" w:rsidP="0013372E">
                <w:pPr>
                  <w:pStyle w:val="Footer"/>
                  <w:spacing w:line="216" w:lineRule="auto"/>
                  <w:ind w:left="-108"/>
                  <w:rPr>
                    <w:rFonts w:ascii="Arial Narrow" w:hAnsi="Arial Narrow"/>
                    <w:sz w:val="10"/>
                    <w:szCs w:val="10"/>
                    <w:lang w:bidi="ta-IN"/>
                  </w:rPr>
                </w:pPr>
              </w:p>
            </w:tc>
            <w:tc>
              <w:tcPr>
                <w:tcW w:w="1835" w:type="dxa"/>
                <w:tcBorders>
                  <w:top w:val="nil"/>
                  <w:left w:val="nil"/>
                  <w:bottom w:val="nil"/>
                  <w:right w:val="nil"/>
                </w:tcBorders>
              </w:tcPr>
              <w:p w14:paraId="324A60BB" w14:textId="77777777" w:rsidR="0013372E" w:rsidRDefault="0013372E" w:rsidP="0013372E">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 10000 Zagreb</w:t>
                </w:r>
              </w:p>
              <w:p w14:paraId="6A6DAAF1" w14:textId="77777777" w:rsidR="0013372E" w:rsidRDefault="0013372E" w:rsidP="0013372E">
                <w:pPr>
                  <w:pStyle w:val="Footer"/>
                  <w:spacing w:line="216" w:lineRule="auto"/>
                  <w:ind w:left="-108" w:right="-66"/>
                  <w:rPr>
                    <w:rFonts w:ascii="Arial Narrow" w:hAnsi="Arial Narrow" w:cs="Arial"/>
                    <w:sz w:val="10"/>
                    <w:szCs w:val="10"/>
                  </w:rPr>
                </w:pPr>
                <w:r>
                  <w:rPr>
                    <w:rFonts w:ascii="Arial Narrow" w:hAnsi="Arial Narrow" w:cs="Arial"/>
                    <w:sz w:val="10"/>
                    <w:szCs w:val="10"/>
                  </w:rPr>
                  <w:t>Magazinska cesta 69, 10000 Zagreb</w:t>
                </w:r>
              </w:p>
              <w:p w14:paraId="0C43C48F" w14:textId="77777777" w:rsidR="0013372E" w:rsidRDefault="0013372E" w:rsidP="0013372E">
                <w:pPr>
                  <w:pStyle w:val="Footer"/>
                  <w:spacing w:line="216" w:lineRule="auto"/>
                  <w:ind w:left="-108" w:right="-66"/>
                  <w:rPr>
                    <w:rFonts w:ascii="Arial Narrow" w:hAnsi="Arial Narrow" w:cs="Arial"/>
                    <w:sz w:val="10"/>
                    <w:szCs w:val="10"/>
                  </w:rPr>
                </w:pPr>
                <w:r>
                  <w:rPr>
                    <w:rFonts w:ascii="Arial Narrow" w:hAnsi="Arial Narrow" w:cs="Arial"/>
                    <w:sz w:val="10"/>
                    <w:szCs w:val="10"/>
                  </w:rPr>
                  <w:t>Trg bana Josipa Jelačića 10, 10000 Zagreb</w:t>
                </w:r>
              </w:p>
              <w:p w14:paraId="1ED84FBC" w14:textId="77777777" w:rsidR="0013372E" w:rsidRDefault="0013372E" w:rsidP="0013372E">
                <w:pPr>
                  <w:pStyle w:val="Footer"/>
                  <w:spacing w:line="216" w:lineRule="auto"/>
                  <w:ind w:left="-108" w:right="-66"/>
                  <w:rPr>
                    <w:rFonts w:ascii="Arial Narrow" w:hAnsi="Arial Narrow" w:cs="Arial"/>
                    <w:sz w:val="10"/>
                    <w:szCs w:val="10"/>
                  </w:rPr>
                </w:pPr>
                <w:r>
                  <w:rPr>
                    <w:rFonts w:ascii="Arial Narrow" w:hAnsi="Arial Narrow" w:cs="Arial"/>
                    <w:sz w:val="10"/>
                    <w:szCs w:val="10"/>
                  </w:rPr>
                  <w:t>Domovinskog rata 61, 21000 Split</w:t>
                </w:r>
              </w:p>
              <w:p w14:paraId="6B779219" w14:textId="77777777" w:rsidR="0013372E" w:rsidRDefault="0013372E" w:rsidP="0013372E">
                <w:pPr>
                  <w:pStyle w:val="Footer"/>
                  <w:spacing w:line="216" w:lineRule="auto"/>
                  <w:ind w:left="-108" w:right="-66"/>
                  <w:rPr>
                    <w:rFonts w:ascii="Arial Narrow" w:hAnsi="Arial Narrow" w:cs="Arial"/>
                    <w:sz w:val="10"/>
                    <w:szCs w:val="10"/>
                  </w:rPr>
                </w:pPr>
                <w:r>
                  <w:rPr>
                    <w:rFonts w:ascii="Arial Narrow" w:hAnsi="Arial Narrow" w:cs="Arial"/>
                    <w:sz w:val="10"/>
                    <w:szCs w:val="10"/>
                  </w:rPr>
                  <w:t>Jadranski trg 3a, 51000 Rijeka</w:t>
                </w:r>
              </w:p>
              <w:p w14:paraId="652CA8C3"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Viale Innocenzo XI n.71, 22100 COMO</w:t>
                </w:r>
              </w:p>
              <w:p w14:paraId="7D533F64" w14:textId="77777777" w:rsidR="0013372E" w:rsidRDefault="0013372E" w:rsidP="0013372E">
                <w:pPr>
                  <w:pStyle w:val="Footer"/>
                  <w:spacing w:line="216" w:lineRule="auto"/>
                  <w:ind w:left="-108" w:right="-66"/>
                  <w:rPr>
                    <w:rFonts w:ascii="Arial Narrow" w:hAnsi="Arial Narrow" w:cstheme="minorBidi"/>
                    <w:sz w:val="10"/>
                    <w:szCs w:val="10"/>
                    <w:lang w:bidi="ta-IN"/>
                  </w:rPr>
                </w:pPr>
                <w:r>
                  <w:rPr>
                    <w:rFonts w:ascii="Arial Narrow" w:hAnsi="Arial Narrow"/>
                    <w:sz w:val="10"/>
                    <w:szCs w:val="10"/>
                    <w:lang w:bidi="ta-IN"/>
                  </w:rPr>
                  <w:t>Schottengasse 6-8, A-1010 Wien</w:t>
                </w:r>
              </w:p>
              <w:p w14:paraId="7DB3D782" w14:textId="77777777" w:rsidR="0013372E" w:rsidRDefault="0013372E" w:rsidP="0013372E">
                <w:pPr>
                  <w:pStyle w:val="Footer"/>
                  <w:spacing w:line="216" w:lineRule="auto"/>
                  <w:ind w:left="-108" w:right="-66"/>
                  <w:rPr>
                    <w:rFonts w:ascii="Arial Narrow" w:hAnsi="Arial Narrow"/>
                    <w:sz w:val="10"/>
                    <w:szCs w:val="10"/>
                    <w:lang w:bidi="ta-IN"/>
                  </w:rPr>
                </w:pPr>
              </w:p>
              <w:p w14:paraId="775FA3EA" w14:textId="77777777" w:rsidR="0013372E" w:rsidRDefault="0013372E" w:rsidP="0013372E">
                <w:pPr>
                  <w:pStyle w:val="Footer"/>
                  <w:spacing w:line="216" w:lineRule="auto"/>
                  <w:ind w:left="-108" w:right="-66"/>
                  <w:rPr>
                    <w:rFonts w:ascii="Arial Narrow" w:hAnsi="Arial Narrow"/>
                    <w:sz w:val="10"/>
                    <w:szCs w:val="10"/>
                    <w:lang w:bidi="ta-IN"/>
                  </w:rPr>
                </w:pPr>
              </w:p>
              <w:p w14:paraId="2B20346E" w14:textId="77777777" w:rsidR="0013372E" w:rsidRDefault="0013372E" w:rsidP="0013372E">
                <w:pPr>
                  <w:pStyle w:val="Footer"/>
                  <w:spacing w:line="216" w:lineRule="auto"/>
                  <w:ind w:right="-66"/>
                  <w:rPr>
                    <w:rFonts w:ascii="Arial Narrow" w:hAnsi="Arial Narrow" w:cs="Arial"/>
                    <w:sz w:val="10"/>
                    <w:szCs w:val="10"/>
                  </w:rPr>
                </w:pPr>
              </w:p>
            </w:tc>
            <w:tc>
              <w:tcPr>
                <w:tcW w:w="1984" w:type="dxa"/>
                <w:tcBorders>
                  <w:top w:val="nil"/>
                  <w:left w:val="nil"/>
                  <w:bottom w:val="nil"/>
                  <w:right w:val="nil"/>
                </w:tcBorders>
              </w:tcPr>
              <w:p w14:paraId="0D883382" w14:textId="77777777" w:rsidR="0013372E" w:rsidRDefault="0013372E" w:rsidP="0013372E">
                <w:pPr>
                  <w:pStyle w:val="Footer"/>
                  <w:spacing w:line="216" w:lineRule="auto"/>
                  <w:ind w:left="-108" w:right="-108"/>
                  <w:rPr>
                    <w:rFonts w:ascii="Arial Narrow" w:hAnsi="Arial Narrow" w:cs="Arial"/>
                    <w:sz w:val="10"/>
                    <w:szCs w:val="10"/>
                  </w:rPr>
                </w:pPr>
                <w:r>
                  <w:rPr>
                    <w:rFonts w:ascii="Arial Narrow" w:hAnsi="Arial Narrow" w:cs="Arial"/>
                    <w:sz w:val="10"/>
                    <w:szCs w:val="10"/>
                  </w:rPr>
                  <w:t>HR92 2340 0091 1000 2290 2</w:t>
                </w:r>
              </w:p>
              <w:p w14:paraId="3D2CCA02" w14:textId="77777777" w:rsidR="0013372E" w:rsidRDefault="0013372E" w:rsidP="0013372E">
                <w:pPr>
                  <w:pStyle w:val="Footer"/>
                  <w:spacing w:line="216" w:lineRule="auto"/>
                  <w:ind w:left="-108" w:right="-108"/>
                  <w:rPr>
                    <w:rFonts w:ascii="Arial Narrow" w:hAnsi="Arial Narrow" w:cs="Arial"/>
                    <w:sz w:val="10"/>
                    <w:szCs w:val="10"/>
                  </w:rPr>
                </w:pPr>
                <w:r>
                  <w:rPr>
                    <w:rFonts w:ascii="Arial Narrow" w:hAnsi="Arial Narrow" w:cs="Arial"/>
                    <w:sz w:val="10"/>
                    <w:szCs w:val="10"/>
                  </w:rPr>
                  <w:t>HR70 2484 0081 1006 1948 3</w:t>
                </w:r>
              </w:p>
              <w:p w14:paraId="7A4E8903" w14:textId="77777777" w:rsidR="0013372E" w:rsidRDefault="0013372E" w:rsidP="0013372E">
                <w:pPr>
                  <w:pStyle w:val="Footer"/>
                  <w:spacing w:line="216" w:lineRule="auto"/>
                  <w:ind w:left="-108" w:right="-108"/>
                  <w:rPr>
                    <w:rFonts w:ascii="Arial Narrow" w:hAnsi="Arial Narrow" w:cs="Arial"/>
                    <w:sz w:val="10"/>
                    <w:szCs w:val="10"/>
                  </w:rPr>
                </w:pPr>
                <w:r>
                  <w:rPr>
                    <w:rFonts w:ascii="Arial Narrow" w:hAnsi="Arial Narrow" w:cs="Arial"/>
                    <w:sz w:val="10"/>
                    <w:szCs w:val="10"/>
                  </w:rPr>
                  <w:t>HR62 2360 0001 1013 0359 5</w:t>
                </w:r>
              </w:p>
              <w:p w14:paraId="31EB3393" w14:textId="77777777" w:rsidR="0013372E" w:rsidRDefault="0013372E" w:rsidP="0013372E">
                <w:pPr>
                  <w:pStyle w:val="Footer"/>
                  <w:spacing w:line="216" w:lineRule="auto"/>
                  <w:ind w:left="-108" w:right="-108"/>
                  <w:rPr>
                    <w:rFonts w:ascii="Arial Narrow" w:hAnsi="Arial Narrow" w:cs="Arial"/>
                    <w:sz w:val="10"/>
                    <w:szCs w:val="10"/>
                  </w:rPr>
                </w:pPr>
                <w:r>
                  <w:rPr>
                    <w:rFonts w:ascii="Arial Narrow" w:hAnsi="Arial Narrow" w:cs="Arial"/>
                    <w:sz w:val="10"/>
                    <w:szCs w:val="10"/>
                  </w:rPr>
                  <w:t xml:space="preserve">HR96 2407 0001 1001 5214 9 </w:t>
                </w:r>
              </w:p>
              <w:p w14:paraId="27264F11" w14:textId="77777777" w:rsidR="0013372E" w:rsidRDefault="0013372E" w:rsidP="0013372E">
                <w:pPr>
                  <w:pStyle w:val="Footer"/>
                  <w:spacing w:line="216" w:lineRule="auto"/>
                  <w:ind w:left="-108" w:right="-108"/>
                  <w:rPr>
                    <w:rFonts w:ascii="Arial Narrow" w:hAnsi="Arial Narrow" w:cs="Arial"/>
                    <w:sz w:val="10"/>
                    <w:szCs w:val="10"/>
                  </w:rPr>
                </w:pPr>
                <w:r>
                  <w:rPr>
                    <w:rFonts w:ascii="Arial Narrow" w:hAnsi="Arial Narrow" w:cs="Arial"/>
                    <w:sz w:val="10"/>
                    <w:szCs w:val="10"/>
                  </w:rPr>
                  <w:t xml:space="preserve">HR34 </w:t>
                </w:r>
                <w:r>
                  <w:rPr>
                    <w:rFonts w:ascii="Arial Narrow" w:hAnsi="Arial Narrow"/>
                    <w:sz w:val="10"/>
                    <w:szCs w:val="10"/>
                  </w:rPr>
                  <w:t>2402 0061 1006 8111 4</w:t>
                </w:r>
              </w:p>
              <w:p w14:paraId="03B40FA7" w14:textId="77777777" w:rsidR="0013372E" w:rsidRDefault="0013372E" w:rsidP="0013372E">
                <w:pPr>
                  <w:pStyle w:val="Footer"/>
                  <w:spacing w:line="216" w:lineRule="auto"/>
                  <w:ind w:left="-108"/>
                  <w:rPr>
                    <w:rFonts w:ascii="Arial Narrow" w:hAnsi="Arial Narrow" w:cs="Arial"/>
                    <w:sz w:val="10"/>
                    <w:szCs w:val="10"/>
                  </w:rPr>
                </w:pPr>
                <w:r>
                  <w:rPr>
                    <w:rFonts w:ascii="Arial Narrow" w:hAnsi="Arial Narrow" w:cs="Arial"/>
                    <w:sz w:val="10"/>
                    <w:szCs w:val="10"/>
                  </w:rPr>
                  <w:t>IT41 N056 9610 900E DCEU 0817 340 (EUR)</w:t>
                </w:r>
              </w:p>
              <w:p w14:paraId="2DC9304B" w14:textId="77777777" w:rsidR="0013372E" w:rsidRDefault="0013372E" w:rsidP="0013372E">
                <w:pPr>
                  <w:pStyle w:val="Footer"/>
                  <w:spacing w:line="216" w:lineRule="auto"/>
                  <w:ind w:left="-108" w:right="-108"/>
                  <w:rPr>
                    <w:rFonts w:ascii="Arial Narrow" w:hAnsi="Arial Narrow" w:cstheme="minorBidi"/>
                    <w:sz w:val="10"/>
                    <w:szCs w:val="10"/>
                    <w:lang w:bidi="ta-IN"/>
                  </w:rPr>
                </w:pPr>
                <w:r>
                  <w:rPr>
                    <w:rFonts w:ascii="Arial Narrow" w:hAnsi="Arial Narrow"/>
                    <w:sz w:val="10"/>
                    <w:szCs w:val="10"/>
                    <w:lang w:bidi="ta-IN"/>
                  </w:rPr>
                  <w:t xml:space="preserve">AT21 1200 0528 4400 3466     (EUR) </w:t>
                </w:r>
              </w:p>
              <w:p w14:paraId="1A4E70AF" w14:textId="77777777" w:rsidR="0013372E" w:rsidRDefault="0013372E" w:rsidP="0013372E">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AT91 1200 0528 4400 3467     (USD)</w:t>
                </w:r>
              </w:p>
              <w:p w14:paraId="4E45AF55" w14:textId="77777777" w:rsidR="0013372E" w:rsidRDefault="0013372E" w:rsidP="0013372E">
                <w:pPr>
                  <w:pStyle w:val="Footer"/>
                  <w:spacing w:line="216" w:lineRule="auto"/>
                  <w:ind w:left="-108" w:right="-108"/>
                  <w:rPr>
                    <w:rFonts w:ascii="Arial Narrow" w:hAnsi="Arial Narrow"/>
                    <w:sz w:val="10"/>
                    <w:szCs w:val="10"/>
                    <w:lang w:bidi="ta-IN"/>
                  </w:rPr>
                </w:pPr>
              </w:p>
              <w:p w14:paraId="62642DD6" w14:textId="77777777" w:rsidR="0013372E" w:rsidRDefault="0013372E" w:rsidP="0013372E">
                <w:pPr>
                  <w:pStyle w:val="Footer"/>
                  <w:spacing w:line="216" w:lineRule="auto"/>
                  <w:ind w:left="-108" w:right="-108"/>
                  <w:rPr>
                    <w:rFonts w:asciiTheme="minorHAnsi" w:hAnsiTheme="minorHAnsi"/>
                    <w:sz w:val="6"/>
                    <w:szCs w:val="6"/>
                    <w:lang w:bidi="ta-IN"/>
                  </w:rPr>
                </w:pPr>
              </w:p>
            </w:tc>
            <w:tc>
              <w:tcPr>
                <w:tcW w:w="0" w:type="auto"/>
                <w:vMerge/>
                <w:tcBorders>
                  <w:top w:val="single" w:sz="4" w:space="0" w:color="auto"/>
                  <w:left w:val="nil"/>
                  <w:bottom w:val="single" w:sz="4" w:space="0" w:color="auto"/>
                  <w:right w:val="nil"/>
                </w:tcBorders>
                <w:vAlign w:val="center"/>
                <w:hideMark/>
              </w:tcPr>
              <w:p w14:paraId="383F6267" w14:textId="77777777" w:rsidR="0013372E" w:rsidRDefault="0013372E" w:rsidP="0013372E">
                <w:pPr>
                  <w:rPr>
                    <w:sz w:val="11"/>
                    <w:szCs w:val="11"/>
                  </w:rPr>
                </w:pPr>
              </w:p>
            </w:tc>
          </w:tr>
          <w:tr w:rsidR="0013372E" w14:paraId="5F83B381" w14:textId="77777777" w:rsidTr="00181E10">
            <w:trPr>
              <w:cantSplit/>
              <w:trHeight w:val="300"/>
            </w:trPr>
            <w:tc>
              <w:tcPr>
                <w:tcW w:w="7371" w:type="dxa"/>
                <w:gridSpan w:val="4"/>
                <w:tcBorders>
                  <w:top w:val="nil"/>
                  <w:left w:val="nil"/>
                  <w:bottom w:val="single" w:sz="4" w:space="0" w:color="auto"/>
                  <w:right w:val="nil"/>
                </w:tcBorders>
                <w:vAlign w:val="bottom"/>
              </w:tcPr>
              <w:p w14:paraId="3AC70759" w14:textId="77777777" w:rsidR="0013372E" w:rsidRDefault="0013372E" w:rsidP="0013372E">
                <w:pPr>
                  <w:pStyle w:val="Footer"/>
                  <w:spacing w:line="216" w:lineRule="auto"/>
                  <w:ind w:right="-108"/>
                  <w:rPr>
                    <w:rFonts w:cs="Arial"/>
                    <w:i/>
                    <w:sz w:val="11"/>
                    <w:szCs w:val="11"/>
                  </w:rPr>
                </w:pPr>
                <w:r>
                  <w:rPr>
                    <w:rFonts w:cs="Arial"/>
                    <w:sz w:val="11"/>
                    <w:szCs w:val="11"/>
                  </w:rPr>
                  <w:t xml:space="preserve">Predsjednik i članovi Uprave / </w:t>
                </w:r>
                <w:r>
                  <w:rPr>
                    <w:rFonts w:cs="Arial"/>
                    <w:i/>
                    <w:iCs/>
                    <w:sz w:val="11"/>
                    <w:szCs w:val="11"/>
                    <w:lang w:val="en-US"/>
                  </w:rPr>
                  <w:t>President and</w:t>
                </w:r>
                <w:r>
                  <w:rPr>
                    <w:rFonts w:cs="Arial"/>
                    <w:i/>
                    <w:sz w:val="11"/>
                    <w:szCs w:val="11"/>
                    <w:lang w:val="en-US"/>
                  </w:rPr>
                  <w:t xml:space="preserve"> m</w:t>
                </w:r>
                <w:r>
                  <w:rPr>
                    <w:rFonts w:cs="Arial"/>
                    <w:i/>
                    <w:iCs/>
                    <w:sz w:val="11"/>
                    <w:szCs w:val="11"/>
                    <w:lang w:val="en-US"/>
                  </w:rPr>
                  <w:t>embers of the Management Board</w:t>
                </w:r>
                <w:r>
                  <w:rPr>
                    <w:rFonts w:cs="Arial"/>
                    <w:i/>
                    <w:sz w:val="11"/>
                    <w:szCs w:val="11"/>
                    <w:lang w:val="en-US"/>
                  </w:rPr>
                  <w:t>:</w:t>
                </w:r>
              </w:p>
              <w:p w14:paraId="0071AB4A" w14:textId="77777777" w:rsidR="0013372E" w:rsidRDefault="0013372E" w:rsidP="0013372E">
                <w:pPr>
                  <w:rPr>
                    <w:rFonts w:cstheme="minorBidi"/>
                    <w:sz w:val="11"/>
                    <w:szCs w:val="11"/>
                  </w:rPr>
                </w:pPr>
                <w:r>
                  <w:rPr>
                    <w:sz w:val="11"/>
                    <w:szCs w:val="11"/>
                  </w:rPr>
                  <w:t>Sándor Fasimon, Niko Dalić, Barbara Dorić, Darko Markotić, József Simola, Ferenc Horváth</w:t>
                </w:r>
              </w:p>
              <w:p w14:paraId="23C4F413" w14:textId="77777777" w:rsidR="0013372E" w:rsidRDefault="0013372E" w:rsidP="0013372E">
                <w:pPr>
                  <w:pStyle w:val="Footer"/>
                  <w:spacing w:line="216" w:lineRule="auto"/>
                  <w:ind w:right="-108"/>
                  <w:rPr>
                    <w:rFonts w:cs="Arial"/>
                    <w:sz w:val="4"/>
                    <w:szCs w:val="4"/>
                  </w:rPr>
                </w:pPr>
              </w:p>
              <w:p w14:paraId="55D44D9A" w14:textId="0298731B" w:rsidR="0013372E" w:rsidRDefault="0013372E" w:rsidP="0013372E">
                <w:pPr>
                  <w:pStyle w:val="Footer"/>
                  <w:spacing w:line="216" w:lineRule="auto"/>
                  <w:ind w:right="-108"/>
                  <w:rPr>
                    <w:rFonts w:cs="Arial"/>
                    <w:sz w:val="11"/>
                    <w:szCs w:val="11"/>
                  </w:rPr>
                </w:pPr>
                <w:r>
                  <w:rPr>
                    <w:rFonts w:cs="Arial"/>
                    <w:sz w:val="11"/>
                    <w:szCs w:val="11"/>
                  </w:rPr>
                  <w:t xml:space="preserve">Predsjednik Nadzornog odbora / </w:t>
                </w:r>
                <w:r>
                  <w:rPr>
                    <w:rFonts w:cs="Arial"/>
                    <w:i/>
                    <w:iCs/>
                    <w:sz w:val="11"/>
                    <w:szCs w:val="11"/>
                    <w:lang w:val="en-US"/>
                  </w:rPr>
                  <w:t>President of the Supervisory Board</w:t>
                </w:r>
                <w:r>
                  <w:rPr>
                    <w:rFonts w:cs="Arial"/>
                    <w:sz w:val="11"/>
                    <w:szCs w:val="11"/>
                  </w:rPr>
                  <w:t xml:space="preserve">: Damir </w:t>
                </w:r>
                <w:r w:rsidR="00623A95">
                  <w:rPr>
                    <w:rFonts w:cs="Arial"/>
                    <w:sz w:val="11"/>
                    <w:szCs w:val="11"/>
                  </w:rPr>
                  <w:t>Mikuljan</w:t>
                </w:r>
              </w:p>
            </w:tc>
            <w:tc>
              <w:tcPr>
                <w:tcW w:w="0" w:type="auto"/>
                <w:vMerge/>
                <w:tcBorders>
                  <w:top w:val="single" w:sz="4" w:space="0" w:color="auto"/>
                  <w:left w:val="nil"/>
                  <w:bottom w:val="single" w:sz="4" w:space="0" w:color="auto"/>
                  <w:right w:val="nil"/>
                </w:tcBorders>
                <w:vAlign w:val="center"/>
                <w:hideMark/>
              </w:tcPr>
              <w:p w14:paraId="4CB1E3F9" w14:textId="77777777" w:rsidR="0013372E" w:rsidRDefault="0013372E" w:rsidP="0013372E">
                <w:pPr>
                  <w:rPr>
                    <w:sz w:val="11"/>
                    <w:szCs w:val="11"/>
                  </w:rPr>
                </w:pPr>
              </w:p>
            </w:tc>
          </w:tr>
          <w:tr w:rsidR="0013372E" w14:paraId="2CD6E35C" w14:textId="77777777" w:rsidTr="00181E10">
            <w:trPr>
              <w:cantSplit/>
              <w:trHeight w:val="170"/>
            </w:trPr>
            <w:tc>
              <w:tcPr>
                <w:tcW w:w="7371" w:type="dxa"/>
                <w:gridSpan w:val="4"/>
                <w:tcBorders>
                  <w:top w:val="single" w:sz="4" w:space="0" w:color="auto"/>
                  <w:left w:val="nil"/>
                  <w:bottom w:val="nil"/>
                  <w:right w:val="nil"/>
                </w:tcBorders>
                <w:vAlign w:val="bottom"/>
                <w:hideMark/>
              </w:tcPr>
              <w:p w14:paraId="5A8A32DB" w14:textId="77777777" w:rsidR="0013372E" w:rsidRDefault="0013372E" w:rsidP="0013372E">
                <w:pPr>
                  <w:pStyle w:val="Footer"/>
                  <w:spacing w:line="216" w:lineRule="auto"/>
                  <w:ind w:right="-108"/>
                  <w:rPr>
                    <w:rFonts w:cs="Arial"/>
                    <w:sz w:val="11"/>
                    <w:szCs w:val="11"/>
                  </w:rPr>
                </w:pPr>
                <w:r>
                  <w:rPr>
                    <w:rFonts w:cs="Arial"/>
                    <w:sz w:val="11"/>
                    <w:szCs w:val="11"/>
                  </w:rPr>
                  <w:t xml:space="preserve">  </w:t>
                </w:r>
              </w:p>
            </w:tc>
            <w:tc>
              <w:tcPr>
                <w:tcW w:w="2093" w:type="dxa"/>
                <w:tcBorders>
                  <w:top w:val="single" w:sz="4" w:space="0" w:color="auto"/>
                  <w:left w:val="nil"/>
                  <w:bottom w:val="nil"/>
                  <w:right w:val="nil"/>
                </w:tcBorders>
              </w:tcPr>
              <w:p w14:paraId="02CDD0FB" w14:textId="77777777" w:rsidR="0013372E" w:rsidRDefault="0013372E" w:rsidP="0013372E">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1835"/>
      <w:gridCol w:w="1984"/>
      <w:gridCol w:w="2093"/>
    </w:tblGrid>
    <w:tr w:rsidR="00CE6C07" w:rsidRPr="002B598A" w14:paraId="59DE8579" w14:textId="77777777" w:rsidTr="00E539A2">
      <w:trPr>
        <w:cantSplit/>
        <w:trHeight w:val="181"/>
      </w:trPr>
      <w:tc>
        <w:tcPr>
          <w:tcW w:w="1998" w:type="dxa"/>
          <w:vMerge w:val="restart"/>
          <w:tcBorders>
            <w:top w:val="single" w:sz="4" w:space="0" w:color="auto"/>
            <w:left w:val="nil"/>
            <w:right w:val="nil"/>
          </w:tcBorders>
        </w:tcPr>
        <w:p w14:paraId="6250AD2D" w14:textId="77777777" w:rsidR="00CE6C07" w:rsidRPr="002B598A" w:rsidRDefault="00CE6C07" w:rsidP="00CE6C07">
          <w:pPr>
            <w:pStyle w:val="Footer"/>
            <w:spacing w:before="20" w:after="20"/>
            <w:rPr>
              <w:rFonts w:cs="Arial"/>
              <w:b/>
              <w:bCs/>
              <w:sz w:val="14"/>
              <w:szCs w:val="14"/>
            </w:rPr>
          </w:pPr>
          <w:r w:rsidRPr="002B598A">
            <w:rPr>
              <w:rFonts w:cs="Arial"/>
              <w:b/>
              <w:bCs/>
              <w:sz w:val="14"/>
              <w:szCs w:val="14"/>
            </w:rPr>
            <w:t>INA, d.d.</w:t>
          </w:r>
        </w:p>
        <w:p w14:paraId="4C10929B" w14:textId="77777777" w:rsidR="00CE6C07" w:rsidRPr="002B598A" w:rsidRDefault="00CE6C07" w:rsidP="00CE6C07">
          <w:pPr>
            <w:pStyle w:val="Footer"/>
            <w:rPr>
              <w:rFonts w:cs="Arial"/>
              <w:sz w:val="11"/>
              <w:szCs w:val="11"/>
            </w:rPr>
          </w:pPr>
          <w:r w:rsidRPr="002B598A">
            <w:rPr>
              <w:rFonts w:cs="Arial"/>
              <w:sz w:val="11"/>
              <w:szCs w:val="11"/>
            </w:rPr>
            <w:t xml:space="preserve">Avenija Većeslava Holjevca 10 </w:t>
          </w:r>
        </w:p>
        <w:p w14:paraId="32D5166E" w14:textId="77777777" w:rsidR="00CE6C07" w:rsidRPr="002B598A" w:rsidRDefault="00CE6C07" w:rsidP="00CE6C07">
          <w:pPr>
            <w:pStyle w:val="Footer"/>
            <w:rPr>
              <w:rFonts w:cs="Arial"/>
              <w:sz w:val="11"/>
              <w:szCs w:val="11"/>
            </w:rPr>
          </w:pPr>
          <w:r w:rsidRPr="002B598A">
            <w:rPr>
              <w:rFonts w:cs="Arial"/>
              <w:sz w:val="11"/>
              <w:szCs w:val="11"/>
            </w:rPr>
            <w:t>10 002 Zagreb    p.p. 555</w:t>
          </w:r>
        </w:p>
        <w:p w14:paraId="33CA56CC" w14:textId="77777777" w:rsidR="00CE6C07" w:rsidRDefault="00CE6C07" w:rsidP="00CE6C07">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7470ABF8" w14:textId="77777777" w:rsidR="00CE6C07" w:rsidRPr="00B871AD" w:rsidRDefault="00CE6C07" w:rsidP="00CE6C07">
          <w:pPr>
            <w:pStyle w:val="Footer"/>
            <w:rPr>
              <w:rFonts w:cs="Arial"/>
              <w:sz w:val="11"/>
              <w:szCs w:val="11"/>
            </w:rPr>
          </w:pPr>
          <w:r w:rsidRPr="00B871AD">
            <w:rPr>
              <w:sz w:val="11"/>
              <w:szCs w:val="11"/>
            </w:rPr>
            <w:t>BIC (SWIFT): INAHHR22</w:t>
          </w:r>
        </w:p>
        <w:p w14:paraId="21823D76" w14:textId="77777777" w:rsidR="00CE6C07" w:rsidRPr="002B598A" w:rsidRDefault="00CE6C07" w:rsidP="00CE6C07">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554" w:type="dxa"/>
          <w:tcBorders>
            <w:top w:val="single" w:sz="4" w:space="0" w:color="auto"/>
            <w:left w:val="nil"/>
            <w:bottom w:val="nil"/>
            <w:right w:val="nil"/>
          </w:tcBorders>
          <w:vAlign w:val="center"/>
        </w:tcPr>
        <w:p w14:paraId="1C7C8ECB" w14:textId="77777777" w:rsidR="00CE6C07" w:rsidRPr="002B598A" w:rsidRDefault="00CE6C07" w:rsidP="00CE6C07">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1835" w:type="dxa"/>
          <w:tcBorders>
            <w:top w:val="single" w:sz="4" w:space="0" w:color="auto"/>
            <w:left w:val="nil"/>
            <w:bottom w:val="nil"/>
            <w:right w:val="nil"/>
          </w:tcBorders>
          <w:vAlign w:val="center"/>
        </w:tcPr>
        <w:p w14:paraId="717EBAB0" w14:textId="77777777" w:rsidR="00CE6C07" w:rsidRPr="002B598A" w:rsidRDefault="00CE6C07" w:rsidP="00CE6C07">
          <w:pPr>
            <w:pStyle w:val="Footer"/>
            <w:ind w:left="-108"/>
            <w:rPr>
              <w:rFonts w:cs="Arial"/>
              <w:sz w:val="10"/>
              <w:szCs w:val="10"/>
            </w:rPr>
          </w:pPr>
          <w:r w:rsidRPr="002B598A">
            <w:rPr>
              <w:rFonts w:cs="Arial"/>
              <w:sz w:val="10"/>
              <w:szCs w:val="10"/>
            </w:rPr>
            <w:t xml:space="preserve">Adresa - </w:t>
          </w:r>
          <w:r w:rsidRPr="0082051B">
            <w:rPr>
              <w:rFonts w:cs="Arial"/>
              <w:i/>
              <w:iCs/>
              <w:sz w:val="10"/>
              <w:szCs w:val="10"/>
              <w:lang w:val="en-GB"/>
            </w:rPr>
            <w:t>Address</w:t>
          </w:r>
        </w:p>
      </w:tc>
      <w:tc>
        <w:tcPr>
          <w:tcW w:w="1984" w:type="dxa"/>
          <w:tcBorders>
            <w:top w:val="single" w:sz="4" w:space="0" w:color="auto"/>
            <w:left w:val="nil"/>
            <w:bottom w:val="nil"/>
            <w:right w:val="nil"/>
          </w:tcBorders>
          <w:vAlign w:val="center"/>
        </w:tcPr>
        <w:p w14:paraId="25CCF3F1" w14:textId="77777777" w:rsidR="00CE6C07" w:rsidRPr="002B598A" w:rsidRDefault="00CE6C07" w:rsidP="00CE6C07">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 xml:space="preserve">IBAN </w:t>
          </w:r>
          <w:r w:rsidRPr="0082051B">
            <w:rPr>
              <w:rFonts w:cs="Arial"/>
              <w:i/>
              <w:iCs/>
              <w:sz w:val="10"/>
              <w:szCs w:val="10"/>
              <w:lang w:val="en-GB"/>
            </w:rPr>
            <w:t>Number</w:t>
          </w:r>
          <w:r>
            <w:rPr>
              <w:rFonts w:cs="Arial"/>
              <w:i/>
              <w:iCs/>
              <w:sz w:val="10"/>
              <w:szCs w:val="10"/>
            </w:rPr>
            <w:t xml:space="preserve">, </w:t>
          </w:r>
        </w:p>
      </w:tc>
      <w:tc>
        <w:tcPr>
          <w:tcW w:w="2093" w:type="dxa"/>
          <w:vMerge w:val="restart"/>
          <w:tcBorders>
            <w:top w:val="single" w:sz="4" w:space="0" w:color="auto"/>
            <w:left w:val="nil"/>
            <w:right w:val="nil"/>
          </w:tcBorders>
          <w:tcMar>
            <w:left w:w="57" w:type="dxa"/>
            <w:right w:w="57" w:type="dxa"/>
          </w:tcMar>
        </w:tcPr>
        <w:p w14:paraId="42B71DB9" w14:textId="77777777" w:rsidR="00CE6C07" w:rsidRPr="002B598A" w:rsidRDefault="00CE6C07" w:rsidP="00CE6C07">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14:paraId="05FC0C64" w14:textId="77777777" w:rsidR="00CE6C07" w:rsidRPr="002B598A" w:rsidRDefault="00CE6C07" w:rsidP="00CE6C07">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Zagreb</w:t>
          </w:r>
        </w:p>
        <w:p w14:paraId="31740510"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MBS: 080000604</w:t>
          </w:r>
        </w:p>
        <w:p w14:paraId="4AF2FB26" w14:textId="77777777" w:rsidR="00CE6C07" w:rsidRPr="002B598A" w:rsidRDefault="00CE6C07" w:rsidP="00CE6C07">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14:paraId="6699AD74"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14:paraId="30A03460"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14:paraId="0D061CAC" w14:textId="77777777" w:rsidR="00CE6C07" w:rsidRPr="002B598A" w:rsidRDefault="00CE6C07" w:rsidP="00CE6C07">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14:paraId="3E86A523"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14:paraId="4E7A0176"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14:paraId="3996EC3A" w14:textId="77777777" w:rsidR="00CE6C07" w:rsidRPr="002B598A" w:rsidRDefault="00CE6C07" w:rsidP="00CE6C07">
          <w:pPr>
            <w:pStyle w:val="Footer"/>
            <w:rPr>
              <w:rFonts w:ascii="Arial Narrow" w:hAnsi="Arial Narrow" w:cs="Arial"/>
              <w:sz w:val="12"/>
              <w:szCs w:val="12"/>
            </w:rPr>
          </w:pPr>
          <w:r w:rsidRPr="002B598A">
            <w:rPr>
              <w:rFonts w:ascii="Arial Narrow" w:hAnsi="Arial Narrow" w:cs="Arial"/>
              <w:sz w:val="12"/>
              <w:szCs w:val="12"/>
            </w:rPr>
            <w:t>OIB – 27759560625</w:t>
          </w:r>
        </w:p>
        <w:p w14:paraId="6DF1372C" w14:textId="77777777" w:rsidR="00CE6C07" w:rsidRPr="002B598A" w:rsidRDefault="00CE6C07" w:rsidP="00CE6C07">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CE6C07" w:rsidRPr="002B598A" w14:paraId="26F9422F" w14:textId="77777777" w:rsidTr="00E539A2">
      <w:trPr>
        <w:cantSplit/>
        <w:trHeight w:val="1304"/>
      </w:trPr>
      <w:tc>
        <w:tcPr>
          <w:tcW w:w="1998" w:type="dxa"/>
          <w:vMerge/>
          <w:tcBorders>
            <w:left w:val="nil"/>
            <w:bottom w:val="nil"/>
            <w:right w:val="nil"/>
          </w:tcBorders>
        </w:tcPr>
        <w:p w14:paraId="48B361C7" w14:textId="77777777" w:rsidR="00CE6C07" w:rsidRPr="002B598A" w:rsidRDefault="00CE6C07" w:rsidP="00CE6C07">
          <w:pPr>
            <w:pStyle w:val="Footer"/>
            <w:rPr>
              <w:rFonts w:cs="Arial"/>
              <w:b/>
              <w:bCs/>
              <w:sz w:val="11"/>
              <w:szCs w:val="11"/>
            </w:rPr>
          </w:pPr>
        </w:p>
      </w:tc>
      <w:tc>
        <w:tcPr>
          <w:tcW w:w="1554" w:type="dxa"/>
          <w:tcBorders>
            <w:top w:val="nil"/>
            <w:left w:val="nil"/>
            <w:bottom w:val="nil"/>
            <w:right w:val="nil"/>
          </w:tcBorders>
        </w:tcPr>
        <w:p w14:paraId="24BADB92"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14:paraId="2F86466F"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 xml:space="preserve">Raiffeisenbank Austria d.d. </w:t>
          </w:r>
        </w:p>
        <w:p w14:paraId="4D48D45C"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14:paraId="7E07A48F"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14:paraId="06410BAC"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sz w:val="10"/>
              <w:szCs w:val="10"/>
            </w:rPr>
            <w:t xml:space="preserve">Erste&amp;Steiermärkische Bank </w:t>
          </w:r>
          <w:r w:rsidRPr="001171F4">
            <w:rPr>
              <w:rFonts w:ascii="Arial Narrow" w:hAnsi="Arial Narrow" w:cs="Arial"/>
              <w:sz w:val="10"/>
              <w:szCs w:val="10"/>
            </w:rPr>
            <w:t xml:space="preserve">d.d. </w:t>
          </w:r>
        </w:p>
        <w:p w14:paraId="08697392"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14:paraId="5083505A" w14:textId="77777777" w:rsidR="00CE6C07" w:rsidRPr="001171F4" w:rsidRDefault="00CE6C07" w:rsidP="00CE6C07">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UniCredit Bank Austria AG</w:t>
          </w:r>
        </w:p>
        <w:p w14:paraId="58AE5BE5" w14:textId="77777777" w:rsidR="00CE6C07" w:rsidRDefault="00CE6C07" w:rsidP="00CE6C07">
          <w:pPr>
            <w:pStyle w:val="Footer"/>
            <w:spacing w:line="216" w:lineRule="auto"/>
            <w:ind w:left="-108"/>
            <w:rPr>
              <w:rFonts w:ascii="Arial Narrow" w:hAnsi="Arial Narrow"/>
              <w:sz w:val="10"/>
              <w:szCs w:val="10"/>
              <w:lang w:bidi="ta-IN"/>
            </w:rPr>
          </w:pPr>
        </w:p>
        <w:p w14:paraId="340839CF" w14:textId="77777777" w:rsidR="00CE6C07" w:rsidRPr="001171F4" w:rsidRDefault="00CE6C07" w:rsidP="00CE6C07">
          <w:pPr>
            <w:pStyle w:val="Footer"/>
            <w:spacing w:line="216" w:lineRule="auto"/>
            <w:ind w:left="-108"/>
            <w:rPr>
              <w:rFonts w:ascii="Arial Narrow" w:hAnsi="Arial Narrow"/>
              <w:sz w:val="10"/>
              <w:szCs w:val="10"/>
              <w:lang w:bidi="ta-IN"/>
            </w:rPr>
          </w:pPr>
        </w:p>
        <w:p w14:paraId="3A9E76F7" w14:textId="77777777" w:rsidR="00CE6C07" w:rsidRPr="00342211" w:rsidRDefault="00CE6C07" w:rsidP="00CE6C07">
          <w:pPr>
            <w:pStyle w:val="Footer"/>
            <w:spacing w:line="216" w:lineRule="auto"/>
            <w:ind w:left="-108"/>
            <w:rPr>
              <w:rFonts w:ascii="Arial Narrow" w:hAnsi="Arial Narrow"/>
              <w:sz w:val="10"/>
              <w:szCs w:val="10"/>
              <w:lang w:bidi="ta-IN"/>
            </w:rPr>
          </w:pPr>
        </w:p>
      </w:tc>
      <w:tc>
        <w:tcPr>
          <w:tcW w:w="1835" w:type="dxa"/>
          <w:tcBorders>
            <w:top w:val="nil"/>
            <w:left w:val="nil"/>
            <w:bottom w:val="nil"/>
            <w:right w:val="nil"/>
          </w:tcBorders>
        </w:tcPr>
        <w:p w14:paraId="6C46C77B" w14:textId="77777777" w:rsidR="00CE6C07" w:rsidRPr="001171F4" w:rsidRDefault="00CE6C07" w:rsidP="00CE6C07">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14:paraId="725FAD25" w14:textId="77777777" w:rsidR="00CE6C07" w:rsidRPr="001171F4" w:rsidRDefault="00CE6C07" w:rsidP="00CE6C07">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14:paraId="5B826132" w14:textId="77777777" w:rsidR="00CE6C07" w:rsidRPr="001171F4" w:rsidRDefault="00CE6C07" w:rsidP="00CE6C07">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14:paraId="33D7A5A3" w14:textId="77777777" w:rsidR="00CE6C07" w:rsidRPr="001171F4" w:rsidRDefault="00CE6C07" w:rsidP="00CE6C07">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14:paraId="72FA3C52" w14:textId="77777777" w:rsidR="00CE6C07" w:rsidRPr="001171F4" w:rsidRDefault="00CE6C07" w:rsidP="00CE6C07">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14:paraId="04E91B64"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Viale Innocenzo XI n.71, 22100 COMO</w:t>
          </w:r>
        </w:p>
        <w:p w14:paraId="7DCC79B5" w14:textId="77777777" w:rsidR="00CE6C07" w:rsidRPr="001171F4" w:rsidRDefault="00CE6C07" w:rsidP="00CE6C07">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Schottengasse 6-8, A-1010 Wien</w:t>
          </w:r>
        </w:p>
        <w:p w14:paraId="2865FF4E" w14:textId="77777777" w:rsidR="00CE6C07" w:rsidRDefault="00CE6C07" w:rsidP="00CE6C07">
          <w:pPr>
            <w:pStyle w:val="Footer"/>
            <w:spacing w:line="216" w:lineRule="auto"/>
            <w:ind w:left="-108" w:right="-66"/>
            <w:rPr>
              <w:rFonts w:ascii="Arial Narrow" w:hAnsi="Arial Narrow"/>
              <w:sz w:val="10"/>
              <w:szCs w:val="10"/>
              <w:lang w:bidi="ta-IN"/>
            </w:rPr>
          </w:pPr>
        </w:p>
        <w:p w14:paraId="6C001233" w14:textId="77777777" w:rsidR="00CE6C07" w:rsidRPr="001171F4" w:rsidRDefault="00CE6C07" w:rsidP="00CE6C07">
          <w:pPr>
            <w:pStyle w:val="Footer"/>
            <w:spacing w:line="216" w:lineRule="auto"/>
            <w:ind w:left="-108" w:right="-66"/>
            <w:rPr>
              <w:rFonts w:ascii="Arial Narrow" w:hAnsi="Arial Narrow"/>
              <w:sz w:val="10"/>
              <w:szCs w:val="10"/>
              <w:lang w:bidi="ta-IN"/>
            </w:rPr>
          </w:pPr>
        </w:p>
        <w:p w14:paraId="59C71793" w14:textId="77777777" w:rsidR="00CE6C07" w:rsidRPr="00342211" w:rsidRDefault="00CE6C07" w:rsidP="00CE6C07">
          <w:pPr>
            <w:pStyle w:val="Footer"/>
            <w:spacing w:line="216" w:lineRule="auto"/>
            <w:ind w:right="-66"/>
            <w:rPr>
              <w:rFonts w:ascii="Arial Narrow" w:hAnsi="Arial Narrow" w:cs="Arial"/>
              <w:sz w:val="10"/>
              <w:szCs w:val="10"/>
            </w:rPr>
          </w:pPr>
        </w:p>
      </w:tc>
      <w:tc>
        <w:tcPr>
          <w:tcW w:w="1984" w:type="dxa"/>
          <w:tcBorders>
            <w:top w:val="nil"/>
            <w:left w:val="nil"/>
            <w:bottom w:val="nil"/>
            <w:right w:val="nil"/>
          </w:tcBorders>
        </w:tcPr>
        <w:p w14:paraId="45E055B8" w14:textId="77777777" w:rsidR="00CE6C07" w:rsidRPr="001171F4" w:rsidRDefault="00CE6C07" w:rsidP="00CE6C07">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14:paraId="4A453C39" w14:textId="77777777" w:rsidR="00CE6C07" w:rsidRPr="001171F4" w:rsidRDefault="00CE6C07" w:rsidP="00CE6C07">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14:paraId="5D244261" w14:textId="77777777" w:rsidR="00CE6C07" w:rsidRPr="001171F4" w:rsidRDefault="00CE6C07" w:rsidP="00CE6C07">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14:paraId="53135DC0" w14:textId="77777777" w:rsidR="00CE6C07" w:rsidRPr="001171F4" w:rsidRDefault="00CE6C07" w:rsidP="00CE6C07">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14:paraId="290078C6" w14:textId="77777777" w:rsidR="00CE6C07" w:rsidRPr="001171F4" w:rsidRDefault="00CE6C07" w:rsidP="00CE6C07">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14:paraId="12261E99" w14:textId="77777777" w:rsidR="00CE6C07" w:rsidRPr="001171F4" w:rsidRDefault="00CE6C07" w:rsidP="00CE6C07">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14:paraId="5B707ED0" w14:textId="77777777" w:rsidR="00CE6C07" w:rsidRPr="001171F4" w:rsidRDefault="00CE6C07" w:rsidP="00CE6C07">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14:paraId="05BDEA5A" w14:textId="77777777" w:rsidR="00CE6C07" w:rsidRPr="001171F4" w:rsidRDefault="00CE6C07" w:rsidP="00CE6C07">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14:paraId="61D42AAD" w14:textId="77777777" w:rsidR="00CE6C07" w:rsidRDefault="00CE6C07" w:rsidP="00CE6C07">
          <w:pPr>
            <w:pStyle w:val="Footer"/>
            <w:spacing w:line="216" w:lineRule="auto"/>
            <w:ind w:left="-108" w:right="-108"/>
            <w:rPr>
              <w:rFonts w:ascii="Arial Narrow" w:hAnsi="Arial Narrow"/>
              <w:sz w:val="10"/>
              <w:szCs w:val="10"/>
              <w:lang w:bidi="ta-IN"/>
            </w:rPr>
          </w:pPr>
        </w:p>
        <w:p w14:paraId="23762097" w14:textId="77777777" w:rsidR="00CE6C07" w:rsidRPr="00342211" w:rsidRDefault="00CE6C07" w:rsidP="00CE6C07">
          <w:pPr>
            <w:pStyle w:val="Footer"/>
            <w:spacing w:line="216" w:lineRule="auto"/>
            <w:ind w:left="-108" w:right="-108"/>
            <w:rPr>
              <w:sz w:val="6"/>
              <w:szCs w:val="6"/>
              <w:lang w:bidi="ta-IN"/>
            </w:rPr>
          </w:pPr>
        </w:p>
      </w:tc>
      <w:tc>
        <w:tcPr>
          <w:tcW w:w="2093" w:type="dxa"/>
          <w:vMerge/>
          <w:tcBorders>
            <w:left w:val="nil"/>
            <w:bottom w:val="nil"/>
            <w:right w:val="nil"/>
          </w:tcBorders>
        </w:tcPr>
        <w:p w14:paraId="05CD105C" w14:textId="77777777" w:rsidR="00CE6C07" w:rsidRPr="002B598A" w:rsidRDefault="00CE6C07" w:rsidP="00CE6C07">
          <w:pPr>
            <w:pStyle w:val="Footer"/>
            <w:rPr>
              <w:rFonts w:cs="Arial"/>
              <w:sz w:val="11"/>
              <w:szCs w:val="11"/>
            </w:rPr>
          </w:pPr>
        </w:p>
      </w:tc>
    </w:tr>
    <w:tr w:rsidR="00CE6C07" w:rsidRPr="002B598A" w14:paraId="038D14A0" w14:textId="77777777" w:rsidTr="00E539A2">
      <w:trPr>
        <w:cantSplit/>
        <w:trHeight w:val="300"/>
      </w:trPr>
      <w:tc>
        <w:tcPr>
          <w:tcW w:w="7371" w:type="dxa"/>
          <w:gridSpan w:val="4"/>
          <w:tcBorders>
            <w:top w:val="nil"/>
            <w:left w:val="nil"/>
            <w:bottom w:val="single" w:sz="4" w:space="0" w:color="auto"/>
            <w:right w:val="nil"/>
          </w:tcBorders>
          <w:vAlign w:val="bottom"/>
        </w:tcPr>
        <w:p w14:paraId="436CD7B8" w14:textId="77777777" w:rsidR="00CE6C07" w:rsidRPr="002B598A" w:rsidRDefault="00CE6C07" w:rsidP="00CE6C07">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419C9518" w14:textId="77777777" w:rsidR="00CE6C07" w:rsidRPr="002B598A" w:rsidRDefault="00CE6C07" w:rsidP="00CE6C07">
          <w:pPr>
            <w:rPr>
              <w:sz w:val="11"/>
              <w:szCs w:val="11"/>
            </w:rPr>
          </w:pPr>
          <w:r w:rsidRPr="00464A02">
            <w:rPr>
              <w:sz w:val="11"/>
              <w:szCs w:val="11"/>
            </w:rPr>
            <w:t xml:space="preserve">Sándor Fasimon, </w:t>
          </w:r>
          <w:r w:rsidRPr="002B598A">
            <w:rPr>
              <w:sz w:val="11"/>
              <w:szCs w:val="11"/>
            </w:rPr>
            <w:t xml:space="preserve">Niko Dalić, </w:t>
          </w:r>
          <w:r>
            <w:rPr>
              <w:sz w:val="11"/>
              <w:szCs w:val="11"/>
            </w:rPr>
            <w:t>Barbara Dorić</w:t>
          </w:r>
          <w:r w:rsidRPr="002B598A">
            <w:rPr>
              <w:sz w:val="11"/>
              <w:szCs w:val="11"/>
            </w:rPr>
            <w:t xml:space="preserve">, </w:t>
          </w:r>
          <w:r>
            <w:rPr>
              <w:sz w:val="11"/>
              <w:szCs w:val="11"/>
            </w:rPr>
            <w:t>Darko Markotić</w:t>
          </w:r>
          <w:r w:rsidRPr="002B598A">
            <w:rPr>
              <w:sz w:val="11"/>
              <w:szCs w:val="11"/>
            </w:rPr>
            <w:t xml:space="preserve">, </w:t>
          </w:r>
          <w:r w:rsidRPr="00216874">
            <w:rPr>
              <w:sz w:val="11"/>
              <w:szCs w:val="11"/>
            </w:rPr>
            <w:t>József Simola</w:t>
          </w:r>
          <w:r>
            <w:rPr>
              <w:sz w:val="11"/>
              <w:szCs w:val="11"/>
            </w:rPr>
            <w:t>,</w:t>
          </w:r>
          <w:r w:rsidRPr="00464A02">
            <w:rPr>
              <w:sz w:val="11"/>
              <w:szCs w:val="11"/>
            </w:rPr>
            <w:t xml:space="preserve"> </w:t>
          </w:r>
          <w:r w:rsidRPr="00216874">
            <w:rPr>
              <w:sz w:val="11"/>
              <w:szCs w:val="11"/>
            </w:rPr>
            <w:t>Ferenc Horváth</w:t>
          </w:r>
        </w:p>
        <w:p w14:paraId="2F109F19" w14:textId="77777777" w:rsidR="00CE6C07" w:rsidRPr="002B598A" w:rsidRDefault="00CE6C07" w:rsidP="00CE6C07">
          <w:pPr>
            <w:pStyle w:val="Footer"/>
            <w:spacing w:line="216" w:lineRule="auto"/>
            <w:ind w:right="-108"/>
            <w:rPr>
              <w:rFonts w:cs="Arial"/>
              <w:sz w:val="4"/>
              <w:szCs w:val="4"/>
            </w:rPr>
          </w:pPr>
        </w:p>
        <w:p w14:paraId="2BB452B5" w14:textId="77777777" w:rsidR="00CE6C07" w:rsidRPr="002B598A" w:rsidRDefault="00CE6C07" w:rsidP="00CE6C07">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093" w:type="dxa"/>
          <w:vMerge/>
          <w:tcBorders>
            <w:top w:val="nil"/>
            <w:left w:val="nil"/>
            <w:bottom w:val="single" w:sz="4" w:space="0" w:color="auto"/>
            <w:right w:val="nil"/>
          </w:tcBorders>
        </w:tcPr>
        <w:p w14:paraId="3FD5AE50" w14:textId="77777777" w:rsidR="00CE6C07" w:rsidRPr="002B598A" w:rsidRDefault="00CE6C07" w:rsidP="00CE6C07">
          <w:pPr>
            <w:pStyle w:val="Footer"/>
            <w:rPr>
              <w:rFonts w:cs="Arial"/>
              <w:sz w:val="11"/>
              <w:szCs w:val="11"/>
            </w:rPr>
          </w:pPr>
        </w:p>
      </w:tc>
    </w:tr>
    <w:tr w:rsidR="00CE6C07" w:rsidRPr="002B598A" w14:paraId="641C38FF" w14:textId="77777777" w:rsidTr="00E539A2">
      <w:trPr>
        <w:cantSplit/>
        <w:trHeight w:val="170"/>
      </w:trPr>
      <w:tc>
        <w:tcPr>
          <w:tcW w:w="7371" w:type="dxa"/>
          <w:gridSpan w:val="4"/>
          <w:tcBorders>
            <w:top w:val="single" w:sz="4" w:space="0" w:color="auto"/>
            <w:left w:val="nil"/>
            <w:bottom w:val="nil"/>
            <w:right w:val="nil"/>
          </w:tcBorders>
          <w:vAlign w:val="bottom"/>
        </w:tcPr>
        <w:p w14:paraId="565CDE45" w14:textId="77777777" w:rsidR="00CE6C07" w:rsidRDefault="00CE6C07" w:rsidP="00CE6C07">
          <w:pPr>
            <w:pStyle w:val="Footer"/>
            <w:spacing w:line="216" w:lineRule="auto"/>
            <w:ind w:right="-108"/>
            <w:rPr>
              <w:rFonts w:cs="Arial"/>
              <w:sz w:val="11"/>
              <w:szCs w:val="11"/>
            </w:rPr>
          </w:pPr>
          <w:r>
            <w:rPr>
              <w:rFonts w:cs="Arial"/>
              <w:sz w:val="11"/>
              <w:szCs w:val="11"/>
            </w:rPr>
            <w:t xml:space="preserve">  </w:t>
          </w:r>
        </w:p>
      </w:tc>
      <w:tc>
        <w:tcPr>
          <w:tcW w:w="2093" w:type="dxa"/>
          <w:tcBorders>
            <w:top w:val="single" w:sz="4" w:space="0" w:color="auto"/>
            <w:left w:val="nil"/>
            <w:bottom w:val="nil"/>
            <w:right w:val="nil"/>
          </w:tcBorders>
        </w:tcPr>
        <w:p w14:paraId="43C7D3FC" w14:textId="77777777" w:rsidR="00CE6C07" w:rsidRPr="002B598A" w:rsidRDefault="00CE6C07" w:rsidP="00CE6C07">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86B" w14:textId="77777777" w:rsidR="00C343D0" w:rsidRDefault="00C343D0" w:rsidP="00A07306">
      <w:r>
        <w:separator/>
      </w:r>
    </w:p>
  </w:footnote>
  <w:footnote w:type="continuationSeparator" w:id="0">
    <w:p w14:paraId="1FDA5154" w14:textId="77777777" w:rsidR="00C343D0" w:rsidRDefault="00C343D0"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38FF"/>
    <w:rsid w:val="000063B9"/>
    <w:rsid w:val="00013155"/>
    <w:rsid w:val="00015028"/>
    <w:rsid w:val="00056C94"/>
    <w:rsid w:val="00077B63"/>
    <w:rsid w:val="000967F4"/>
    <w:rsid w:val="000B23EC"/>
    <w:rsid w:val="000D3B90"/>
    <w:rsid w:val="00130434"/>
    <w:rsid w:val="0013372E"/>
    <w:rsid w:val="00136293"/>
    <w:rsid w:val="001362A0"/>
    <w:rsid w:val="001448B1"/>
    <w:rsid w:val="00147E32"/>
    <w:rsid w:val="00177372"/>
    <w:rsid w:val="001A239C"/>
    <w:rsid w:val="001A2DAF"/>
    <w:rsid w:val="001A7C4A"/>
    <w:rsid w:val="001B3B73"/>
    <w:rsid w:val="001B7CDD"/>
    <w:rsid w:val="002030E3"/>
    <w:rsid w:val="0024618E"/>
    <w:rsid w:val="00260049"/>
    <w:rsid w:val="002837F5"/>
    <w:rsid w:val="00286848"/>
    <w:rsid w:val="002956FD"/>
    <w:rsid w:val="002A501B"/>
    <w:rsid w:val="002B22D3"/>
    <w:rsid w:val="002B51C0"/>
    <w:rsid w:val="002C08C0"/>
    <w:rsid w:val="00306F07"/>
    <w:rsid w:val="003139DA"/>
    <w:rsid w:val="00325E61"/>
    <w:rsid w:val="003273A7"/>
    <w:rsid w:val="0034205C"/>
    <w:rsid w:val="0037692E"/>
    <w:rsid w:val="003868E8"/>
    <w:rsid w:val="003A7E66"/>
    <w:rsid w:val="003C314F"/>
    <w:rsid w:val="003D1715"/>
    <w:rsid w:val="003E0A2F"/>
    <w:rsid w:val="003E20D9"/>
    <w:rsid w:val="003E57F0"/>
    <w:rsid w:val="003F5B82"/>
    <w:rsid w:val="004020CB"/>
    <w:rsid w:val="0041437F"/>
    <w:rsid w:val="004151D9"/>
    <w:rsid w:val="00441485"/>
    <w:rsid w:val="0044150E"/>
    <w:rsid w:val="0044210D"/>
    <w:rsid w:val="00442645"/>
    <w:rsid w:val="00453C86"/>
    <w:rsid w:val="0048462C"/>
    <w:rsid w:val="004D5D12"/>
    <w:rsid w:val="0050011D"/>
    <w:rsid w:val="0051395B"/>
    <w:rsid w:val="00515D1E"/>
    <w:rsid w:val="00522D26"/>
    <w:rsid w:val="00547E81"/>
    <w:rsid w:val="00565775"/>
    <w:rsid w:val="00565C51"/>
    <w:rsid w:val="005756D5"/>
    <w:rsid w:val="00580CD7"/>
    <w:rsid w:val="00585BCD"/>
    <w:rsid w:val="00597DDB"/>
    <w:rsid w:val="005C02B3"/>
    <w:rsid w:val="005E7152"/>
    <w:rsid w:val="005E78FB"/>
    <w:rsid w:val="00613BA8"/>
    <w:rsid w:val="00621EAF"/>
    <w:rsid w:val="00623A95"/>
    <w:rsid w:val="006305DF"/>
    <w:rsid w:val="00672D8E"/>
    <w:rsid w:val="00677952"/>
    <w:rsid w:val="00680FC4"/>
    <w:rsid w:val="006900BF"/>
    <w:rsid w:val="00693673"/>
    <w:rsid w:val="006A6D32"/>
    <w:rsid w:val="006B1AA3"/>
    <w:rsid w:val="006B25B3"/>
    <w:rsid w:val="006B457D"/>
    <w:rsid w:val="006D62BF"/>
    <w:rsid w:val="006E5565"/>
    <w:rsid w:val="00702406"/>
    <w:rsid w:val="00707041"/>
    <w:rsid w:val="00756EF3"/>
    <w:rsid w:val="007579C7"/>
    <w:rsid w:val="007711E3"/>
    <w:rsid w:val="007B1294"/>
    <w:rsid w:val="007E4644"/>
    <w:rsid w:val="00802C46"/>
    <w:rsid w:val="0085055B"/>
    <w:rsid w:val="0085625B"/>
    <w:rsid w:val="00863377"/>
    <w:rsid w:val="0088007E"/>
    <w:rsid w:val="008954C8"/>
    <w:rsid w:val="008B13EE"/>
    <w:rsid w:val="008C1447"/>
    <w:rsid w:val="008C6D6F"/>
    <w:rsid w:val="008E299C"/>
    <w:rsid w:val="008E2A75"/>
    <w:rsid w:val="008E662B"/>
    <w:rsid w:val="008F4A07"/>
    <w:rsid w:val="00900453"/>
    <w:rsid w:val="009301F7"/>
    <w:rsid w:val="00942E3B"/>
    <w:rsid w:val="00967926"/>
    <w:rsid w:val="00974E20"/>
    <w:rsid w:val="00990C8F"/>
    <w:rsid w:val="009B0FA5"/>
    <w:rsid w:val="009B1CD9"/>
    <w:rsid w:val="009C37EC"/>
    <w:rsid w:val="009E69BB"/>
    <w:rsid w:val="00A07306"/>
    <w:rsid w:val="00A223F1"/>
    <w:rsid w:val="00A440A7"/>
    <w:rsid w:val="00A53E80"/>
    <w:rsid w:val="00A64523"/>
    <w:rsid w:val="00A83BE9"/>
    <w:rsid w:val="00A921A4"/>
    <w:rsid w:val="00A94556"/>
    <w:rsid w:val="00A9479F"/>
    <w:rsid w:val="00AF326E"/>
    <w:rsid w:val="00B05CB1"/>
    <w:rsid w:val="00B103EE"/>
    <w:rsid w:val="00B167D5"/>
    <w:rsid w:val="00B20E20"/>
    <w:rsid w:val="00B909C7"/>
    <w:rsid w:val="00BC24F7"/>
    <w:rsid w:val="00BC616F"/>
    <w:rsid w:val="00BC6BAE"/>
    <w:rsid w:val="00BD6224"/>
    <w:rsid w:val="00BE2CC1"/>
    <w:rsid w:val="00BF743A"/>
    <w:rsid w:val="00C0068C"/>
    <w:rsid w:val="00C104C9"/>
    <w:rsid w:val="00C14AFF"/>
    <w:rsid w:val="00C15454"/>
    <w:rsid w:val="00C17025"/>
    <w:rsid w:val="00C24F05"/>
    <w:rsid w:val="00C343D0"/>
    <w:rsid w:val="00C47B49"/>
    <w:rsid w:val="00C57659"/>
    <w:rsid w:val="00C57F34"/>
    <w:rsid w:val="00CA67A6"/>
    <w:rsid w:val="00CD6145"/>
    <w:rsid w:val="00CE5428"/>
    <w:rsid w:val="00CE6C07"/>
    <w:rsid w:val="00D067D9"/>
    <w:rsid w:val="00D374E5"/>
    <w:rsid w:val="00D4664D"/>
    <w:rsid w:val="00D46695"/>
    <w:rsid w:val="00D82CA9"/>
    <w:rsid w:val="00D9254A"/>
    <w:rsid w:val="00DD7D8F"/>
    <w:rsid w:val="00DE5C19"/>
    <w:rsid w:val="00DE61CC"/>
    <w:rsid w:val="00E050DE"/>
    <w:rsid w:val="00E12DF3"/>
    <w:rsid w:val="00E15F4E"/>
    <w:rsid w:val="00E17464"/>
    <w:rsid w:val="00E25474"/>
    <w:rsid w:val="00E34E11"/>
    <w:rsid w:val="00E36EAC"/>
    <w:rsid w:val="00E55F85"/>
    <w:rsid w:val="00E70ECF"/>
    <w:rsid w:val="00E80D63"/>
    <w:rsid w:val="00EC3D8C"/>
    <w:rsid w:val="00ED7AA1"/>
    <w:rsid w:val="00EE4723"/>
    <w:rsid w:val="00F02807"/>
    <w:rsid w:val="00F245A3"/>
    <w:rsid w:val="00F56832"/>
    <w:rsid w:val="00F848DD"/>
    <w:rsid w:val="00FD2D90"/>
    <w:rsid w:val="00FF0C7C"/>
    <w:rsid w:val="00FF1C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semiHidden/>
    <w:unhideWhenUsed/>
    <w:rsid w:val="003139DA"/>
    <w:rPr>
      <w:sz w:val="20"/>
      <w:szCs w:val="20"/>
    </w:rPr>
  </w:style>
  <w:style w:type="character" w:customStyle="1" w:styleId="CommentTextChar">
    <w:name w:val="Comment Text Char"/>
    <w:basedOn w:val="DefaultParagraphFont"/>
    <w:link w:val="CommentText"/>
    <w:uiPriority w:val="99"/>
    <w:semiHidden/>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www.ina.h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cp:lastModifiedBy>
  <cp:revision>9</cp:revision>
  <cp:lastPrinted>2021-07-29T11:14:00Z</cp:lastPrinted>
  <dcterms:created xsi:type="dcterms:W3CDTF">2022-07-25T13:16:00Z</dcterms:created>
  <dcterms:modified xsi:type="dcterms:W3CDTF">2022-07-26T09:07:00Z</dcterms:modified>
</cp:coreProperties>
</file>