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8D8BE" w14:textId="50506C0B" w:rsidR="00C0068C" w:rsidRPr="00377C00" w:rsidRDefault="00A72DAC" w:rsidP="00C0068C">
      <w:pPr>
        <w:jc w:val="both"/>
        <w:rPr>
          <w:rFonts w:asciiTheme="minorHAnsi" w:hAnsiTheme="minorHAnsi" w:cstheme="minorHAnsi"/>
        </w:rPr>
      </w:pPr>
      <w:bookmarkStart w:id="0" w:name="_Hlk101870254"/>
      <w:bookmarkEnd w:id="0"/>
      <w:r>
        <w:rPr>
          <w:rFonts w:asciiTheme="minorHAnsi" w:hAnsiTheme="minorHAnsi" w:cstheme="minorHAnsi"/>
        </w:rPr>
        <w:t xml:space="preserve"> </w:t>
      </w:r>
    </w:p>
    <w:p w14:paraId="4F7FB7C1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71B952EF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6DAF8346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014BF65D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5A3710D8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0D8E1E1E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20261634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702E904B" w14:textId="6C95ADD6" w:rsidR="00C0068C" w:rsidRPr="00377C00" w:rsidRDefault="00C0068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377C00">
        <w:rPr>
          <w:rFonts w:asciiTheme="minorHAnsi" w:hAnsiTheme="minorHAnsi" w:cstheme="minorHAnsi"/>
          <w:sz w:val="56"/>
          <w:szCs w:val="56"/>
        </w:rPr>
        <w:t>FINAN</w:t>
      </w:r>
      <w:r w:rsidR="000A4619" w:rsidRPr="00377C00">
        <w:rPr>
          <w:rFonts w:asciiTheme="minorHAnsi" w:hAnsiTheme="minorHAnsi" w:cstheme="minorHAnsi"/>
          <w:sz w:val="56"/>
          <w:szCs w:val="56"/>
        </w:rPr>
        <w:t>CIJSKI REZULTATI</w:t>
      </w:r>
    </w:p>
    <w:p w14:paraId="4562916B" w14:textId="01E7747C" w:rsidR="00C0068C" w:rsidRPr="00377C00" w:rsidRDefault="00C34BDC" w:rsidP="00C0068C">
      <w:pPr>
        <w:jc w:val="center"/>
        <w:rPr>
          <w:rFonts w:asciiTheme="minorHAnsi" w:hAnsiTheme="minorHAnsi" w:cstheme="minorHAnsi"/>
          <w:sz w:val="56"/>
          <w:szCs w:val="56"/>
        </w:rPr>
      </w:pPr>
      <w:r w:rsidRPr="00377C00">
        <w:rPr>
          <w:rFonts w:asciiTheme="minorHAnsi" w:hAnsiTheme="minorHAnsi" w:cstheme="minorHAnsi"/>
          <w:sz w:val="56"/>
          <w:szCs w:val="56"/>
        </w:rPr>
        <w:t>I.</w:t>
      </w:r>
      <w:r w:rsidR="00A72DAC">
        <w:rPr>
          <w:rFonts w:asciiTheme="minorHAnsi" w:hAnsiTheme="minorHAnsi" w:cstheme="minorHAnsi"/>
          <w:sz w:val="56"/>
          <w:szCs w:val="56"/>
        </w:rPr>
        <w:t xml:space="preserve"> </w:t>
      </w:r>
      <w:r w:rsidRPr="00377C00">
        <w:rPr>
          <w:rFonts w:asciiTheme="minorHAnsi" w:hAnsiTheme="minorHAnsi" w:cstheme="minorHAnsi"/>
          <w:sz w:val="56"/>
          <w:szCs w:val="56"/>
        </w:rPr>
        <w:t>-</w:t>
      </w:r>
      <w:r w:rsidR="000B4B2F">
        <w:rPr>
          <w:rFonts w:asciiTheme="minorHAnsi" w:hAnsiTheme="minorHAnsi" w:cstheme="minorHAnsi"/>
          <w:sz w:val="56"/>
          <w:szCs w:val="56"/>
        </w:rPr>
        <w:t xml:space="preserve"> </w:t>
      </w:r>
      <w:r w:rsidR="00FD577C">
        <w:rPr>
          <w:rFonts w:asciiTheme="minorHAnsi" w:hAnsiTheme="minorHAnsi" w:cstheme="minorHAnsi"/>
          <w:sz w:val="56"/>
          <w:szCs w:val="56"/>
        </w:rPr>
        <w:t>V</w:t>
      </w:r>
      <w:r w:rsidRPr="00377C00">
        <w:rPr>
          <w:rFonts w:asciiTheme="minorHAnsi" w:hAnsiTheme="minorHAnsi" w:cstheme="minorHAnsi"/>
          <w:sz w:val="56"/>
          <w:szCs w:val="56"/>
        </w:rPr>
        <w:t>I. 202</w:t>
      </w:r>
      <w:r w:rsidR="00377692" w:rsidRPr="00377C00">
        <w:rPr>
          <w:rFonts w:asciiTheme="minorHAnsi" w:hAnsiTheme="minorHAnsi" w:cstheme="minorHAnsi"/>
          <w:sz w:val="56"/>
          <w:szCs w:val="56"/>
        </w:rPr>
        <w:t>2</w:t>
      </w:r>
      <w:r w:rsidRPr="00377C00">
        <w:rPr>
          <w:rFonts w:asciiTheme="minorHAnsi" w:hAnsiTheme="minorHAnsi" w:cstheme="minorHAnsi"/>
          <w:sz w:val="56"/>
          <w:szCs w:val="56"/>
        </w:rPr>
        <w:t>.</w:t>
      </w:r>
    </w:p>
    <w:p w14:paraId="71719F98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56"/>
          <w:szCs w:val="56"/>
        </w:rPr>
      </w:pPr>
    </w:p>
    <w:p w14:paraId="2F046F60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583171BE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7BE564E1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2A5C0A4B" w14:textId="77777777" w:rsidR="00C0068C" w:rsidRPr="00377C00" w:rsidRDefault="00C0068C" w:rsidP="00C0068C">
      <w:pPr>
        <w:jc w:val="both"/>
        <w:rPr>
          <w:rFonts w:asciiTheme="minorHAnsi" w:hAnsiTheme="minorHAnsi" w:cstheme="minorHAnsi"/>
        </w:rPr>
      </w:pPr>
    </w:p>
    <w:p w14:paraId="30AFA060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A844BC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61D389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FD168C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D56C24B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4686B05" w14:textId="77777777" w:rsidR="00C0068C" w:rsidRPr="00377C00" w:rsidRDefault="00C0068C" w:rsidP="00C0068C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61DD64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Kontakt:</w:t>
      </w:r>
    </w:p>
    <w:p w14:paraId="55772EE7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584F2B22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INA-Industrija nafte, d.d.</w:t>
      </w:r>
    </w:p>
    <w:p w14:paraId="7036A1AC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Korporativne komunikacije i marketing</w:t>
      </w:r>
    </w:p>
    <w:p w14:paraId="7AE53A05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Avenija Većeslava Holjevca 10, Zagreb</w:t>
      </w:r>
    </w:p>
    <w:p w14:paraId="46EFB971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</w:p>
    <w:p w14:paraId="75AA05FB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Odnosi s javnošću</w:t>
      </w:r>
    </w:p>
    <w:p w14:paraId="16B45789" w14:textId="77777777" w:rsidR="000A4619" w:rsidRPr="00377C00" w:rsidRDefault="000A4619" w:rsidP="000A4619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E-mail:  PR@ina.hr</w:t>
      </w:r>
    </w:p>
    <w:p w14:paraId="49EABBD2" w14:textId="27A4D69E" w:rsidR="00C0068C" w:rsidRPr="00377C00" w:rsidRDefault="000A4619" w:rsidP="000A4619">
      <w:pPr>
        <w:jc w:val="both"/>
        <w:rPr>
          <w:rFonts w:asciiTheme="minorHAnsi" w:hAnsiTheme="minorHAnsi" w:cstheme="minorHAnsi"/>
        </w:rPr>
        <w:sectPr w:rsidR="00C0068C" w:rsidRPr="00377C00" w:rsidSect="0039152A">
          <w:headerReference w:type="default" r:id="rId8"/>
          <w:footerReference w:type="default" r:id="rId9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  <w:r w:rsidRPr="00377C00">
        <w:rPr>
          <w:rFonts w:asciiTheme="minorHAnsi" w:hAnsiTheme="minorHAnsi" w:cstheme="minorHAnsi"/>
          <w:color w:val="808080" w:themeColor="background1" w:themeShade="80"/>
          <w:sz w:val="20"/>
          <w:szCs w:val="20"/>
        </w:rPr>
        <w:t>Press centar: www.ina.hr</w:t>
      </w:r>
    </w:p>
    <w:p w14:paraId="4D345249" w14:textId="011BF1EE" w:rsidR="00C0068C" w:rsidRPr="00377C00" w:rsidRDefault="00C0068C" w:rsidP="00C0068C">
      <w:pPr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" w:name="OLE_LINK1"/>
    </w:p>
    <w:p w14:paraId="241C61CD" w14:textId="77777777" w:rsidR="00FD577C" w:rsidRDefault="00FD577C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2" w:name="_Hlk70414134"/>
    </w:p>
    <w:p w14:paraId="32FA417D" w14:textId="3556009A" w:rsidR="00377C00" w:rsidRPr="00377C00" w:rsidRDefault="00522D28" w:rsidP="00C0068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Kapitalna ulaganja udvostručena sa snažnim rezultatima</w:t>
      </w:r>
    </w:p>
    <w:bookmarkEnd w:id="2"/>
    <w:p w14:paraId="5FCC395B" w14:textId="77777777" w:rsidR="00621EAF" w:rsidRPr="00377C00" w:rsidRDefault="00621EAF" w:rsidP="00C0068C">
      <w:pPr>
        <w:jc w:val="center"/>
        <w:rPr>
          <w:rFonts w:asciiTheme="minorHAnsi" w:hAnsiTheme="minorHAnsi" w:cstheme="minorHAnsi"/>
          <w:b/>
          <w:sz w:val="30"/>
          <w:szCs w:val="30"/>
        </w:rPr>
      </w:pPr>
    </w:p>
    <w:p w14:paraId="6A1DD479" w14:textId="78E3E4D7" w:rsidR="00F953F1" w:rsidRPr="00377C00" w:rsidRDefault="00F953F1" w:rsidP="00621EAF">
      <w:pPr>
        <w:pStyle w:val="ListParagraph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>Visoke razine cijena ugljikovodika nastavljene su i odra</w:t>
      </w:r>
      <w:r w:rsidR="00522D28">
        <w:rPr>
          <w:rFonts w:asciiTheme="minorHAnsi" w:hAnsiTheme="minorHAnsi" w:cstheme="minorHAnsi"/>
          <w:b/>
        </w:rPr>
        <w:t>z su</w:t>
      </w:r>
      <w:r w:rsidRPr="00377C00">
        <w:rPr>
          <w:rFonts w:asciiTheme="minorHAnsi" w:hAnsiTheme="minorHAnsi" w:cstheme="minorHAnsi"/>
          <w:b/>
        </w:rPr>
        <w:t xml:space="preserve"> povećan</w:t>
      </w:r>
      <w:r w:rsidR="00522D28">
        <w:rPr>
          <w:rFonts w:asciiTheme="minorHAnsi" w:hAnsiTheme="minorHAnsi" w:cstheme="minorHAnsi"/>
          <w:b/>
        </w:rPr>
        <w:t>og</w:t>
      </w:r>
      <w:r w:rsidRPr="00377C00">
        <w:rPr>
          <w:rFonts w:asciiTheme="minorHAnsi" w:hAnsiTheme="minorHAnsi" w:cstheme="minorHAnsi"/>
          <w:b/>
        </w:rPr>
        <w:t xml:space="preserve"> geopolitičk</w:t>
      </w:r>
      <w:r w:rsidR="00522D28">
        <w:rPr>
          <w:rFonts w:asciiTheme="minorHAnsi" w:hAnsiTheme="minorHAnsi" w:cstheme="minorHAnsi"/>
          <w:b/>
        </w:rPr>
        <w:t>og</w:t>
      </w:r>
      <w:r w:rsidRPr="00377C00">
        <w:rPr>
          <w:rFonts w:asciiTheme="minorHAnsi" w:hAnsiTheme="minorHAnsi" w:cstheme="minorHAnsi"/>
          <w:b/>
        </w:rPr>
        <w:t xml:space="preserve"> rizik</w:t>
      </w:r>
      <w:r w:rsidR="00522D28">
        <w:rPr>
          <w:rFonts w:asciiTheme="minorHAnsi" w:hAnsiTheme="minorHAnsi" w:cstheme="minorHAnsi"/>
          <w:b/>
        </w:rPr>
        <w:t>a</w:t>
      </w:r>
      <w:r w:rsidRPr="00377C00">
        <w:rPr>
          <w:rFonts w:asciiTheme="minorHAnsi" w:hAnsiTheme="minorHAnsi" w:cstheme="minorHAnsi"/>
          <w:b/>
        </w:rPr>
        <w:t xml:space="preserve"> i neizvjesnost</w:t>
      </w:r>
      <w:r w:rsidR="00522D28">
        <w:rPr>
          <w:rFonts w:asciiTheme="minorHAnsi" w:hAnsiTheme="minorHAnsi" w:cstheme="minorHAnsi"/>
          <w:b/>
        </w:rPr>
        <w:t>i</w:t>
      </w:r>
      <w:r w:rsidRPr="00377C00">
        <w:rPr>
          <w:rFonts w:asciiTheme="minorHAnsi" w:hAnsiTheme="minorHAnsi" w:cstheme="minorHAnsi"/>
          <w:b/>
        </w:rPr>
        <w:t xml:space="preserve"> </w:t>
      </w:r>
      <w:r w:rsidR="00522D28">
        <w:rPr>
          <w:rFonts w:asciiTheme="minorHAnsi" w:hAnsiTheme="minorHAnsi" w:cstheme="minorHAnsi"/>
          <w:b/>
        </w:rPr>
        <w:t>koji utječu</w:t>
      </w:r>
      <w:r w:rsidRPr="00377C00">
        <w:rPr>
          <w:rFonts w:asciiTheme="minorHAnsi" w:hAnsiTheme="minorHAnsi" w:cstheme="minorHAnsi"/>
          <w:b/>
        </w:rPr>
        <w:t xml:space="preserve"> na globalna energetska tržišta.</w:t>
      </w:r>
    </w:p>
    <w:p w14:paraId="338DBB72" w14:textId="77777777" w:rsidR="00621EAF" w:rsidRPr="00377C00" w:rsidRDefault="00621EAF" w:rsidP="00621EAF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2C5C3092" w14:textId="2F604186" w:rsidR="00F953F1" w:rsidRPr="00377C00" w:rsidRDefault="00F953F1" w:rsidP="00A974B3">
      <w:pPr>
        <w:pStyle w:val="ListParagraph"/>
        <w:numPr>
          <w:ilvl w:val="0"/>
          <w:numId w:val="2"/>
        </w:numPr>
        <w:spacing w:after="120"/>
        <w:ind w:hanging="357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 xml:space="preserve">U takvom okruženju, rezultati pokazuju snažnu CCS EBITDA-u za prvo </w:t>
      </w:r>
      <w:r w:rsidR="00522D28">
        <w:rPr>
          <w:rFonts w:asciiTheme="minorHAnsi" w:hAnsiTheme="minorHAnsi" w:cstheme="minorHAnsi"/>
          <w:b/>
        </w:rPr>
        <w:t>polugodište</w:t>
      </w:r>
      <w:r w:rsidRPr="00377C00">
        <w:rPr>
          <w:rFonts w:asciiTheme="minorHAnsi" w:hAnsiTheme="minorHAnsi" w:cstheme="minorHAnsi"/>
          <w:b/>
        </w:rPr>
        <w:t xml:space="preserve"> 2022. </w:t>
      </w:r>
    </w:p>
    <w:p w14:paraId="0A0926CE" w14:textId="77777777" w:rsidR="00621EAF" w:rsidRPr="00377C00" w:rsidRDefault="00621EAF" w:rsidP="00621EAF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1FF4B314" w14:textId="546EFBDA" w:rsidR="00F953F1" w:rsidRPr="00377C00" w:rsidRDefault="00F953F1" w:rsidP="00F953F1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>Prihodi Istraživanja i proizvodnje nafte i plina i EBITDA udvostručeni</w:t>
      </w:r>
      <w:r w:rsidR="00522D28">
        <w:rPr>
          <w:rFonts w:asciiTheme="minorHAnsi" w:hAnsiTheme="minorHAnsi" w:cstheme="minorHAnsi"/>
          <w:b/>
        </w:rPr>
        <w:t xml:space="preserve"> su</w:t>
      </w:r>
      <w:r w:rsidRPr="00377C00">
        <w:rPr>
          <w:rFonts w:asciiTheme="minorHAnsi" w:hAnsiTheme="minorHAnsi" w:cstheme="minorHAnsi"/>
          <w:b/>
        </w:rPr>
        <w:t xml:space="preserve">, značajno kompenzirajući učinak očekivanog prirodnog pada proizvodnje. </w:t>
      </w:r>
    </w:p>
    <w:p w14:paraId="3A471B8D" w14:textId="77777777" w:rsidR="0028546A" w:rsidRPr="00377C00" w:rsidRDefault="0028546A" w:rsidP="0028546A">
      <w:pPr>
        <w:pStyle w:val="ListParagraph"/>
        <w:spacing w:after="120"/>
        <w:ind w:left="360"/>
        <w:jc w:val="both"/>
        <w:rPr>
          <w:rFonts w:asciiTheme="minorHAnsi" w:hAnsiTheme="minorHAnsi" w:cstheme="minorHAnsi"/>
          <w:b/>
        </w:rPr>
      </w:pPr>
    </w:p>
    <w:p w14:paraId="67BFF5BB" w14:textId="18E72BBF" w:rsidR="0028546A" w:rsidRPr="00377C00" w:rsidRDefault="0028546A" w:rsidP="0028546A">
      <w:pPr>
        <w:pStyle w:val="ListParagraph"/>
        <w:numPr>
          <w:ilvl w:val="0"/>
          <w:numId w:val="2"/>
        </w:numPr>
        <w:spacing w:after="120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 xml:space="preserve">Intenzivirane su investicijske aktivnosti, a kapitalna ulaganja </w:t>
      </w:r>
      <w:r w:rsidR="00522D28">
        <w:rPr>
          <w:rFonts w:asciiTheme="minorHAnsi" w:hAnsiTheme="minorHAnsi" w:cstheme="minorHAnsi"/>
          <w:b/>
        </w:rPr>
        <w:t>udvostručena su</w:t>
      </w:r>
      <w:r w:rsidRPr="00377C00">
        <w:rPr>
          <w:rFonts w:asciiTheme="minorHAnsi" w:hAnsiTheme="minorHAnsi" w:cstheme="minorHAnsi"/>
          <w:b/>
        </w:rPr>
        <w:t xml:space="preserve"> u odnosu na prvo </w:t>
      </w:r>
      <w:r w:rsidR="00522D28">
        <w:rPr>
          <w:rFonts w:asciiTheme="minorHAnsi" w:hAnsiTheme="minorHAnsi" w:cstheme="minorHAnsi"/>
          <w:b/>
        </w:rPr>
        <w:t>polugodište</w:t>
      </w:r>
      <w:r w:rsidRPr="00377C00">
        <w:rPr>
          <w:rFonts w:asciiTheme="minorHAnsi" w:hAnsiTheme="minorHAnsi" w:cstheme="minorHAnsi"/>
          <w:b/>
        </w:rPr>
        <w:t xml:space="preserve"> 2021.</w:t>
      </w:r>
      <w:r w:rsidR="00522D28">
        <w:rPr>
          <w:rFonts w:asciiTheme="minorHAnsi" w:hAnsiTheme="minorHAnsi" w:cstheme="minorHAnsi"/>
          <w:b/>
        </w:rPr>
        <w:t xml:space="preserve"> i iznose 1,3 milijarde kuna</w:t>
      </w:r>
      <w:r w:rsidRPr="00377C00">
        <w:rPr>
          <w:rFonts w:asciiTheme="minorHAnsi" w:hAnsiTheme="minorHAnsi" w:cstheme="minorHAnsi"/>
          <w:b/>
        </w:rPr>
        <w:t>:</w:t>
      </w:r>
    </w:p>
    <w:p w14:paraId="53093799" w14:textId="77777777" w:rsidR="0028546A" w:rsidRPr="00377C00" w:rsidRDefault="0028546A" w:rsidP="0028546A">
      <w:pPr>
        <w:pStyle w:val="ListParagraph"/>
        <w:spacing w:after="120"/>
        <w:ind w:left="360"/>
        <w:jc w:val="both"/>
        <w:rPr>
          <w:rFonts w:asciiTheme="minorHAnsi" w:hAnsiTheme="minorHAnsi" w:cstheme="minorHAnsi"/>
          <w:bCs/>
        </w:rPr>
      </w:pPr>
    </w:p>
    <w:p w14:paraId="1B173A77" w14:textId="2854C90A" w:rsidR="0028546A" w:rsidRPr="00377C00" w:rsidRDefault="0028546A" w:rsidP="0028546A">
      <w:pPr>
        <w:pStyle w:val="ListParagraph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Cs/>
        </w:rPr>
      </w:pPr>
      <w:r w:rsidRPr="00377C00">
        <w:rPr>
          <w:rFonts w:asciiTheme="minorHAnsi" w:hAnsiTheme="minorHAnsi" w:cstheme="minorHAnsi"/>
          <w:bCs/>
        </w:rPr>
        <w:t xml:space="preserve">Projekt nadogradnje Rafinerije Rijeka, kao glavna strateška investicija, nastavlja s građevinskim radovima i isporukom opreme na lokaciju. </w:t>
      </w:r>
    </w:p>
    <w:p w14:paraId="57B15913" w14:textId="77777777" w:rsidR="0028546A" w:rsidRPr="00377C00" w:rsidRDefault="0028546A" w:rsidP="0028546A">
      <w:pPr>
        <w:pStyle w:val="ListParagraph"/>
        <w:spacing w:after="120"/>
        <w:ind w:left="1080"/>
        <w:jc w:val="both"/>
        <w:rPr>
          <w:rFonts w:asciiTheme="minorHAnsi" w:hAnsiTheme="minorHAnsi" w:cstheme="minorHAnsi"/>
          <w:bCs/>
        </w:rPr>
      </w:pPr>
    </w:p>
    <w:p w14:paraId="701F1353" w14:textId="457716C2" w:rsidR="00522D28" w:rsidRDefault="00522D28" w:rsidP="0028546A">
      <w:pPr>
        <w:pStyle w:val="ListParagraph"/>
        <w:numPr>
          <w:ilvl w:val="1"/>
          <w:numId w:val="2"/>
        </w:numPr>
        <w:spacing w:after="12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Brojne razradne aktivnosti Istraživanja i proizvodnje u Hrvatskoj, na </w:t>
      </w:r>
      <w:proofErr w:type="spellStart"/>
      <w:r>
        <w:rPr>
          <w:rFonts w:asciiTheme="minorHAnsi" w:hAnsiTheme="minorHAnsi" w:cstheme="minorHAnsi"/>
          <w:bCs/>
        </w:rPr>
        <w:t>odobalju</w:t>
      </w:r>
      <w:proofErr w:type="spellEnd"/>
      <w:r>
        <w:rPr>
          <w:rFonts w:asciiTheme="minorHAnsi" w:hAnsiTheme="minorHAnsi" w:cstheme="minorHAnsi"/>
          <w:bCs/>
        </w:rPr>
        <w:t xml:space="preserve"> i kopnu.</w:t>
      </w:r>
    </w:p>
    <w:p w14:paraId="37144701" w14:textId="77777777" w:rsidR="00F953F1" w:rsidRPr="00377C00" w:rsidRDefault="00F953F1" w:rsidP="0028546A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6D967194" w14:textId="77777777" w:rsidR="00621EAF" w:rsidRPr="00377C00" w:rsidRDefault="00621EAF" w:rsidP="00621EAF">
      <w:pPr>
        <w:pStyle w:val="ListParagraph"/>
        <w:spacing w:after="120"/>
        <w:ind w:left="363"/>
        <w:jc w:val="both"/>
        <w:rPr>
          <w:rFonts w:asciiTheme="minorHAnsi" w:hAnsiTheme="minorHAnsi" w:cstheme="minorHAnsi"/>
          <w:b/>
        </w:rPr>
      </w:pPr>
    </w:p>
    <w:p w14:paraId="123AA7C6" w14:textId="1B2DBD44" w:rsidR="00C0068C" w:rsidRPr="00377C00" w:rsidRDefault="0028546A" w:rsidP="00F848DD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>Ključn</w:t>
      </w:r>
      <w:r w:rsidR="00886BC9">
        <w:rPr>
          <w:rFonts w:asciiTheme="minorHAnsi" w:hAnsiTheme="minorHAnsi" w:cstheme="minorHAnsi"/>
          <w:b/>
        </w:rPr>
        <w:t>i podaci</w:t>
      </w:r>
      <w:r w:rsidR="00C0068C" w:rsidRPr="00377C00">
        <w:rPr>
          <w:rFonts w:asciiTheme="minorHAnsi" w:hAnsiTheme="minorHAnsi" w:cstheme="minorHAnsi"/>
          <w:b/>
        </w:rPr>
        <w:t>:</w:t>
      </w:r>
    </w:p>
    <w:p w14:paraId="6F4302D6" w14:textId="4EE24CFE" w:rsidR="00C0068C" w:rsidRPr="00377C00" w:rsidRDefault="00C0068C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77C00">
        <w:rPr>
          <w:rFonts w:asciiTheme="minorHAnsi" w:hAnsiTheme="minorHAnsi" w:cstheme="minorHAnsi"/>
          <w:b/>
          <w:bCs/>
        </w:rPr>
        <w:t>Net</w:t>
      </w:r>
      <w:r w:rsidR="0028546A" w:rsidRPr="00377C00">
        <w:rPr>
          <w:rFonts w:asciiTheme="minorHAnsi" w:hAnsiTheme="minorHAnsi" w:cstheme="minorHAnsi"/>
          <w:b/>
          <w:bCs/>
        </w:rPr>
        <w:t>o prihod od prodaje iznosio je</w:t>
      </w:r>
      <w:r w:rsidRPr="00377C00">
        <w:rPr>
          <w:rFonts w:asciiTheme="minorHAnsi" w:hAnsiTheme="minorHAnsi" w:cstheme="minorHAnsi"/>
          <w:b/>
          <w:bCs/>
        </w:rPr>
        <w:t xml:space="preserve"> </w:t>
      </w:r>
      <w:r w:rsidR="00886BC9">
        <w:rPr>
          <w:rFonts w:asciiTheme="minorHAnsi" w:hAnsiTheme="minorHAnsi" w:cstheme="minorHAnsi"/>
          <w:b/>
          <w:bCs/>
        </w:rPr>
        <w:t>15,6</w:t>
      </w:r>
      <w:r w:rsidRPr="00377C00">
        <w:rPr>
          <w:rFonts w:asciiTheme="minorHAnsi" w:hAnsiTheme="minorHAnsi" w:cstheme="minorHAnsi"/>
          <w:b/>
          <w:bCs/>
        </w:rPr>
        <w:t xml:space="preserve"> </w:t>
      </w:r>
      <w:r w:rsidR="0028546A" w:rsidRPr="00377C00">
        <w:rPr>
          <w:rFonts w:asciiTheme="minorHAnsi" w:hAnsiTheme="minorHAnsi" w:cstheme="minorHAnsi"/>
          <w:b/>
          <w:bCs/>
        </w:rPr>
        <w:t>milijardi kuna</w:t>
      </w:r>
    </w:p>
    <w:p w14:paraId="24E534B6" w14:textId="4388FB8F" w:rsidR="005B3C95" w:rsidRDefault="002C08C0" w:rsidP="00C006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77C00">
        <w:rPr>
          <w:rFonts w:asciiTheme="minorHAnsi" w:hAnsiTheme="minorHAnsi" w:cstheme="minorHAnsi"/>
          <w:b/>
          <w:bCs/>
        </w:rPr>
        <w:t>EBIT</w:t>
      </w:r>
      <w:r w:rsidR="00C0068C" w:rsidRPr="00377C00">
        <w:rPr>
          <w:rFonts w:asciiTheme="minorHAnsi" w:hAnsiTheme="minorHAnsi" w:cstheme="minorHAnsi"/>
          <w:b/>
          <w:bCs/>
        </w:rPr>
        <w:t xml:space="preserve">DA </w:t>
      </w:r>
      <w:r w:rsidR="005B3C95" w:rsidRPr="00377C00">
        <w:rPr>
          <w:rFonts w:asciiTheme="minorHAnsi" w:hAnsiTheme="minorHAnsi" w:cstheme="minorHAnsi"/>
          <w:b/>
          <w:bCs/>
        </w:rPr>
        <w:t xml:space="preserve">je iznosila </w:t>
      </w:r>
      <w:r w:rsidR="00886BC9">
        <w:rPr>
          <w:rFonts w:asciiTheme="minorHAnsi" w:hAnsiTheme="minorHAnsi" w:cstheme="minorHAnsi"/>
          <w:b/>
          <w:bCs/>
        </w:rPr>
        <w:t>gotovo</w:t>
      </w:r>
      <w:r w:rsidR="005B3C95" w:rsidRPr="00377C00">
        <w:rPr>
          <w:rFonts w:asciiTheme="minorHAnsi" w:hAnsiTheme="minorHAnsi" w:cstheme="minorHAnsi"/>
          <w:b/>
          <w:bCs/>
        </w:rPr>
        <w:t xml:space="preserve"> </w:t>
      </w:r>
      <w:r w:rsidR="00886BC9">
        <w:rPr>
          <w:rFonts w:asciiTheme="minorHAnsi" w:hAnsiTheme="minorHAnsi" w:cstheme="minorHAnsi"/>
          <w:b/>
          <w:bCs/>
        </w:rPr>
        <w:t>2</w:t>
      </w:r>
      <w:r w:rsidR="005B3C95" w:rsidRPr="00377C00">
        <w:rPr>
          <w:rFonts w:asciiTheme="minorHAnsi" w:hAnsiTheme="minorHAnsi" w:cstheme="minorHAnsi"/>
          <w:b/>
          <w:bCs/>
        </w:rPr>
        <w:t>,</w:t>
      </w:r>
      <w:r w:rsidR="00886BC9">
        <w:rPr>
          <w:rFonts w:asciiTheme="minorHAnsi" w:hAnsiTheme="minorHAnsi" w:cstheme="minorHAnsi"/>
          <w:b/>
          <w:bCs/>
        </w:rPr>
        <w:t>8</w:t>
      </w:r>
      <w:r w:rsidR="005B3C95" w:rsidRPr="00377C00">
        <w:rPr>
          <w:rFonts w:asciiTheme="minorHAnsi" w:hAnsiTheme="minorHAnsi" w:cstheme="minorHAnsi"/>
          <w:b/>
          <w:bCs/>
        </w:rPr>
        <w:t xml:space="preserve"> milijard</w:t>
      </w:r>
      <w:r w:rsidR="00886BC9">
        <w:rPr>
          <w:rFonts w:asciiTheme="minorHAnsi" w:hAnsiTheme="minorHAnsi" w:cstheme="minorHAnsi"/>
          <w:b/>
          <w:bCs/>
        </w:rPr>
        <w:t>i</w:t>
      </w:r>
      <w:r w:rsidR="005B3C95" w:rsidRPr="00377C00">
        <w:rPr>
          <w:rFonts w:asciiTheme="minorHAnsi" w:hAnsiTheme="minorHAnsi" w:cstheme="minorHAnsi"/>
          <w:b/>
          <w:bCs/>
        </w:rPr>
        <w:t xml:space="preserve"> kuna</w:t>
      </w:r>
    </w:p>
    <w:p w14:paraId="6276F456" w14:textId="0E1A2B26" w:rsidR="004A180B" w:rsidRPr="00E82B37" w:rsidRDefault="005B3C95" w:rsidP="00E82B37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4A180B">
        <w:rPr>
          <w:rFonts w:asciiTheme="minorHAnsi" w:hAnsiTheme="minorHAnsi" w:cstheme="minorHAnsi"/>
          <w:b/>
          <w:bCs/>
        </w:rPr>
        <w:t xml:space="preserve">Kapitalna ulaganja </w:t>
      </w:r>
      <w:r w:rsidR="004A180B" w:rsidRPr="004A180B">
        <w:rPr>
          <w:rFonts w:asciiTheme="minorHAnsi" w:hAnsiTheme="minorHAnsi" w:cstheme="minorHAnsi"/>
          <w:b/>
          <w:bCs/>
        </w:rPr>
        <w:t>više su n</w:t>
      </w:r>
      <w:r w:rsidR="00E82B37">
        <w:rPr>
          <w:rFonts w:asciiTheme="minorHAnsi" w:hAnsiTheme="minorHAnsi" w:cstheme="minorHAnsi"/>
          <w:b/>
          <w:bCs/>
        </w:rPr>
        <w:t>ego</w:t>
      </w:r>
      <w:r w:rsidR="004A180B" w:rsidRPr="004A180B">
        <w:rPr>
          <w:rFonts w:asciiTheme="minorHAnsi" w:hAnsiTheme="minorHAnsi" w:cstheme="minorHAnsi"/>
          <w:b/>
          <w:bCs/>
        </w:rPr>
        <w:t xml:space="preserve"> </w:t>
      </w:r>
      <w:r w:rsidR="00886BC9" w:rsidRPr="004A180B">
        <w:rPr>
          <w:rFonts w:asciiTheme="minorHAnsi" w:hAnsiTheme="minorHAnsi" w:cstheme="minorHAnsi"/>
          <w:b/>
          <w:bCs/>
        </w:rPr>
        <w:t xml:space="preserve">udvostručena </w:t>
      </w:r>
      <w:r w:rsidRPr="004A180B">
        <w:rPr>
          <w:rFonts w:asciiTheme="minorHAnsi" w:hAnsiTheme="minorHAnsi" w:cstheme="minorHAnsi"/>
          <w:b/>
          <w:bCs/>
        </w:rPr>
        <w:t>u odnosu na isto razdoblje lani, na</w:t>
      </w:r>
      <w:r w:rsidR="00C0068C" w:rsidRPr="004A180B">
        <w:rPr>
          <w:rFonts w:asciiTheme="minorHAnsi" w:hAnsiTheme="minorHAnsi" w:cstheme="minorHAnsi"/>
          <w:b/>
          <w:bCs/>
        </w:rPr>
        <w:t xml:space="preserve"> </w:t>
      </w:r>
      <w:r w:rsidR="00886BC9" w:rsidRPr="004A180B">
        <w:rPr>
          <w:rFonts w:asciiTheme="minorHAnsi" w:hAnsiTheme="minorHAnsi" w:cstheme="minorHAnsi"/>
          <w:b/>
          <w:bCs/>
        </w:rPr>
        <w:t xml:space="preserve">1,3 milijarde </w:t>
      </w:r>
      <w:r w:rsidRPr="004A180B">
        <w:rPr>
          <w:rFonts w:asciiTheme="minorHAnsi" w:hAnsiTheme="minorHAnsi" w:cstheme="minorHAnsi"/>
          <w:b/>
          <w:bCs/>
        </w:rPr>
        <w:t>kuna</w:t>
      </w:r>
    </w:p>
    <w:p w14:paraId="1015013A" w14:textId="77777777" w:rsidR="00E82B37" w:rsidRPr="00E82B37" w:rsidRDefault="00E82B37" w:rsidP="00E82B37">
      <w:pPr>
        <w:pStyle w:val="ListParagraph"/>
        <w:ind w:left="1418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0113F72D" w14:textId="30CDCE7A" w:rsidR="00C0068C" w:rsidRPr="004A180B" w:rsidRDefault="004A180B" w:rsidP="00E82B37">
      <w:pPr>
        <w:pStyle w:val="ListParagraph"/>
        <w:numPr>
          <w:ilvl w:val="0"/>
          <w:numId w:val="1"/>
        </w:numPr>
        <w:ind w:left="1775" w:hanging="357"/>
        <w:jc w:val="both"/>
        <w:rPr>
          <w:rFonts w:asciiTheme="minorHAnsi" w:hAnsiTheme="minorHAnsi" w:cstheme="minorHAnsi"/>
          <w:b/>
        </w:rPr>
      </w:pPr>
      <w:r w:rsidRPr="004A180B">
        <w:rPr>
          <w:rFonts w:asciiTheme="minorHAnsi" w:hAnsiTheme="minorHAnsi" w:cstheme="minorHAnsi"/>
          <w:b/>
          <w:bCs/>
        </w:rPr>
        <w:t>Unatoč snažnom rezultatu, operativni novčani tijek iznosio je -635 milijuna kuna, zbog pojačanih kapitalnih ulaganja i visokih cijena nafte i plina na tržištu</w:t>
      </w:r>
    </w:p>
    <w:p w14:paraId="66333CB6" w14:textId="3F4B8AF0" w:rsidR="006D62BF" w:rsidRPr="00377C00" w:rsidRDefault="006D62BF" w:rsidP="00D374E5">
      <w:pPr>
        <w:spacing w:after="120"/>
        <w:jc w:val="both"/>
        <w:rPr>
          <w:rFonts w:asciiTheme="minorHAnsi" w:hAnsiTheme="minorHAnsi" w:cstheme="minorHAnsi"/>
          <w:b/>
        </w:rPr>
      </w:pPr>
    </w:p>
    <w:p w14:paraId="501DF37A" w14:textId="77777777" w:rsidR="00B05CB1" w:rsidRPr="00377C00" w:rsidRDefault="00B05CB1" w:rsidP="00D374E5">
      <w:pPr>
        <w:spacing w:after="120"/>
        <w:jc w:val="both"/>
        <w:rPr>
          <w:rFonts w:asciiTheme="minorHAnsi" w:hAnsiTheme="minorHAnsi" w:cstheme="minorHAnsi"/>
          <w:b/>
        </w:rPr>
      </w:pPr>
    </w:p>
    <w:p w14:paraId="074135F8" w14:textId="1CF60AA7" w:rsidR="006D62BF" w:rsidRDefault="006D62BF" w:rsidP="00D374E5">
      <w:pPr>
        <w:spacing w:after="120"/>
        <w:jc w:val="both"/>
        <w:rPr>
          <w:rFonts w:asciiTheme="minorHAnsi" w:hAnsiTheme="minorHAnsi" w:cstheme="minorHAnsi"/>
          <w:b/>
        </w:rPr>
      </w:pPr>
    </w:p>
    <w:p w14:paraId="26037334" w14:textId="6D676954" w:rsidR="00E82B37" w:rsidRDefault="00E82B37" w:rsidP="00D374E5">
      <w:pPr>
        <w:spacing w:after="120"/>
        <w:jc w:val="both"/>
        <w:rPr>
          <w:rFonts w:asciiTheme="minorHAnsi" w:hAnsiTheme="minorHAnsi" w:cstheme="minorHAnsi"/>
          <w:b/>
        </w:rPr>
      </w:pPr>
    </w:p>
    <w:p w14:paraId="3340BABF" w14:textId="5548F559" w:rsidR="00E82B37" w:rsidRDefault="00E82B37" w:rsidP="00D374E5">
      <w:pPr>
        <w:spacing w:after="120"/>
        <w:jc w:val="both"/>
        <w:rPr>
          <w:rFonts w:asciiTheme="minorHAnsi" w:hAnsiTheme="minorHAnsi" w:cstheme="minorHAnsi"/>
          <w:b/>
        </w:rPr>
      </w:pPr>
    </w:p>
    <w:p w14:paraId="5DBD5726" w14:textId="3B19A9B0" w:rsidR="00F6770C" w:rsidRPr="00F6770C" w:rsidRDefault="00DC5BEF" w:rsidP="00F6770C">
      <w:pPr>
        <w:spacing w:after="120"/>
        <w:jc w:val="both"/>
        <w:rPr>
          <w:rFonts w:asciiTheme="minorHAnsi" w:hAnsiTheme="minorHAnsi" w:cstheme="minorHAnsi"/>
          <w:bCs/>
        </w:rPr>
      </w:pPr>
      <w:r w:rsidRPr="00377C00">
        <w:rPr>
          <w:rFonts w:asciiTheme="minorHAnsi" w:hAnsiTheme="minorHAnsi" w:cstheme="minorHAnsi"/>
          <w:b/>
        </w:rPr>
        <w:lastRenderedPageBreak/>
        <w:t>Zagreb, 2</w:t>
      </w:r>
      <w:r w:rsidR="00FD577C">
        <w:rPr>
          <w:rFonts w:asciiTheme="minorHAnsi" w:hAnsiTheme="minorHAnsi" w:cstheme="minorHAnsi"/>
          <w:b/>
        </w:rPr>
        <w:t>9</w:t>
      </w:r>
      <w:r w:rsidRPr="00377C00">
        <w:rPr>
          <w:rFonts w:asciiTheme="minorHAnsi" w:hAnsiTheme="minorHAnsi" w:cstheme="minorHAnsi"/>
          <w:b/>
        </w:rPr>
        <w:t xml:space="preserve">. </w:t>
      </w:r>
      <w:r w:rsidR="00FD577C">
        <w:rPr>
          <w:rFonts w:asciiTheme="minorHAnsi" w:hAnsiTheme="minorHAnsi" w:cstheme="minorHAnsi"/>
          <w:b/>
        </w:rPr>
        <w:t>srpnja</w:t>
      </w:r>
      <w:r w:rsidRPr="00377C00">
        <w:rPr>
          <w:rFonts w:asciiTheme="minorHAnsi" w:hAnsiTheme="minorHAnsi" w:cstheme="minorHAnsi"/>
          <w:b/>
        </w:rPr>
        <w:t xml:space="preserve"> 2022. –</w:t>
      </w:r>
      <w:r w:rsidRPr="00377C00">
        <w:rPr>
          <w:rFonts w:asciiTheme="minorHAnsi" w:hAnsiTheme="minorHAnsi" w:cstheme="minorHAnsi"/>
          <w:bCs/>
        </w:rPr>
        <w:t xml:space="preserve"> </w:t>
      </w:r>
      <w:r w:rsidR="00F6770C" w:rsidRPr="00F6770C">
        <w:rPr>
          <w:rFonts w:asciiTheme="minorHAnsi" w:hAnsiTheme="minorHAnsi" w:cstheme="minorHAnsi"/>
          <w:bCs/>
        </w:rPr>
        <w:t>Uslijed geopolitičkih rizika i nesigurnosti u opskrbi, svjetska tržišta energije nastavljaju biti obilježena visokim cijenama, pri čemu razina cijene nafte tipa Brent prelazi 100 dolara za barel, a cijena plina CEGH premašuje 100 EUR/MWh u drugom tromjesečju 2022.</w:t>
      </w:r>
    </w:p>
    <w:p w14:paraId="43C52572" w14:textId="3317C944" w:rsidR="00F6770C" w:rsidRPr="00F6770C" w:rsidRDefault="00F6770C" w:rsidP="00F6770C">
      <w:pPr>
        <w:spacing w:after="120"/>
        <w:jc w:val="both"/>
        <w:rPr>
          <w:rFonts w:asciiTheme="minorHAnsi" w:hAnsiTheme="minorHAnsi" w:cstheme="minorHAnsi"/>
          <w:bCs/>
        </w:rPr>
      </w:pPr>
      <w:r w:rsidRPr="00F6770C">
        <w:rPr>
          <w:rFonts w:asciiTheme="minorHAnsi" w:hAnsiTheme="minorHAnsi" w:cstheme="minorHAnsi"/>
          <w:bCs/>
        </w:rPr>
        <w:t xml:space="preserve">Potaknuti povoljnim cjenovnim okruženjem, rezultati ostaju snažni. CCS EBITDA bez jed. stavki INA </w:t>
      </w:r>
      <w:r>
        <w:rPr>
          <w:rFonts w:asciiTheme="minorHAnsi" w:hAnsiTheme="minorHAnsi" w:cstheme="minorHAnsi"/>
          <w:bCs/>
        </w:rPr>
        <w:t>G</w:t>
      </w:r>
      <w:r w:rsidRPr="00F6770C">
        <w:rPr>
          <w:rFonts w:asciiTheme="minorHAnsi" w:hAnsiTheme="minorHAnsi" w:cstheme="minorHAnsi"/>
          <w:bCs/>
        </w:rPr>
        <w:t xml:space="preserve">rupe u prvom polugodištu 2022. iznosila je više od 2,4 milijardi kuna, dok je neto dobit premašila 1,5 milijardu kuna. Rezultati su bolji kroz sve segmente pri čemu Istraživanje i proizvodnja </w:t>
      </w:r>
      <w:r w:rsidR="00224197">
        <w:rPr>
          <w:rFonts w:asciiTheme="minorHAnsi" w:hAnsiTheme="minorHAnsi" w:cstheme="minorHAnsi"/>
          <w:bCs/>
        </w:rPr>
        <w:t xml:space="preserve">nafte i plina </w:t>
      </w:r>
      <w:r w:rsidRPr="00F6770C">
        <w:rPr>
          <w:rFonts w:asciiTheme="minorHAnsi" w:hAnsiTheme="minorHAnsi" w:cstheme="minorHAnsi"/>
          <w:bCs/>
        </w:rPr>
        <w:t xml:space="preserve">ima prihode od gotovo </w:t>
      </w:r>
      <w:r>
        <w:rPr>
          <w:rFonts w:asciiTheme="minorHAnsi" w:hAnsiTheme="minorHAnsi" w:cstheme="minorHAnsi"/>
          <w:bCs/>
        </w:rPr>
        <w:t>tri</w:t>
      </w:r>
      <w:r w:rsidRPr="00F6770C">
        <w:rPr>
          <w:rFonts w:asciiTheme="minorHAnsi" w:hAnsiTheme="minorHAnsi" w:cstheme="minorHAnsi"/>
          <w:bCs/>
        </w:rPr>
        <w:t xml:space="preserve"> milijarde kuna i EBITDA od 2,1 milijarde kuna. Više ostvarene cijene ugljikovodika nadoknadile </w:t>
      </w:r>
      <w:r>
        <w:rPr>
          <w:rFonts w:asciiTheme="minorHAnsi" w:hAnsiTheme="minorHAnsi" w:cstheme="minorHAnsi"/>
          <w:bCs/>
        </w:rPr>
        <w:t>su učinak</w:t>
      </w:r>
      <w:r w:rsidRPr="00F6770C">
        <w:rPr>
          <w:rFonts w:asciiTheme="minorHAnsi" w:hAnsiTheme="minorHAnsi" w:cstheme="minorHAnsi"/>
          <w:bCs/>
        </w:rPr>
        <w:t xml:space="preserve"> nastavljenog prirodnog pada proizvodnje. Negativan novčani tijek Rafinerija i marketinga </w:t>
      </w:r>
      <w:proofErr w:type="spellStart"/>
      <w:r w:rsidRPr="00F6770C">
        <w:rPr>
          <w:rFonts w:asciiTheme="minorHAnsi" w:hAnsiTheme="minorHAnsi" w:cstheme="minorHAnsi"/>
          <w:bCs/>
        </w:rPr>
        <w:t>uklj</w:t>
      </w:r>
      <w:proofErr w:type="spellEnd"/>
      <w:r w:rsidRPr="00F6770C">
        <w:rPr>
          <w:rFonts w:asciiTheme="minorHAnsi" w:hAnsiTheme="minorHAnsi" w:cstheme="minorHAnsi"/>
          <w:bCs/>
        </w:rPr>
        <w:t>. Usluge kupcima i Maloprodaju izazvan ulaganjima koja su tijeku ublažen je poboljšanim CCS EBITDA od gotovo 0,8 milijardi kuna. U isto vrijeme, visoke cijene energije i državna ograničenja u maloprodaji i maržama imali su negativan utjecaj na rezultat. Rast negoriva nastav</w:t>
      </w:r>
      <w:r>
        <w:rPr>
          <w:rFonts w:asciiTheme="minorHAnsi" w:hAnsiTheme="minorHAnsi" w:cstheme="minorHAnsi"/>
          <w:bCs/>
        </w:rPr>
        <w:t>ljen</w:t>
      </w:r>
      <w:r w:rsidRPr="00F6770C">
        <w:rPr>
          <w:rFonts w:asciiTheme="minorHAnsi" w:hAnsiTheme="minorHAnsi" w:cstheme="minorHAnsi"/>
          <w:bCs/>
        </w:rPr>
        <w:t xml:space="preserve"> je </w:t>
      </w:r>
      <w:r>
        <w:rPr>
          <w:rFonts w:asciiTheme="minorHAnsi" w:hAnsiTheme="minorHAnsi" w:cstheme="minorHAnsi"/>
          <w:bCs/>
        </w:rPr>
        <w:t xml:space="preserve">sa </w:t>
      </w:r>
      <w:r w:rsidRPr="00F6770C">
        <w:rPr>
          <w:rFonts w:asciiTheme="minorHAnsi" w:hAnsiTheme="minorHAnsi" w:cstheme="minorHAnsi"/>
          <w:bCs/>
        </w:rPr>
        <w:t>15</w:t>
      </w:r>
      <w:r>
        <w:rPr>
          <w:rFonts w:asciiTheme="minorHAnsi" w:hAnsiTheme="minorHAnsi" w:cstheme="minorHAnsi"/>
          <w:bCs/>
        </w:rPr>
        <w:t xml:space="preserve"> posto</w:t>
      </w:r>
      <w:r w:rsidRPr="00F6770C">
        <w:rPr>
          <w:rFonts w:asciiTheme="minorHAnsi" w:hAnsiTheme="minorHAnsi" w:cstheme="minorHAnsi"/>
          <w:bCs/>
        </w:rPr>
        <w:t xml:space="preserve"> povećanja marže uslijed proširene ponude i poboljšanih prodajnih aktivnosti.</w:t>
      </w:r>
    </w:p>
    <w:p w14:paraId="46A03FF8" w14:textId="447ABBE7" w:rsidR="00FD577C" w:rsidRDefault="00F6770C" w:rsidP="00F6770C">
      <w:pPr>
        <w:spacing w:after="120"/>
        <w:jc w:val="both"/>
        <w:rPr>
          <w:rFonts w:asciiTheme="minorHAnsi" w:hAnsiTheme="minorHAnsi" w:cstheme="minorHAnsi"/>
          <w:bCs/>
        </w:rPr>
      </w:pPr>
      <w:r w:rsidRPr="00F6770C">
        <w:rPr>
          <w:rFonts w:asciiTheme="minorHAnsi" w:hAnsiTheme="minorHAnsi" w:cstheme="minorHAnsi"/>
          <w:bCs/>
        </w:rPr>
        <w:t xml:space="preserve">Intenzivirane investicijske aktivnosti </w:t>
      </w:r>
      <w:r>
        <w:rPr>
          <w:rFonts w:asciiTheme="minorHAnsi" w:hAnsiTheme="minorHAnsi" w:cstheme="minorHAnsi"/>
          <w:bCs/>
        </w:rPr>
        <w:t xml:space="preserve">se </w:t>
      </w:r>
      <w:r w:rsidRPr="00F6770C">
        <w:rPr>
          <w:rFonts w:asciiTheme="minorHAnsi" w:hAnsiTheme="minorHAnsi" w:cstheme="minorHAnsi"/>
          <w:bCs/>
        </w:rPr>
        <w:t>nastavljaju, pri čemu su kapitalna ulaganja više nego udvostručena u usporedbi s prvim polugodištem 2021</w:t>
      </w:r>
      <w:r>
        <w:rPr>
          <w:rFonts w:asciiTheme="minorHAnsi" w:hAnsiTheme="minorHAnsi" w:cstheme="minorHAnsi"/>
          <w:bCs/>
        </w:rPr>
        <w:t>.</w:t>
      </w:r>
      <w:r w:rsidRPr="00F6770C">
        <w:rPr>
          <w:rFonts w:asciiTheme="minorHAnsi" w:hAnsiTheme="minorHAnsi" w:cstheme="minorHAnsi"/>
          <w:bCs/>
        </w:rPr>
        <w:t xml:space="preserve"> i iznose 1,3 milijarde kuna</w:t>
      </w:r>
      <w:r>
        <w:rPr>
          <w:rFonts w:asciiTheme="minorHAnsi" w:hAnsiTheme="minorHAnsi" w:cstheme="minorHAnsi"/>
          <w:bCs/>
        </w:rPr>
        <w:t>,</w:t>
      </w:r>
      <w:r w:rsidRPr="00F6770C">
        <w:rPr>
          <w:rFonts w:asciiTheme="minorHAnsi" w:hAnsiTheme="minorHAnsi" w:cstheme="minorHAnsi"/>
          <w:bCs/>
        </w:rPr>
        <w:t xml:space="preserve"> od čega je gotovo milijarda potrošena u Rafinerijama i marketingu. Fokusiran</w:t>
      </w:r>
      <w:r w:rsidR="00224197">
        <w:rPr>
          <w:rFonts w:asciiTheme="minorHAnsi" w:hAnsiTheme="minorHAnsi" w:cstheme="minorHAnsi"/>
          <w:bCs/>
        </w:rPr>
        <w:t>a</w:t>
      </w:r>
      <w:r w:rsidRPr="00F6770C">
        <w:rPr>
          <w:rFonts w:asciiTheme="minorHAnsi" w:hAnsiTheme="minorHAnsi" w:cstheme="minorHAnsi"/>
          <w:bCs/>
        </w:rPr>
        <w:t xml:space="preserve"> prema usporavanju trenda prirodnog pada, </w:t>
      </w:r>
      <w:r w:rsidR="00224197">
        <w:rPr>
          <w:rFonts w:asciiTheme="minorHAnsi" w:hAnsiTheme="minorHAnsi" w:cstheme="minorHAnsi"/>
          <w:bCs/>
        </w:rPr>
        <w:t>djelatnost</w:t>
      </w:r>
      <w:r w:rsidRPr="00F6770C">
        <w:rPr>
          <w:rFonts w:asciiTheme="minorHAnsi" w:hAnsiTheme="minorHAnsi" w:cstheme="minorHAnsi"/>
          <w:bCs/>
        </w:rPr>
        <w:t xml:space="preserve"> Istraživanj</w:t>
      </w:r>
      <w:r>
        <w:rPr>
          <w:rFonts w:asciiTheme="minorHAnsi" w:hAnsiTheme="minorHAnsi" w:cstheme="minorHAnsi"/>
          <w:bCs/>
        </w:rPr>
        <w:t>a</w:t>
      </w:r>
      <w:r w:rsidRPr="00F6770C">
        <w:rPr>
          <w:rFonts w:asciiTheme="minorHAnsi" w:hAnsiTheme="minorHAnsi" w:cstheme="minorHAnsi"/>
          <w:bCs/>
        </w:rPr>
        <w:t xml:space="preserve"> i proizvodnje </w:t>
      </w:r>
      <w:r w:rsidR="00224197">
        <w:rPr>
          <w:rFonts w:asciiTheme="minorHAnsi" w:hAnsiTheme="minorHAnsi" w:cstheme="minorHAnsi"/>
          <w:bCs/>
        </w:rPr>
        <w:t xml:space="preserve">nafte i plina </w:t>
      </w:r>
      <w:r w:rsidRPr="00F6770C">
        <w:rPr>
          <w:rFonts w:asciiTheme="minorHAnsi" w:hAnsiTheme="minorHAnsi" w:cstheme="minorHAnsi"/>
          <w:bCs/>
        </w:rPr>
        <w:t>također je poveća</w:t>
      </w:r>
      <w:r w:rsidR="00224197">
        <w:rPr>
          <w:rFonts w:asciiTheme="minorHAnsi" w:hAnsiTheme="minorHAnsi" w:cstheme="minorHAnsi"/>
          <w:bCs/>
        </w:rPr>
        <w:t>la</w:t>
      </w:r>
      <w:r w:rsidRPr="00F6770C">
        <w:rPr>
          <w:rFonts w:asciiTheme="minorHAnsi" w:hAnsiTheme="minorHAnsi" w:cstheme="minorHAnsi"/>
          <w:bCs/>
        </w:rPr>
        <w:t xml:space="preserve"> razinu ulaganja</w:t>
      </w:r>
      <w:r>
        <w:rPr>
          <w:rFonts w:asciiTheme="minorHAnsi" w:hAnsiTheme="minorHAnsi" w:cstheme="minorHAnsi"/>
          <w:bCs/>
        </w:rPr>
        <w:t xml:space="preserve"> u</w:t>
      </w:r>
      <w:r w:rsidRPr="00F6770C">
        <w:rPr>
          <w:rFonts w:asciiTheme="minorHAnsi" w:hAnsiTheme="minorHAnsi" w:cstheme="minorHAnsi"/>
          <w:bCs/>
        </w:rPr>
        <w:t xml:space="preserve"> razradne aktivnosti</w:t>
      </w:r>
      <w:r>
        <w:rPr>
          <w:rFonts w:asciiTheme="minorHAnsi" w:hAnsiTheme="minorHAnsi" w:cstheme="minorHAnsi"/>
          <w:bCs/>
        </w:rPr>
        <w:t>,</w:t>
      </w:r>
      <w:r w:rsidRPr="00F6770C">
        <w:rPr>
          <w:rFonts w:asciiTheme="minorHAnsi" w:hAnsiTheme="minorHAnsi" w:cstheme="minorHAnsi"/>
          <w:bCs/>
        </w:rPr>
        <w:t xml:space="preserve"> kako na kopnu tako i u podmorju. Usprkos snažnim rezultatima poslovanja, novčani tijek kompanije u prvih šest mjeseci 2022. je negativan, kao posljedica povećanih ulaganja i potrebe za financiranjem radnog kapitala bez presedana, uslijed globalnih cijena energije.</w:t>
      </w:r>
    </w:p>
    <w:p w14:paraId="54AF480C" w14:textId="090F4D06" w:rsidR="0037692E" w:rsidRPr="00377C00" w:rsidRDefault="00E55AED" w:rsidP="00D374E5">
      <w:pPr>
        <w:spacing w:after="120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 xml:space="preserve">Izjava g. </w:t>
      </w:r>
      <w:r w:rsidR="0037692E" w:rsidRPr="00377C00">
        <w:rPr>
          <w:rFonts w:asciiTheme="minorHAnsi" w:hAnsiTheme="minorHAnsi" w:cstheme="minorHAnsi"/>
          <w:b/>
        </w:rPr>
        <w:t>Sándor</w:t>
      </w:r>
      <w:r w:rsidRPr="00377C00">
        <w:rPr>
          <w:rFonts w:asciiTheme="minorHAnsi" w:hAnsiTheme="minorHAnsi" w:cstheme="minorHAnsi"/>
          <w:b/>
        </w:rPr>
        <w:t>a</w:t>
      </w:r>
      <w:r w:rsidR="0037692E" w:rsidRPr="00377C00">
        <w:rPr>
          <w:rFonts w:asciiTheme="minorHAnsi" w:hAnsiTheme="minorHAnsi" w:cstheme="minorHAnsi"/>
          <w:b/>
        </w:rPr>
        <w:t xml:space="preserve"> </w:t>
      </w:r>
      <w:proofErr w:type="spellStart"/>
      <w:r w:rsidR="0037692E" w:rsidRPr="00377C00">
        <w:rPr>
          <w:rFonts w:asciiTheme="minorHAnsi" w:hAnsiTheme="minorHAnsi" w:cstheme="minorHAnsi"/>
          <w:b/>
        </w:rPr>
        <w:t>Fasimon</w:t>
      </w:r>
      <w:r w:rsidRPr="00377C00">
        <w:rPr>
          <w:rFonts w:asciiTheme="minorHAnsi" w:hAnsiTheme="minorHAnsi" w:cstheme="minorHAnsi"/>
          <w:b/>
        </w:rPr>
        <w:t>a</w:t>
      </w:r>
      <w:proofErr w:type="spellEnd"/>
      <w:r w:rsidR="0037692E" w:rsidRPr="00377C00">
        <w:rPr>
          <w:rFonts w:asciiTheme="minorHAnsi" w:hAnsiTheme="minorHAnsi" w:cstheme="minorHAnsi"/>
          <w:b/>
        </w:rPr>
        <w:t xml:space="preserve">, </w:t>
      </w:r>
      <w:r w:rsidRPr="00377C00">
        <w:rPr>
          <w:rFonts w:asciiTheme="minorHAnsi" w:hAnsiTheme="minorHAnsi" w:cstheme="minorHAnsi"/>
          <w:b/>
        </w:rPr>
        <w:t>predsjednika Uprave Ine</w:t>
      </w:r>
      <w:r w:rsidR="0037692E" w:rsidRPr="00377C00">
        <w:rPr>
          <w:rFonts w:asciiTheme="minorHAnsi" w:hAnsiTheme="minorHAnsi" w:cstheme="minorHAnsi"/>
          <w:b/>
        </w:rPr>
        <w:t xml:space="preserve">: </w:t>
      </w:r>
    </w:p>
    <w:p w14:paraId="0D04DC10" w14:textId="7A4A8E5C" w:rsidR="00C027E1" w:rsidRDefault="00C027E1" w:rsidP="00C027E1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„</w:t>
      </w:r>
      <w:r w:rsidRPr="00C027E1">
        <w:rPr>
          <w:rFonts w:asciiTheme="minorHAnsi" w:hAnsiTheme="minorHAnsi" w:cstheme="minorHAnsi"/>
          <w:bCs/>
        </w:rPr>
        <w:t>Ova godina nastavlja biti godina izazova za globalno gospodarstvo, s tržišnim previranjima u mnogim područjima, posebno u energetskom sektoru. Visoka razina cijena nafte i plina, zajedno s neizvjesnošću u sigurnosti opskrbe, doveli su do intervencija vlade u mnogim zemljama. Rast cijena pogurao je prihode cjelokupne industrije nafte i plina, ali razne regulatorne odluke s druge strane stvaraju poziciju u kojoj buduće trendove nije lako predvidjeti.</w:t>
      </w:r>
    </w:p>
    <w:p w14:paraId="19444600" w14:textId="77777777" w:rsidR="00C027E1" w:rsidRPr="00C027E1" w:rsidRDefault="00C027E1" w:rsidP="00C027E1">
      <w:pPr>
        <w:jc w:val="both"/>
        <w:rPr>
          <w:rFonts w:asciiTheme="minorHAnsi" w:hAnsiTheme="minorHAnsi" w:cstheme="minorHAnsi"/>
          <w:bCs/>
        </w:rPr>
      </w:pPr>
    </w:p>
    <w:p w14:paraId="0E7AFF39" w14:textId="3C6246B4" w:rsidR="00C027E1" w:rsidRDefault="00C027E1" w:rsidP="00C027E1">
      <w:pPr>
        <w:jc w:val="both"/>
        <w:rPr>
          <w:rFonts w:asciiTheme="minorHAnsi" w:hAnsiTheme="minorHAnsi" w:cstheme="minorHAnsi"/>
          <w:bCs/>
        </w:rPr>
      </w:pPr>
      <w:r w:rsidRPr="00C027E1">
        <w:rPr>
          <w:rFonts w:asciiTheme="minorHAnsi" w:hAnsiTheme="minorHAnsi" w:cstheme="minorHAnsi"/>
          <w:bCs/>
        </w:rPr>
        <w:t>Inin rezultat u takvom okruženju ostao je snažan, a najveći doprinos rezultatu ima Istraživanje i proizvodnja</w:t>
      </w:r>
      <w:r w:rsidR="00693C6F">
        <w:rPr>
          <w:rFonts w:asciiTheme="minorHAnsi" w:hAnsiTheme="minorHAnsi" w:cstheme="minorHAnsi"/>
          <w:bCs/>
        </w:rPr>
        <w:t xml:space="preserve"> nafte i plina</w:t>
      </w:r>
      <w:r w:rsidRPr="00C027E1">
        <w:rPr>
          <w:rFonts w:asciiTheme="minorHAnsi" w:hAnsiTheme="minorHAnsi" w:cstheme="minorHAnsi"/>
          <w:bCs/>
        </w:rPr>
        <w:t>. Proizvodnja opada prema očekivanjima u skladu sa zrelim portfeljem, ali su u tijeku brojne razvojne aktivnosti usmjerene na ublažavanje prirodnog pada, kako na kopnu tako i na moru.</w:t>
      </w:r>
    </w:p>
    <w:p w14:paraId="744A2325" w14:textId="77777777" w:rsidR="00F6770C" w:rsidRPr="00C027E1" w:rsidRDefault="00F6770C" w:rsidP="00C027E1">
      <w:pPr>
        <w:jc w:val="both"/>
        <w:rPr>
          <w:rFonts w:asciiTheme="minorHAnsi" w:hAnsiTheme="minorHAnsi" w:cstheme="minorHAnsi"/>
          <w:bCs/>
        </w:rPr>
      </w:pPr>
    </w:p>
    <w:p w14:paraId="1F9DE408" w14:textId="166B5E46" w:rsidR="00C027E1" w:rsidRDefault="00C027E1" w:rsidP="00C027E1">
      <w:pPr>
        <w:jc w:val="both"/>
        <w:rPr>
          <w:rFonts w:asciiTheme="minorHAnsi" w:hAnsiTheme="minorHAnsi" w:cstheme="minorHAnsi"/>
          <w:bCs/>
        </w:rPr>
      </w:pPr>
      <w:r w:rsidRPr="00C027E1">
        <w:rPr>
          <w:rFonts w:asciiTheme="minorHAnsi" w:hAnsiTheme="minorHAnsi" w:cstheme="minorHAnsi"/>
          <w:bCs/>
        </w:rPr>
        <w:t xml:space="preserve">Zbog spomenutih globalnih rizika i manje dostupnosti proizvoda, rafinerijske marže su se znatno poboljšale i poduprle rezultat Rafinerija i marketinga, uključujući Usluge kupcima i maloprodaju, unatoč regulatornim ograničenjima cijena i marži. U takvim okolnostima Inin prioritet je sigurna opskrba tržišta, koja je osigurana bez većih poremećaja u opskrbi. </w:t>
      </w:r>
      <w:proofErr w:type="spellStart"/>
      <w:r w:rsidRPr="00C027E1">
        <w:rPr>
          <w:rFonts w:asciiTheme="minorHAnsi" w:hAnsiTheme="minorHAnsi" w:cstheme="minorHAnsi"/>
          <w:bCs/>
        </w:rPr>
        <w:lastRenderedPageBreak/>
        <w:t>Sezonalnost</w:t>
      </w:r>
      <w:proofErr w:type="spellEnd"/>
      <w:r w:rsidRPr="00C027E1">
        <w:rPr>
          <w:rFonts w:asciiTheme="minorHAnsi" w:hAnsiTheme="minorHAnsi" w:cstheme="minorHAnsi"/>
          <w:bCs/>
        </w:rPr>
        <w:t xml:space="preserve"> hrvatskog tržišta vidljiva je rastom maloprodaje, ne samo u segmentu goriva nego i negoriva. Uzimajući u obzir sve navedene čimbenike, Inina EBITDA premašila je 2,7 milijardi kuna u prvoj polovici 2022. Turistička sezona je u punom jeku i rezultat u trećem tromjesečju vjerojatno će pokazati još jači rezultat, pod uvjetom da regulatorne mjere dodatno ne utječu na tržište.</w:t>
      </w:r>
    </w:p>
    <w:p w14:paraId="300C5855" w14:textId="77777777" w:rsidR="00C027E1" w:rsidRPr="00C027E1" w:rsidRDefault="00C027E1" w:rsidP="00C027E1">
      <w:pPr>
        <w:jc w:val="both"/>
        <w:rPr>
          <w:rFonts w:asciiTheme="minorHAnsi" w:hAnsiTheme="minorHAnsi" w:cstheme="minorHAnsi"/>
          <w:bCs/>
        </w:rPr>
      </w:pPr>
    </w:p>
    <w:p w14:paraId="41E1C102" w14:textId="628FA033" w:rsidR="00D374E5" w:rsidRDefault="00C027E1" w:rsidP="00C027E1">
      <w:pPr>
        <w:jc w:val="both"/>
        <w:rPr>
          <w:rFonts w:asciiTheme="minorHAnsi" w:hAnsiTheme="minorHAnsi" w:cstheme="minorHAnsi"/>
          <w:bCs/>
        </w:rPr>
      </w:pPr>
      <w:r w:rsidRPr="00C027E1">
        <w:rPr>
          <w:rFonts w:asciiTheme="minorHAnsi" w:hAnsiTheme="minorHAnsi" w:cstheme="minorHAnsi"/>
          <w:bCs/>
        </w:rPr>
        <w:t>Osim snažnih prihoda, INA je i u razdoblju visokih ulaganja. Kapitalna su ulaganja više nego udvostručena u odnosu na prvo polugodište 2021. te su premašila 1,3 milijarde kuna, od čega više od milijarde u segmentu Rafinerija i marketinga. Projekt modernizacije Rafinerije nafte Rijeka na više je od polovice dovršenosti i nastavlja se kao jedna od najvećih investicija u posljednjih nekoliko godina, ne samo na razini Ine nego i na razini države. Završetkom projekta</w:t>
      </w:r>
      <w:r w:rsidR="00F6770C">
        <w:rPr>
          <w:rFonts w:asciiTheme="minorHAnsi" w:hAnsiTheme="minorHAnsi" w:cstheme="minorHAnsi"/>
          <w:bCs/>
        </w:rPr>
        <w:t>,</w:t>
      </w:r>
      <w:r w:rsidRPr="00C027E1">
        <w:rPr>
          <w:rFonts w:asciiTheme="minorHAnsi" w:hAnsiTheme="minorHAnsi" w:cstheme="minorHAnsi"/>
          <w:bCs/>
        </w:rPr>
        <w:t xml:space="preserve"> opskrba domaćeg i ostalih ključnih tržišta bit će ne samo sigurna, već i značajno ekonomski održivija.</w:t>
      </w:r>
      <w:r>
        <w:rPr>
          <w:rFonts w:asciiTheme="minorHAnsi" w:hAnsiTheme="minorHAnsi" w:cstheme="minorHAnsi"/>
          <w:bCs/>
        </w:rPr>
        <w:t>“</w:t>
      </w:r>
    </w:p>
    <w:p w14:paraId="47EEBBFA" w14:textId="77777777" w:rsidR="00C027E1" w:rsidRDefault="00C027E1" w:rsidP="00C027E1">
      <w:pPr>
        <w:jc w:val="both"/>
        <w:rPr>
          <w:rFonts w:asciiTheme="minorHAnsi" w:hAnsiTheme="minorHAnsi" w:cstheme="minorHAnsi"/>
          <w:bCs/>
        </w:rPr>
      </w:pPr>
    </w:p>
    <w:p w14:paraId="3306B0FE" w14:textId="77777777" w:rsidR="00C027E1" w:rsidRDefault="00C027E1" w:rsidP="00C027E1">
      <w:pPr>
        <w:jc w:val="both"/>
        <w:rPr>
          <w:rFonts w:asciiTheme="minorHAnsi" w:hAnsiTheme="minorHAnsi" w:cstheme="minorHAnsi"/>
          <w:bCs/>
        </w:rPr>
      </w:pPr>
    </w:p>
    <w:p w14:paraId="33B881E3" w14:textId="77777777" w:rsidR="00C027E1" w:rsidRDefault="00C027E1" w:rsidP="00C027E1">
      <w:pPr>
        <w:jc w:val="both"/>
        <w:rPr>
          <w:rFonts w:asciiTheme="minorHAnsi" w:hAnsiTheme="minorHAnsi" w:cstheme="minorHAnsi"/>
          <w:bCs/>
        </w:rPr>
      </w:pPr>
    </w:p>
    <w:p w14:paraId="188B6E47" w14:textId="07B1312F" w:rsidR="00C027E1" w:rsidRPr="00C027E1" w:rsidRDefault="00C027E1" w:rsidP="00C027E1">
      <w:pPr>
        <w:jc w:val="both"/>
        <w:rPr>
          <w:rFonts w:asciiTheme="minorHAnsi" w:hAnsiTheme="minorHAnsi" w:cstheme="minorHAnsi"/>
          <w:bCs/>
        </w:rPr>
        <w:sectPr w:rsidR="00C027E1" w:rsidRPr="00C027E1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4C537A8" w14:textId="69396FA6" w:rsidR="00FF0C7C" w:rsidRPr="00377C00" w:rsidRDefault="00C027E1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45B998EC" wp14:editId="7F5241D9">
            <wp:extent cx="2635072" cy="1995054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81" cy="2020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F4E1F3" w14:textId="77777777" w:rsidR="00C0068C" w:rsidRPr="00377C00" w:rsidRDefault="00C0068C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759A5372" w14:textId="7320FB16" w:rsidR="00900453" w:rsidRPr="00377C00" w:rsidRDefault="00C027E1" w:rsidP="006A6D3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6DDE861D" wp14:editId="7086479C">
            <wp:extent cx="2867648" cy="1989116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22" cy="2000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51E50" w14:textId="5821CD34" w:rsidR="00FF0C7C" w:rsidRPr="00377C00" w:rsidRDefault="00C027E1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36FFB5A" wp14:editId="43B6FC45">
            <wp:extent cx="2861953" cy="19851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977" cy="199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BB3C41" w14:textId="77777777" w:rsidR="00900453" w:rsidRPr="00377C00" w:rsidRDefault="00900453" w:rsidP="00C0068C">
      <w:pPr>
        <w:spacing w:line="360" w:lineRule="auto"/>
        <w:jc w:val="center"/>
        <w:rPr>
          <w:rFonts w:asciiTheme="minorHAnsi" w:hAnsiTheme="minorHAnsi" w:cstheme="minorHAnsi"/>
        </w:rPr>
      </w:pPr>
    </w:p>
    <w:p w14:paraId="24076475" w14:textId="2A8F684F" w:rsidR="008B13EE" w:rsidRPr="00377C00" w:rsidRDefault="00C027E1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A6B0A8F" wp14:editId="02B6BD00">
            <wp:extent cx="2838203" cy="1970526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790" cy="19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12664C" w14:textId="77777777" w:rsidR="00621EAF" w:rsidRPr="00377C00" w:rsidRDefault="00621EAF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621EAF" w:rsidRPr="00377C00" w:rsidSect="00621EA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63B4029" w14:textId="1A8C428E" w:rsidR="00FF05F8" w:rsidRDefault="00FF05F8" w:rsidP="00C0068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B4AEAC8" w14:textId="77777777" w:rsidR="00E82B37" w:rsidRDefault="00E82B37" w:rsidP="00C0068C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5B079B5F" w14:textId="09480740" w:rsidR="00FF05F8" w:rsidRPr="00377C00" w:rsidRDefault="00FF05F8" w:rsidP="00C0068C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>Istraživanje i proizvodnja</w:t>
      </w:r>
      <w:r w:rsidR="00C34BDC" w:rsidRPr="00377C00">
        <w:rPr>
          <w:rFonts w:asciiTheme="minorHAnsi" w:hAnsiTheme="minorHAnsi" w:cstheme="minorHAnsi"/>
          <w:b/>
        </w:rPr>
        <w:t xml:space="preserve"> nafte i plina</w:t>
      </w:r>
    </w:p>
    <w:p w14:paraId="12082BAA" w14:textId="031B43D1" w:rsidR="00A86066" w:rsidRDefault="00A86066" w:rsidP="00A86066">
      <w:pPr>
        <w:spacing w:before="120" w:after="120"/>
        <w:ind w:left="3"/>
        <w:contextualSpacing/>
        <w:jc w:val="both"/>
        <w:rPr>
          <w:rFonts w:asciiTheme="minorHAnsi" w:hAnsiTheme="minorHAnsi" w:cstheme="minorHAnsi"/>
        </w:rPr>
      </w:pPr>
      <w:bookmarkStart w:id="3" w:name="_Hlk93664955"/>
      <w:r w:rsidRPr="00A86066">
        <w:rPr>
          <w:rFonts w:asciiTheme="minorHAnsi" w:hAnsiTheme="minorHAnsi" w:cstheme="minorHAnsi"/>
        </w:rPr>
        <w:t xml:space="preserve">Više cijene rezultirale su </w:t>
      </w:r>
      <w:r>
        <w:rPr>
          <w:rFonts w:asciiTheme="minorHAnsi" w:hAnsiTheme="minorHAnsi" w:cstheme="minorHAnsi"/>
        </w:rPr>
        <w:t xml:space="preserve">sa </w:t>
      </w:r>
      <w:r w:rsidRPr="00A86066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,3 milijarde kuna</w:t>
      </w:r>
      <w:r w:rsidRPr="00A86066">
        <w:rPr>
          <w:rFonts w:asciiTheme="minorHAnsi" w:hAnsiTheme="minorHAnsi" w:cstheme="minorHAnsi"/>
        </w:rPr>
        <w:t xml:space="preserve"> višim prihodima. Viša cijena plina imala je pozitivan utjecaj na prihode u iznosu </w:t>
      </w:r>
      <w:r>
        <w:rPr>
          <w:rFonts w:asciiTheme="minorHAnsi" w:hAnsiTheme="minorHAnsi" w:cstheme="minorHAnsi"/>
        </w:rPr>
        <w:t xml:space="preserve">od </w:t>
      </w:r>
      <w:r w:rsidRPr="00A86066">
        <w:rPr>
          <w:rFonts w:asciiTheme="minorHAnsi" w:hAnsiTheme="minorHAnsi" w:cstheme="minorHAnsi"/>
        </w:rPr>
        <w:t>715 mil</w:t>
      </w:r>
      <w:r>
        <w:rPr>
          <w:rFonts w:asciiTheme="minorHAnsi" w:hAnsiTheme="minorHAnsi" w:cstheme="minorHAnsi"/>
        </w:rPr>
        <w:t>ijuna kuna</w:t>
      </w:r>
      <w:r w:rsidRPr="00A86066">
        <w:rPr>
          <w:rFonts w:asciiTheme="minorHAnsi" w:hAnsiTheme="minorHAnsi" w:cstheme="minorHAnsi"/>
        </w:rPr>
        <w:t>, 66</w:t>
      </w:r>
      <w:r>
        <w:rPr>
          <w:rFonts w:asciiTheme="minorHAnsi" w:hAnsiTheme="minorHAnsi" w:cstheme="minorHAnsi"/>
        </w:rPr>
        <w:t xml:space="preserve"> posto</w:t>
      </w:r>
      <w:r w:rsidRPr="00A86066">
        <w:rPr>
          <w:rFonts w:asciiTheme="minorHAnsi" w:hAnsiTheme="minorHAnsi" w:cstheme="minorHAnsi"/>
        </w:rPr>
        <w:t xml:space="preserve"> viša cijena Brenta rezultirala je s</w:t>
      </w:r>
      <w:r>
        <w:rPr>
          <w:rFonts w:asciiTheme="minorHAnsi" w:hAnsiTheme="minorHAnsi" w:cstheme="minorHAnsi"/>
        </w:rPr>
        <w:t>a</w:t>
      </w:r>
      <w:r w:rsidRPr="00A86066">
        <w:rPr>
          <w:rFonts w:asciiTheme="minorHAnsi" w:hAnsiTheme="minorHAnsi" w:cstheme="minorHAnsi"/>
        </w:rPr>
        <w:t xml:space="preserve"> 492 mil</w:t>
      </w:r>
      <w:r>
        <w:rPr>
          <w:rFonts w:asciiTheme="minorHAnsi" w:hAnsiTheme="minorHAnsi" w:cstheme="minorHAnsi"/>
        </w:rPr>
        <w:t>ijuna kuna</w:t>
      </w:r>
      <w:r w:rsidRPr="00A86066">
        <w:rPr>
          <w:rFonts w:asciiTheme="minorHAnsi" w:hAnsiTheme="minorHAnsi" w:cstheme="minorHAnsi"/>
        </w:rPr>
        <w:t xml:space="preserve"> višim prihodima od prodaje sirove nafte i kondenzata, dok je viša cijena ostalih proizvoda pozitivno utjecala na prihode u iznosu od 109 milijuna kuna.</w:t>
      </w:r>
    </w:p>
    <w:p w14:paraId="7F14DA95" w14:textId="77777777" w:rsidR="00A86066" w:rsidRPr="00A86066" w:rsidRDefault="00A86066" w:rsidP="00A86066">
      <w:pPr>
        <w:spacing w:before="120" w:after="120"/>
        <w:ind w:left="3"/>
        <w:contextualSpacing/>
        <w:jc w:val="both"/>
        <w:rPr>
          <w:rFonts w:asciiTheme="minorHAnsi" w:hAnsiTheme="minorHAnsi" w:cstheme="minorHAnsi"/>
        </w:rPr>
      </w:pPr>
    </w:p>
    <w:p w14:paraId="108B3EB4" w14:textId="3670E931" w:rsidR="00FF05F8" w:rsidRPr="004A3A03" w:rsidRDefault="00C34BDC" w:rsidP="00756EF3">
      <w:p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 xml:space="preserve">Viša kapitalna ulaganja u odnosu na </w:t>
      </w:r>
      <w:r w:rsidR="003C53F4" w:rsidRPr="004A3A03">
        <w:rPr>
          <w:rFonts w:asciiTheme="minorHAnsi" w:hAnsiTheme="minorHAnsi" w:cstheme="minorHAnsi"/>
        </w:rPr>
        <w:t>isto razdoblje lani</w:t>
      </w:r>
      <w:r w:rsidRPr="004A3A03">
        <w:rPr>
          <w:rFonts w:asciiTheme="minorHAnsi" w:hAnsiTheme="minorHAnsi" w:cstheme="minorHAnsi"/>
        </w:rPr>
        <w:t xml:space="preserve"> pretežno su rezultat raz</w:t>
      </w:r>
      <w:r w:rsidR="003C53F4" w:rsidRPr="004A3A03">
        <w:rPr>
          <w:rFonts w:asciiTheme="minorHAnsi" w:hAnsiTheme="minorHAnsi" w:cstheme="minorHAnsi"/>
        </w:rPr>
        <w:t xml:space="preserve">radnih </w:t>
      </w:r>
      <w:r w:rsidRPr="004A3A03">
        <w:rPr>
          <w:rFonts w:asciiTheme="minorHAnsi" w:hAnsiTheme="minorHAnsi" w:cstheme="minorHAnsi"/>
        </w:rPr>
        <w:t xml:space="preserve">aktivnosti u sklopu </w:t>
      </w:r>
      <w:r w:rsidR="00A3253D" w:rsidRPr="004A3A03">
        <w:rPr>
          <w:rFonts w:asciiTheme="minorHAnsi" w:hAnsiTheme="minorHAnsi" w:cstheme="minorHAnsi"/>
        </w:rPr>
        <w:t xml:space="preserve">radova na hrvatskom </w:t>
      </w:r>
      <w:proofErr w:type="spellStart"/>
      <w:r w:rsidR="00A3253D" w:rsidRPr="004A3A03">
        <w:rPr>
          <w:rFonts w:asciiTheme="minorHAnsi" w:hAnsiTheme="minorHAnsi" w:cstheme="minorHAnsi"/>
        </w:rPr>
        <w:t>odobalju</w:t>
      </w:r>
      <w:proofErr w:type="spellEnd"/>
      <w:r w:rsidR="00A3253D" w:rsidRPr="004A3A03">
        <w:rPr>
          <w:rFonts w:asciiTheme="minorHAnsi" w:hAnsiTheme="minorHAnsi" w:cstheme="minorHAnsi"/>
        </w:rPr>
        <w:t xml:space="preserve"> i kopnu</w:t>
      </w:r>
      <w:r w:rsidRPr="004A3A03">
        <w:rPr>
          <w:rFonts w:asciiTheme="minorHAnsi" w:hAnsiTheme="minorHAnsi" w:cstheme="minorHAnsi"/>
        </w:rPr>
        <w:t>.</w:t>
      </w:r>
      <w:r w:rsidR="004A3A03" w:rsidRPr="004A3A03">
        <w:t xml:space="preserve"> </w:t>
      </w:r>
      <w:r w:rsidR="004A3A03" w:rsidRPr="004A3A03">
        <w:rPr>
          <w:rFonts w:asciiTheme="minorHAnsi" w:hAnsiTheme="minorHAnsi" w:cstheme="minorHAnsi"/>
        </w:rPr>
        <w:t xml:space="preserve">Glavne aktivnosti u </w:t>
      </w:r>
      <w:r w:rsidR="004A3A03">
        <w:rPr>
          <w:rFonts w:asciiTheme="minorHAnsi" w:hAnsiTheme="minorHAnsi" w:cstheme="minorHAnsi"/>
        </w:rPr>
        <w:t>prvom</w:t>
      </w:r>
      <w:r w:rsidR="004A3A03" w:rsidRPr="004A3A03">
        <w:rPr>
          <w:rFonts w:asciiTheme="minorHAnsi" w:hAnsiTheme="minorHAnsi" w:cstheme="minorHAnsi"/>
        </w:rPr>
        <w:t xml:space="preserve"> polugodištu 2022.:</w:t>
      </w:r>
    </w:p>
    <w:p w14:paraId="4A4F6919" w14:textId="5704BB5E" w:rsidR="004A3A03" w:rsidRDefault="004A3A03" w:rsidP="00756EF3">
      <w:pPr>
        <w:spacing w:before="120" w:after="120"/>
        <w:contextualSpacing/>
        <w:jc w:val="both"/>
        <w:rPr>
          <w:rFonts w:asciiTheme="minorHAnsi" w:hAnsiTheme="minorHAnsi" w:cstheme="minorHAnsi"/>
          <w:color w:val="FF0000"/>
        </w:rPr>
      </w:pPr>
    </w:p>
    <w:p w14:paraId="54DDDF0B" w14:textId="77777777" w:rsidR="004A3A03" w:rsidRPr="004A3A03" w:rsidRDefault="004A3A03" w:rsidP="004A3A03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4A3A03">
        <w:rPr>
          <w:rFonts w:asciiTheme="minorHAnsi" w:hAnsiTheme="minorHAnsi" w:cstheme="minorHAnsi"/>
          <w:b/>
          <w:bCs/>
        </w:rPr>
        <w:t>Istraživanje u Hrvatskoj:</w:t>
      </w:r>
    </w:p>
    <w:p w14:paraId="5EC29950" w14:textId="6B5DAEB7" w:rsidR="004A3A03" w:rsidRPr="004A3A03" w:rsidRDefault="004A3A03" w:rsidP="004A3A03">
      <w:pPr>
        <w:pStyle w:val="ListParagraph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>Drava-03: Ishođenje dozvola i priprema za bušenje u tijeku</w:t>
      </w:r>
    </w:p>
    <w:p w14:paraId="6A80769D" w14:textId="040493A0" w:rsidR="004A3A03" w:rsidRPr="004A3A03" w:rsidRDefault="004A3A03" w:rsidP="004A3A03">
      <w:pPr>
        <w:pStyle w:val="ListParagraph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 xml:space="preserve">SZH-01: Seizmička interpretacija, </w:t>
      </w:r>
      <w:proofErr w:type="spellStart"/>
      <w:r w:rsidRPr="004A3A03">
        <w:rPr>
          <w:rFonts w:asciiTheme="minorHAnsi" w:hAnsiTheme="minorHAnsi" w:cstheme="minorHAnsi"/>
        </w:rPr>
        <w:t>geokronološka</w:t>
      </w:r>
      <w:proofErr w:type="spellEnd"/>
      <w:r w:rsidRPr="004A3A03">
        <w:rPr>
          <w:rFonts w:asciiTheme="minorHAnsi" w:hAnsiTheme="minorHAnsi" w:cstheme="minorHAnsi"/>
        </w:rPr>
        <w:t xml:space="preserve"> studija i lab</w:t>
      </w:r>
      <w:r>
        <w:rPr>
          <w:rFonts w:asciiTheme="minorHAnsi" w:hAnsiTheme="minorHAnsi" w:cstheme="minorHAnsi"/>
        </w:rPr>
        <w:t>o</w:t>
      </w:r>
      <w:r w:rsidRPr="004A3A03">
        <w:rPr>
          <w:rFonts w:asciiTheme="minorHAnsi" w:hAnsiTheme="minorHAnsi" w:cstheme="minorHAnsi"/>
        </w:rPr>
        <w:t>ratorijska analiza u tijeku</w:t>
      </w:r>
    </w:p>
    <w:p w14:paraId="5D535C18" w14:textId="2D410FCF" w:rsidR="004A3A03" w:rsidRPr="004A3A03" w:rsidRDefault="004A3A03" w:rsidP="004A3A03">
      <w:pPr>
        <w:pStyle w:val="ListParagraph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>DI-14: Dovršene eksterna geološko-geofizička studija i završna interna geološko-geofizička studija</w:t>
      </w:r>
    </w:p>
    <w:p w14:paraId="6200F69C" w14:textId="77777777" w:rsidR="004A3A03" w:rsidRPr="004A3A03" w:rsidRDefault="004A3A03" w:rsidP="004A3A03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4A3A03">
        <w:rPr>
          <w:rFonts w:asciiTheme="minorHAnsi" w:hAnsiTheme="minorHAnsi" w:cstheme="minorHAnsi"/>
          <w:b/>
          <w:bCs/>
        </w:rPr>
        <w:t>Razrada na Sjevernom Jadranu:</w:t>
      </w:r>
    </w:p>
    <w:p w14:paraId="5A019C1B" w14:textId="133EA8F8" w:rsidR="004A3A03" w:rsidRPr="004A3A03" w:rsidRDefault="004A3A03" w:rsidP="004A3A03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>Bušotina Ika B-1 R: Inicijalna proizvodnja počela 3. ožujka</w:t>
      </w:r>
    </w:p>
    <w:p w14:paraId="0ACEA50F" w14:textId="619E752E" w:rsidR="004A3A03" w:rsidRPr="004A3A03" w:rsidRDefault="004A3A03" w:rsidP="004A3A03">
      <w:pPr>
        <w:pStyle w:val="ListParagraph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 xml:space="preserve">Bušotina Marica D </w:t>
      </w:r>
      <w:proofErr w:type="spellStart"/>
      <w:r w:rsidRPr="004A3A03">
        <w:rPr>
          <w:rFonts w:asciiTheme="minorHAnsi" w:hAnsiTheme="minorHAnsi" w:cstheme="minorHAnsi"/>
        </w:rPr>
        <w:t>Dir</w:t>
      </w:r>
      <w:proofErr w:type="spellEnd"/>
      <w:r w:rsidRPr="004A3A03">
        <w:rPr>
          <w:rFonts w:asciiTheme="minorHAnsi" w:hAnsiTheme="minorHAnsi" w:cstheme="minorHAnsi"/>
        </w:rPr>
        <w:t>: Spajanje dovršeno</w:t>
      </w:r>
      <w:r>
        <w:rPr>
          <w:rFonts w:asciiTheme="minorHAnsi" w:hAnsiTheme="minorHAnsi" w:cstheme="minorHAnsi"/>
        </w:rPr>
        <w:t>, p</w:t>
      </w:r>
      <w:r w:rsidRPr="004A3A03">
        <w:rPr>
          <w:rFonts w:asciiTheme="minorHAnsi" w:hAnsiTheme="minorHAnsi" w:cstheme="minorHAnsi"/>
        </w:rPr>
        <w:t xml:space="preserve">robna proizvodnja počela 26. svibnja </w:t>
      </w:r>
    </w:p>
    <w:p w14:paraId="349EDD7B" w14:textId="77777777" w:rsidR="004A3A03" w:rsidRPr="004A3A03" w:rsidRDefault="004A3A03" w:rsidP="004A3A03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4A3A03">
        <w:rPr>
          <w:rFonts w:asciiTheme="minorHAnsi" w:hAnsiTheme="minorHAnsi" w:cstheme="minorHAnsi"/>
          <w:b/>
          <w:bCs/>
        </w:rPr>
        <w:t xml:space="preserve">Razrada na </w:t>
      </w:r>
      <w:proofErr w:type="spellStart"/>
      <w:r w:rsidRPr="004A3A03">
        <w:rPr>
          <w:rFonts w:asciiTheme="minorHAnsi" w:hAnsiTheme="minorHAnsi" w:cstheme="minorHAnsi"/>
          <w:b/>
          <w:bCs/>
        </w:rPr>
        <w:t>Panonu</w:t>
      </w:r>
      <w:proofErr w:type="spellEnd"/>
      <w:r w:rsidRPr="004A3A03">
        <w:rPr>
          <w:rFonts w:asciiTheme="minorHAnsi" w:hAnsiTheme="minorHAnsi" w:cstheme="minorHAnsi"/>
          <w:b/>
          <w:bCs/>
        </w:rPr>
        <w:t>:</w:t>
      </w:r>
    </w:p>
    <w:p w14:paraId="4DA397E4" w14:textId="58525D5F" w:rsidR="004A3A03" w:rsidRPr="004A3A03" w:rsidRDefault="004A3A03" w:rsidP="004A3A03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>Ukupno izvedeno 25 remonata bušotina</w:t>
      </w:r>
    </w:p>
    <w:p w14:paraId="1806E85D" w14:textId="7D0598A0" w:rsidR="004A3A03" w:rsidRPr="004A3A03" w:rsidRDefault="004A3A03" w:rsidP="004A3A03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>Dravica-3: Bušenje počelo 18. travnja i dovršeno 31. svibnja, bušotina je negativna. Na temelju rezultata u tijeku je revizija koncepta površinske proizvodnje.</w:t>
      </w:r>
    </w:p>
    <w:p w14:paraId="5C0CE5CA" w14:textId="45703A74" w:rsidR="004A3A03" w:rsidRPr="004A3A03" w:rsidRDefault="004A3A03" w:rsidP="004A3A03">
      <w:pPr>
        <w:pStyle w:val="ListParagraph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>EOR Šandrovac: dovršena faza utiskivanja CO</w:t>
      </w:r>
      <w:r w:rsidRPr="00C44347">
        <w:rPr>
          <w:rFonts w:asciiTheme="minorHAnsi" w:hAnsiTheme="minorHAnsi" w:cstheme="minorHAnsi"/>
          <w:vertAlign w:val="subscript"/>
        </w:rPr>
        <w:t>2</w:t>
      </w:r>
      <w:r w:rsidRPr="004A3A03">
        <w:rPr>
          <w:rFonts w:asciiTheme="minorHAnsi" w:hAnsiTheme="minorHAnsi" w:cstheme="minorHAnsi"/>
        </w:rPr>
        <w:t>; u tijeku utiskivanje vode koje je počelo početkom travnja</w:t>
      </w:r>
    </w:p>
    <w:p w14:paraId="75D86473" w14:textId="24AEC15D" w:rsidR="004A3A03" w:rsidRPr="004A3A03" w:rsidRDefault="004A3A03" w:rsidP="004A3A03">
      <w:pPr>
        <w:spacing w:before="120" w:after="120"/>
        <w:contextualSpacing/>
        <w:jc w:val="both"/>
        <w:rPr>
          <w:rFonts w:asciiTheme="minorHAnsi" w:hAnsiTheme="minorHAnsi" w:cstheme="minorHAnsi"/>
          <w:b/>
          <w:bCs/>
        </w:rPr>
      </w:pPr>
      <w:r w:rsidRPr="004A3A03">
        <w:rPr>
          <w:rFonts w:asciiTheme="minorHAnsi" w:hAnsiTheme="minorHAnsi" w:cstheme="minorHAnsi"/>
          <w:b/>
          <w:bCs/>
        </w:rPr>
        <w:t>Egipat</w:t>
      </w:r>
      <w:r w:rsidR="00E82B37">
        <w:rPr>
          <w:rFonts w:asciiTheme="minorHAnsi" w:hAnsiTheme="minorHAnsi" w:cstheme="minorHAnsi"/>
          <w:b/>
          <w:bCs/>
        </w:rPr>
        <w:t>:</w:t>
      </w:r>
    </w:p>
    <w:p w14:paraId="6B94D6F8" w14:textId="25AB8679" w:rsidR="004A3A03" w:rsidRPr="004A3A03" w:rsidRDefault="004A3A03" w:rsidP="004A3A03">
      <w:pPr>
        <w:pStyle w:val="ListParagraph"/>
        <w:numPr>
          <w:ilvl w:val="0"/>
          <w:numId w:val="6"/>
        </w:numPr>
        <w:spacing w:before="120" w:after="120"/>
        <w:jc w:val="both"/>
        <w:rPr>
          <w:rFonts w:asciiTheme="minorHAnsi" w:hAnsiTheme="minorHAnsi" w:cstheme="minorHAnsi"/>
        </w:rPr>
      </w:pPr>
      <w:r w:rsidRPr="004A3A03">
        <w:rPr>
          <w:rFonts w:asciiTheme="minorHAnsi" w:hAnsiTheme="minorHAnsi" w:cstheme="minorHAnsi"/>
        </w:rPr>
        <w:t xml:space="preserve">Egipat, koncesija North </w:t>
      </w:r>
      <w:proofErr w:type="spellStart"/>
      <w:r w:rsidRPr="004A3A03">
        <w:rPr>
          <w:rFonts w:asciiTheme="minorHAnsi" w:hAnsiTheme="minorHAnsi" w:cstheme="minorHAnsi"/>
        </w:rPr>
        <w:t>Bahariya</w:t>
      </w:r>
      <w:proofErr w:type="spellEnd"/>
      <w:r w:rsidRPr="004A3A03">
        <w:rPr>
          <w:rFonts w:asciiTheme="minorHAnsi" w:hAnsiTheme="minorHAnsi" w:cstheme="minorHAnsi"/>
        </w:rPr>
        <w:t xml:space="preserve">: </w:t>
      </w:r>
      <w:r w:rsidR="00297E52">
        <w:rPr>
          <w:rFonts w:asciiTheme="minorHAnsi" w:hAnsiTheme="minorHAnsi" w:cstheme="minorHAnsi"/>
        </w:rPr>
        <w:t>I</w:t>
      </w:r>
      <w:r w:rsidRPr="004A3A03">
        <w:rPr>
          <w:rFonts w:asciiTheme="minorHAnsi" w:hAnsiTheme="minorHAnsi" w:cstheme="minorHAnsi"/>
        </w:rPr>
        <w:t xml:space="preserve">zbušeno je </w:t>
      </w:r>
      <w:r w:rsidR="00297E52">
        <w:rPr>
          <w:rFonts w:asciiTheme="minorHAnsi" w:hAnsiTheme="minorHAnsi" w:cstheme="minorHAnsi"/>
        </w:rPr>
        <w:t>sedam</w:t>
      </w:r>
      <w:r w:rsidRPr="004A3A03">
        <w:rPr>
          <w:rFonts w:asciiTheme="minorHAnsi" w:hAnsiTheme="minorHAnsi" w:cstheme="minorHAnsi"/>
        </w:rPr>
        <w:t xml:space="preserve"> razradnih bušotina (</w:t>
      </w:r>
      <w:r w:rsidR="00297E52">
        <w:rPr>
          <w:rFonts w:asciiTheme="minorHAnsi" w:hAnsiTheme="minorHAnsi" w:cstheme="minorHAnsi"/>
        </w:rPr>
        <w:t>tri</w:t>
      </w:r>
      <w:r w:rsidRPr="004A3A03">
        <w:rPr>
          <w:rFonts w:asciiTheme="minorHAnsi" w:hAnsiTheme="minorHAnsi" w:cstheme="minorHAnsi"/>
        </w:rPr>
        <w:t xml:space="preserve"> proizvodne i </w:t>
      </w:r>
      <w:r w:rsidR="00297E52">
        <w:rPr>
          <w:rFonts w:asciiTheme="minorHAnsi" w:hAnsiTheme="minorHAnsi" w:cstheme="minorHAnsi"/>
        </w:rPr>
        <w:t>četiri</w:t>
      </w:r>
      <w:r w:rsidRPr="004A3A03">
        <w:rPr>
          <w:rFonts w:asciiTheme="minorHAnsi" w:hAnsiTheme="minorHAnsi" w:cstheme="minorHAnsi"/>
        </w:rPr>
        <w:t xml:space="preserve"> vodo</w:t>
      </w:r>
      <w:r w:rsidR="00297E52">
        <w:rPr>
          <w:rFonts w:asciiTheme="minorHAnsi" w:hAnsiTheme="minorHAnsi" w:cstheme="minorHAnsi"/>
        </w:rPr>
        <w:t>-</w:t>
      </w:r>
      <w:r w:rsidRPr="004A3A03">
        <w:rPr>
          <w:rFonts w:asciiTheme="minorHAnsi" w:hAnsiTheme="minorHAnsi" w:cstheme="minorHAnsi"/>
        </w:rPr>
        <w:t>utisne), od kojih su dvije puštene u proizvodnju kao naftne bušotine</w:t>
      </w:r>
      <w:r w:rsidR="00297E52">
        <w:rPr>
          <w:rFonts w:asciiTheme="minorHAnsi" w:hAnsiTheme="minorHAnsi" w:cstheme="minorHAnsi"/>
        </w:rPr>
        <w:t>. U</w:t>
      </w:r>
      <w:r w:rsidRPr="004A3A03">
        <w:rPr>
          <w:rFonts w:asciiTheme="minorHAnsi" w:hAnsiTheme="minorHAnsi" w:cstheme="minorHAnsi"/>
        </w:rPr>
        <w:t xml:space="preserve"> tijeku je opremanje </w:t>
      </w:r>
      <w:r w:rsidR="00297E52">
        <w:rPr>
          <w:rFonts w:asciiTheme="minorHAnsi" w:hAnsiTheme="minorHAnsi" w:cstheme="minorHAnsi"/>
        </w:rPr>
        <w:t xml:space="preserve">treće </w:t>
      </w:r>
      <w:r w:rsidRPr="004A3A03">
        <w:rPr>
          <w:rFonts w:asciiTheme="minorHAnsi" w:hAnsiTheme="minorHAnsi" w:cstheme="minorHAnsi"/>
        </w:rPr>
        <w:t>izbušene bušotine.</w:t>
      </w:r>
    </w:p>
    <w:bookmarkEnd w:id="3"/>
    <w:p w14:paraId="0EC2560A" w14:textId="77777777" w:rsidR="00286848" w:rsidRPr="00377C00" w:rsidRDefault="00286848" w:rsidP="003E0A2F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05D4F140" w14:textId="2A8D6E04" w:rsidR="00C25445" w:rsidRPr="00377C00" w:rsidRDefault="00C25445" w:rsidP="003E0A2F">
      <w:pPr>
        <w:spacing w:line="360" w:lineRule="auto"/>
        <w:jc w:val="center"/>
        <w:rPr>
          <w:rFonts w:asciiTheme="minorHAnsi" w:hAnsiTheme="minorHAnsi" w:cstheme="minorHAnsi"/>
          <w:b/>
        </w:rPr>
        <w:sectPr w:rsidR="00C25445" w:rsidRPr="00377C00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F42FCA7" w14:textId="1472D746" w:rsidR="006D62BF" w:rsidRPr="00377C00" w:rsidRDefault="00C027E1" w:rsidP="00AC1D42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262B3D1" wp14:editId="79AB83B9">
            <wp:extent cx="2766950" cy="2094901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332" cy="20982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36C0FC" w14:textId="4881D16C" w:rsidR="00E361DB" w:rsidRPr="00377C00" w:rsidRDefault="00C027E1" w:rsidP="00AC1D4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2A5FE30C" wp14:editId="2F8605DB">
            <wp:extent cx="2744736" cy="209486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953" cy="21003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37C91D" w14:textId="4F72E78B" w:rsidR="00E361DB" w:rsidRPr="00377C00" w:rsidRDefault="00E361DB" w:rsidP="00C0068C">
      <w:pPr>
        <w:spacing w:line="360" w:lineRule="auto"/>
        <w:jc w:val="both"/>
        <w:rPr>
          <w:rFonts w:asciiTheme="minorHAnsi" w:hAnsiTheme="minorHAnsi" w:cstheme="minorHAnsi"/>
          <w:b/>
        </w:rPr>
        <w:sectPr w:rsidR="00E361DB" w:rsidRPr="00377C00" w:rsidSect="003E0A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A2279C" w14:textId="736A55AE" w:rsidR="005756D5" w:rsidRPr="00377C00" w:rsidRDefault="00C027E1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7F533342" wp14:editId="7BA724DB">
            <wp:extent cx="2744867" cy="207818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419" cy="208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2521EB" w14:textId="71932CDA" w:rsidR="00286848" w:rsidRPr="00377C00" w:rsidRDefault="00286848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362CAA65" w14:textId="42142A5B" w:rsidR="00286848" w:rsidRPr="00377C00" w:rsidRDefault="00130DEA" w:rsidP="001B7CDD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377C00">
        <w:rPr>
          <w:rFonts w:asciiTheme="minorHAnsi" w:hAnsiTheme="minorHAnsi" w:cstheme="minorHAnsi"/>
          <w:b/>
        </w:rPr>
        <w:t>Rafinerije i marketing (uključujući Usluge kupcima i maloprodaju)</w:t>
      </w:r>
    </w:p>
    <w:p w14:paraId="78EDBEE0" w14:textId="0D483CDB" w:rsidR="00F92756" w:rsidRDefault="00F92756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  <w:bookmarkStart w:id="4" w:name="_Hlk101966067"/>
      <w:r>
        <w:rPr>
          <w:rFonts w:asciiTheme="minorHAnsi" w:eastAsiaTheme="minorHAnsi" w:hAnsiTheme="minorHAnsi" w:cstheme="minorHAnsi"/>
        </w:rPr>
        <w:t>Ostvarena je v</w:t>
      </w:r>
      <w:r w:rsidRPr="00F92756">
        <w:rPr>
          <w:rFonts w:asciiTheme="minorHAnsi" w:eastAsiaTheme="minorHAnsi" w:hAnsiTheme="minorHAnsi" w:cstheme="minorHAnsi"/>
        </w:rPr>
        <w:t>eća prodaja na ključnim tržištima, dok su marže pod utjecajem Vladinih mjera na domaćem tržištu</w:t>
      </w:r>
      <w:r>
        <w:rPr>
          <w:rFonts w:asciiTheme="minorHAnsi" w:eastAsiaTheme="minorHAnsi" w:hAnsiTheme="minorHAnsi" w:cstheme="minorHAnsi"/>
        </w:rPr>
        <w:t xml:space="preserve">. </w:t>
      </w:r>
      <w:r w:rsidRPr="00F92756">
        <w:rPr>
          <w:rFonts w:asciiTheme="minorHAnsi" w:eastAsiaTheme="minorHAnsi" w:hAnsiTheme="minorHAnsi" w:cstheme="minorHAnsi"/>
        </w:rPr>
        <w:t xml:space="preserve">Rad Rafinerije nafte Rijeka počeo je krajem ožujka kako bi se osigurala stabilna opskrba ključnih tržišta u nadolazećim mjesecima, ublažavajući rizik od </w:t>
      </w:r>
      <w:r>
        <w:rPr>
          <w:rFonts w:asciiTheme="minorHAnsi" w:eastAsiaTheme="minorHAnsi" w:hAnsiTheme="minorHAnsi" w:cstheme="minorHAnsi"/>
        </w:rPr>
        <w:t>smanjene</w:t>
      </w:r>
      <w:r w:rsidRPr="00F92756">
        <w:rPr>
          <w:rFonts w:asciiTheme="minorHAnsi" w:eastAsiaTheme="minorHAnsi" w:hAnsiTheme="minorHAnsi" w:cstheme="minorHAnsi"/>
        </w:rPr>
        <w:t xml:space="preserve"> dostupnosti proizvoda na svjetskom tržištu zbog rusko-ukrajinske krize. </w:t>
      </w:r>
      <w:r>
        <w:rPr>
          <w:rFonts w:asciiTheme="minorHAnsi" w:eastAsiaTheme="minorHAnsi" w:hAnsiTheme="minorHAnsi" w:cstheme="minorHAnsi"/>
        </w:rPr>
        <w:t>U</w:t>
      </w:r>
      <w:r w:rsidRPr="00F92756">
        <w:rPr>
          <w:rFonts w:asciiTheme="minorHAnsi" w:eastAsiaTheme="minorHAnsi" w:hAnsiTheme="minorHAnsi" w:cstheme="minorHAnsi"/>
        </w:rPr>
        <w:t>zlazni trendovi kretanja cijena u vanjskom okruženju snažno su poduprli pozitivan doprinos rafinerijskog poslovanja financijskom rezultatu u drugom tromjesečju, što je djelomično kompenzirano visokim cijenama energije</w:t>
      </w:r>
      <w:r>
        <w:rPr>
          <w:rFonts w:asciiTheme="minorHAnsi" w:eastAsiaTheme="minorHAnsi" w:hAnsiTheme="minorHAnsi" w:cstheme="minorHAnsi"/>
        </w:rPr>
        <w:t>.</w:t>
      </w:r>
    </w:p>
    <w:p w14:paraId="652F06B6" w14:textId="77777777" w:rsidR="00F92756" w:rsidRPr="00F92756" w:rsidRDefault="00F92756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</w:p>
    <w:p w14:paraId="1B6D5E01" w14:textId="764E4BE6" w:rsidR="00F92756" w:rsidRPr="00F92756" w:rsidRDefault="00F92756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  <w:r w:rsidRPr="00F92756">
        <w:rPr>
          <w:rFonts w:asciiTheme="minorHAnsi" w:eastAsiaTheme="minorHAnsi" w:hAnsiTheme="minorHAnsi" w:cstheme="minorHAnsi"/>
        </w:rPr>
        <w:t xml:space="preserve">Ukupna prodaja Maloprodaje u prvoj polovici 2022. godine iznosila je 508 </w:t>
      </w:r>
      <w:proofErr w:type="spellStart"/>
      <w:r w:rsidRPr="00F92756">
        <w:rPr>
          <w:rFonts w:asciiTheme="minorHAnsi" w:eastAsiaTheme="minorHAnsi" w:hAnsiTheme="minorHAnsi" w:cstheme="minorHAnsi"/>
        </w:rPr>
        <w:t>kt</w:t>
      </w:r>
      <w:proofErr w:type="spellEnd"/>
      <w:r w:rsidRPr="00F92756">
        <w:rPr>
          <w:rFonts w:asciiTheme="minorHAnsi" w:eastAsiaTheme="minorHAnsi" w:hAnsiTheme="minorHAnsi" w:cstheme="minorHAnsi"/>
        </w:rPr>
        <w:t>,</w:t>
      </w:r>
      <w:r>
        <w:rPr>
          <w:rFonts w:asciiTheme="minorHAnsi" w:eastAsiaTheme="minorHAnsi" w:hAnsiTheme="minorHAnsi" w:cstheme="minorHAnsi"/>
        </w:rPr>
        <w:t xml:space="preserve"> što je devet posto</w:t>
      </w:r>
      <w:r w:rsidRPr="00F92756">
        <w:rPr>
          <w:rFonts w:asciiTheme="minorHAnsi" w:eastAsiaTheme="minorHAnsi" w:hAnsiTheme="minorHAnsi" w:cstheme="minorHAnsi"/>
        </w:rPr>
        <w:t xml:space="preserve"> više u odnosu na isto razdoblje </w:t>
      </w:r>
      <w:r>
        <w:rPr>
          <w:rFonts w:asciiTheme="minorHAnsi" w:eastAsiaTheme="minorHAnsi" w:hAnsiTheme="minorHAnsi" w:cstheme="minorHAnsi"/>
        </w:rPr>
        <w:t>lani</w:t>
      </w:r>
      <w:r w:rsidRPr="00F92756">
        <w:rPr>
          <w:rFonts w:asciiTheme="minorHAnsi" w:eastAsiaTheme="minorHAnsi" w:hAnsiTheme="minorHAnsi" w:cstheme="minorHAnsi"/>
        </w:rPr>
        <w:t xml:space="preserve">, zahvaljujući </w:t>
      </w:r>
      <w:r w:rsidR="0033024F" w:rsidRPr="00F92756">
        <w:rPr>
          <w:rFonts w:asciiTheme="minorHAnsi" w:eastAsiaTheme="minorHAnsi" w:hAnsiTheme="minorHAnsi" w:cstheme="minorHAnsi"/>
        </w:rPr>
        <w:t>povoljnijim tržišnim uvjetima uz slabija COVID ograničenja</w:t>
      </w:r>
      <w:r w:rsidR="0033024F">
        <w:rPr>
          <w:rFonts w:asciiTheme="minorHAnsi" w:eastAsiaTheme="minorHAnsi" w:hAnsiTheme="minorHAnsi" w:cstheme="minorHAnsi"/>
        </w:rPr>
        <w:t xml:space="preserve"> i povećanoj turističkoj potrošnji</w:t>
      </w:r>
      <w:r w:rsidRPr="00F92756">
        <w:rPr>
          <w:rFonts w:asciiTheme="minorHAnsi" w:eastAsiaTheme="minorHAnsi" w:hAnsiTheme="minorHAnsi" w:cstheme="minorHAnsi"/>
        </w:rPr>
        <w:t>.</w:t>
      </w:r>
      <w:r w:rsidR="00281C18">
        <w:rPr>
          <w:rFonts w:asciiTheme="minorHAnsi" w:eastAsiaTheme="minorHAnsi" w:hAnsiTheme="minorHAnsi" w:cstheme="minorHAnsi"/>
        </w:rPr>
        <w:t xml:space="preserve"> </w:t>
      </w:r>
      <w:r w:rsidRPr="00F92756">
        <w:rPr>
          <w:rFonts w:asciiTheme="minorHAnsi" w:eastAsiaTheme="minorHAnsi" w:hAnsiTheme="minorHAnsi" w:cstheme="minorHAnsi"/>
        </w:rPr>
        <w:t>Marža negoriva veća je od prošlogodišnjeg razdoblja za 15</w:t>
      </w:r>
      <w:r w:rsidR="00281C18">
        <w:rPr>
          <w:rFonts w:asciiTheme="minorHAnsi" w:eastAsiaTheme="minorHAnsi" w:hAnsiTheme="minorHAnsi" w:cstheme="minorHAnsi"/>
        </w:rPr>
        <w:t xml:space="preserve"> posto</w:t>
      </w:r>
      <w:r w:rsidRPr="00F92756">
        <w:rPr>
          <w:rFonts w:asciiTheme="minorHAnsi" w:eastAsiaTheme="minorHAnsi" w:hAnsiTheme="minorHAnsi" w:cstheme="minorHAnsi"/>
        </w:rPr>
        <w:t xml:space="preserve"> što je potaknuto stalnim poboljšanjem asortimana i usluga, kao i povećanjem broja </w:t>
      </w:r>
      <w:proofErr w:type="spellStart"/>
      <w:r w:rsidRPr="00F92756">
        <w:rPr>
          <w:rFonts w:asciiTheme="minorHAnsi" w:eastAsiaTheme="minorHAnsi" w:hAnsiTheme="minorHAnsi" w:cstheme="minorHAnsi"/>
        </w:rPr>
        <w:t>Fresh</w:t>
      </w:r>
      <w:proofErr w:type="spellEnd"/>
      <w:r w:rsidRPr="00F92756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F92756">
        <w:rPr>
          <w:rFonts w:asciiTheme="minorHAnsi" w:eastAsiaTheme="minorHAnsi" w:hAnsiTheme="minorHAnsi" w:cstheme="minorHAnsi"/>
        </w:rPr>
        <w:t>Corner</w:t>
      </w:r>
      <w:proofErr w:type="spellEnd"/>
      <w:r w:rsidRPr="00F92756">
        <w:rPr>
          <w:rFonts w:asciiTheme="minorHAnsi" w:eastAsiaTheme="minorHAnsi" w:hAnsiTheme="minorHAnsi" w:cstheme="minorHAnsi"/>
        </w:rPr>
        <w:t xml:space="preserve"> lokacija i unapređenjem prodajnih aktivnosti</w:t>
      </w:r>
      <w:r w:rsidR="00281C18">
        <w:rPr>
          <w:rFonts w:asciiTheme="minorHAnsi" w:eastAsiaTheme="minorHAnsi" w:hAnsiTheme="minorHAnsi" w:cstheme="minorHAnsi"/>
        </w:rPr>
        <w:t>.</w:t>
      </w:r>
    </w:p>
    <w:p w14:paraId="1567DF81" w14:textId="77777777" w:rsidR="00281C18" w:rsidRDefault="00281C18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</w:p>
    <w:p w14:paraId="4DBC1425" w14:textId="16E9F119" w:rsidR="00F92756" w:rsidRDefault="00F92756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  <w:r w:rsidRPr="00F92756">
        <w:rPr>
          <w:rFonts w:asciiTheme="minorHAnsi" w:eastAsiaTheme="minorHAnsi" w:hAnsiTheme="minorHAnsi" w:cstheme="minorHAnsi"/>
        </w:rPr>
        <w:lastRenderedPageBreak/>
        <w:t>Održavanje vodeće pozicije na tržištu goriva podržano je i brojem registriranih članova u programu vjernost</w:t>
      </w:r>
      <w:r w:rsidR="00281C18">
        <w:rPr>
          <w:rFonts w:asciiTheme="minorHAnsi" w:eastAsiaTheme="minorHAnsi" w:hAnsiTheme="minorHAnsi" w:cstheme="minorHAnsi"/>
        </w:rPr>
        <w:t>i</w:t>
      </w:r>
      <w:r w:rsidRPr="00F92756">
        <w:rPr>
          <w:rFonts w:asciiTheme="minorHAnsi" w:eastAsiaTheme="minorHAnsi" w:hAnsiTheme="minorHAnsi" w:cstheme="minorHAnsi"/>
        </w:rPr>
        <w:t xml:space="preserve"> u Hrvatskoj koji je dosegnuo 380 tisuća članova. Novi vlastiti proizvodi </w:t>
      </w:r>
      <w:proofErr w:type="spellStart"/>
      <w:r w:rsidRPr="00F92756">
        <w:rPr>
          <w:rFonts w:asciiTheme="minorHAnsi" w:eastAsiaTheme="minorHAnsi" w:hAnsiTheme="minorHAnsi" w:cstheme="minorHAnsi"/>
        </w:rPr>
        <w:t>Crunch&amp;Go</w:t>
      </w:r>
      <w:proofErr w:type="spellEnd"/>
      <w:r w:rsidRPr="00F92756">
        <w:rPr>
          <w:rFonts w:asciiTheme="minorHAnsi" w:eastAsiaTheme="minorHAnsi" w:hAnsiTheme="minorHAnsi" w:cstheme="minorHAnsi"/>
        </w:rPr>
        <w:t xml:space="preserve"> i Jim uspješno su lansirani.</w:t>
      </w:r>
    </w:p>
    <w:p w14:paraId="27D30D6C" w14:textId="77777777" w:rsidR="00281C18" w:rsidRPr="00F92756" w:rsidRDefault="00281C18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</w:p>
    <w:p w14:paraId="7B45400D" w14:textId="2DF6E6E8" w:rsidR="00F92756" w:rsidRPr="00693C6F" w:rsidRDefault="00F92756" w:rsidP="00F92756">
      <w:pPr>
        <w:pStyle w:val="ListParagraph"/>
        <w:ind w:left="0"/>
        <w:rPr>
          <w:rFonts w:asciiTheme="minorHAnsi" w:eastAsiaTheme="minorHAnsi" w:hAnsiTheme="minorHAnsi" w:cstheme="minorHAnsi"/>
          <w:b/>
          <w:bCs/>
        </w:rPr>
      </w:pPr>
      <w:r w:rsidRPr="00693C6F">
        <w:rPr>
          <w:rFonts w:asciiTheme="minorHAnsi" w:eastAsiaTheme="minorHAnsi" w:hAnsiTheme="minorHAnsi" w:cstheme="minorHAnsi"/>
          <w:b/>
          <w:bCs/>
        </w:rPr>
        <w:t>Kapitalna ulaganja Rafinerija i marketinga iznosila su 968 milijuna kuna:</w:t>
      </w:r>
    </w:p>
    <w:p w14:paraId="74051EB5" w14:textId="77777777" w:rsidR="00281C18" w:rsidRPr="00F92756" w:rsidRDefault="00281C18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</w:p>
    <w:p w14:paraId="2AB719C0" w14:textId="42E9CFA4" w:rsidR="00F92756" w:rsidRPr="00F92756" w:rsidRDefault="00F92756" w:rsidP="006215E4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693C6F">
        <w:rPr>
          <w:rFonts w:asciiTheme="minorHAnsi" w:eastAsiaTheme="minorHAnsi" w:hAnsiTheme="minorHAnsi" w:cstheme="minorHAnsi"/>
          <w:b/>
          <w:bCs/>
        </w:rPr>
        <w:t>Projekt nadogradnje Rafinerije nafte Rijeka</w:t>
      </w:r>
      <w:r w:rsidRPr="00F92756">
        <w:rPr>
          <w:rFonts w:asciiTheme="minorHAnsi" w:eastAsiaTheme="minorHAnsi" w:hAnsiTheme="minorHAnsi" w:cstheme="minorHAnsi"/>
        </w:rPr>
        <w:t xml:space="preserve"> - Angažiran je izvođač za elektro i instrumentacijske radove, što je značilo izdavanje posljednje narudžbenice za izvođače. Proizvodnja i isporuka opreme na gradilište je dosegla 90</w:t>
      </w:r>
      <w:r w:rsidR="00CA5002">
        <w:rPr>
          <w:rFonts w:asciiTheme="minorHAnsi" w:eastAsiaTheme="minorHAnsi" w:hAnsiTheme="minorHAnsi" w:cstheme="minorHAnsi"/>
        </w:rPr>
        <w:t xml:space="preserve"> posto</w:t>
      </w:r>
      <w:r w:rsidRPr="00F92756">
        <w:rPr>
          <w:rFonts w:asciiTheme="minorHAnsi" w:eastAsiaTheme="minorHAnsi" w:hAnsiTheme="minorHAnsi" w:cstheme="minorHAnsi"/>
        </w:rPr>
        <w:t xml:space="preserve">. Dovršena je izgradnja konstrukcije za </w:t>
      </w:r>
      <w:proofErr w:type="spellStart"/>
      <w:r w:rsidRPr="00F92756">
        <w:rPr>
          <w:rFonts w:asciiTheme="minorHAnsi" w:eastAsiaTheme="minorHAnsi" w:hAnsiTheme="minorHAnsi" w:cstheme="minorHAnsi"/>
        </w:rPr>
        <w:t>koksne</w:t>
      </w:r>
      <w:proofErr w:type="spellEnd"/>
      <w:r w:rsidRPr="00F92756">
        <w:rPr>
          <w:rFonts w:asciiTheme="minorHAnsi" w:eastAsiaTheme="minorHAnsi" w:hAnsiTheme="minorHAnsi" w:cstheme="minorHAnsi"/>
        </w:rPr>
        <w:t xml:space="preserve"> komore dosizanjem ~120 metara, što omogućava podizanje teške opreme i čeličnih konstrukcija</w:t>
      </w:r>
      <w:r w:rsidR="00CA5002">
        <w:rPr>
          <w:rFonts w:asciiTheme="minorHAnsi" w:eastAsiaTheme="minorHAnsi" w:hAnsiTheme="minorHAnsi" w:cstheme="minorHAnsi"/>
        </w:rPr>
        <w:t>, a</w:t>
      </w:r>
      <w:r w:rsidRPr="00F92756">
        <w:rPr>
          <w:rFonts w:asciiTheme="minorHAnsi" w:eastAsiaTheme="minorHAnsi" w:hAnsiTheme="minorHAnsi" w:cstheme="minorHAnsi"/>
        </w:rPr>
        <w:t xml:space="preserve"> konačna visina će biti ~190 metara. Završena je izgradnja dalekovoda i trafostanice 110kV. Ukupna dovršenost projekta je 56</w:t>
      </w:r>
      <w:r w:rsidR="00CA5002">
        <w:rPr>
          <w:rFonts w:asciiTheme="minorHAnsi" w:eastAsiaTheme="minorHAnsi" w:hAnsiTheme="minorHAnsi" w:cstheme="minorHAnsi"/>
        </w:rPr>
        <w:t xml:space="preserve"> posto.</w:t>
      </w:r>
    </w:p>
    <w:p w14:paraId="4D63AB4C" w14:textId="1CF0E086" w:rsidR="00F92756" w:rsidRPr="00F92756" w:rsidRDefault="00F92756" w:rsidP="006215E4">
      <w:pPr>
        <w:pStyle w:val="ListParagraph"/>
        <w:numPr>
          <w:ilvl w:val="0"/>
          <w:numId w:val="6"/>
        </w:numPr>
        <w:rPr>
          <w:rFonts w:asciiTheme="minorHAnsi" w:eastAsiaTheme="minorHAnsi" w:hAnsiTheme="minorHAnsi" w:cstheme="minorHAnsi"/>
        </w:rPr>
      </w:pPr>
      <w:r w:rsidRPr="00693C6F">
        <w:rPr>
          <w:rFonts w:asciiTheme="minorHAnsi" w:eastAsiaTheme="minorHAnsi" w:hAnsiTheme="minorHAnsi" w:cstheme="minorHAnsi"/>
          <w:b/>
          <w:bCs/>
        </w:rPr>
        <w:t xml:space="preserve">Poboljšanje energetske učinkovitosti postrojenja za atmosfersku destilaciju </w:t>
      </w:r>
      <w:r w:rsidRPr="00F92756">
        <w:rPr>
          <w:rFonts w:asciiTheme="minorHAnsi" w:eastAsiaTheme="minorHAnsi" w:hAnsiTheme="minorHAnsi" w:cstheme="minorHAnsi"/>
        </w:rPr>
        <w:t>- Izrada glavnog projekta je u tijeku (postignuto 30</w:t>
      </w:r>
      <w:r w:rsidR="00CA5002">
        <w:rPr>
          <w:rFonts w:asciiTheme="minorHAnsi" w:eastAsiaTheme="minorHAnsi" w:hAnsiTheme="minorHAnsi" w:cstheme="minorHAnsi"/>
        </w:rPr>
        <w:t xml:space="preserve"> posto</w:t>
      </w:r>
      <w:r w:rsidRPr="00F92756">
        <w:rPr>
          <w:rFonts w:asciiTheme="minorHAnsi" w:eastAsiaTheme="minorHAnsi" w:hAnsiTheme="minorHAnsi" w:cstheme="minorHAnsi"/>
        </w:rPr>
        <w:t xml:space="preserve"> dovršenosti). U tijeku su natječaji za isporuku glavne opreme (izmjenjivači topline, nove pumpe i remont postojećih pumpi)</w:t>
      </w:r>
      <w:r w:rsidR="00CA5002">
        <w:rPr>
          <w:rFonts w:asciiTheme="minorHAnsi" w:eastAsiaTheme="minorHAnsi" w:hAnsiTheme="minorHAnsi" w:cstheme="minorHAnsi"/>
        </w:rPr>
        <w:t>.</w:t>
      </w:r>
    </w:p>
    <w:p w14:paraId="03AF6691" w14:textId="77777777" w:rsidR="00F92756" w:rsidRPr="00F92756" w:rsidRDefault="00F92756" w:rsidP="00F92756">
      <w:pPr>
        <w:pStyle w:val="ListParagraph"/>
        <w:ind w:left="0"/>
        <w:rPr>
          <w:rFonts w:asciiTheme="minorHAnsi" w:eastAsiaTheme="minorHAnsi" w:hAnsiTheme="minorHAnsi" w:cstheme="minorHAnsi"/>
        </w:rPr>
      </w:pPr>
    </w:p>
    <w:p w14:paraId="2F209CA2" w14:textId="5E0CCC20" w:rsidR="007E0400" w:rsidRDefault="00F92756" w:rsidP="00BD6403">
      <w:pPr>
        <w:pStyle w:val="ListParagraph"/>
        <w:ind w:left="0"/>
        <w:contextualSpacing w:val="0"/>
        <w:rPr>
          <w:rFonts w:asciiTheme="minorHAnsi" w:eastAsiaTheme="minorHAnsi" w:hAnsiTheme="minorHAnsi" w:cstheme="minorHAnsi"/>
        </w:rPr>
      </w:pPr>
      <w:r w:rsidRPr="00F92756">
        <w:rPr>
          <w:rFonts w:asciiTheme="minorHAnsi" w:eastAsiaTheme="minorHAnsi" w:hAnsiTheme="minorHAnsi" w:cstheme="minorHAnsi"/>
        </w:rPr>
        <w:t xml:space="preserve">Kapitalna ulaganja u </w:t>
      </w:r>
      <w:r w:rsidR="00281C18">
        <w:rPr>
          <w:rFonts w:asciiTheme="minorHAnsi" w:eastAsiaTheme="minorHAnsi" w:hAnsiTheme="minorHAnsi" w:cstheme="minorHAnsi"/>
        </w:rPr>
        <w:t xml:space="preserve">segmentu </w:t>
      </w:r>
      <w:r w:rsidRPr="00F92756">
        <w:rPr>
          <w:rFonts w:asciiTheme="minorHAnsi" w:eastAsiaTheme="minorHAnsi" w:hAnsiTheme="minorHAnsi" w:cstheme="minorHAnsi"/>
        </w:rPr>
        <w:t>Uslug</w:t>
      </w:r>
      <w:r w:rsidR="00281C18">
        <w:rPr>
          <w:rFonts w:asciiTheme="minorHAnsi" w:eastAsiaTheme="minorHAnsi" w:hAnsiTheme="minorHAnsi" w:cstheme="minorHAnsi"/>
        </w:rPr>
        <w:t>a</w:t>
      </w:r>
      <w:r w:rsidRPr="00F92756">
        <w:rPr>
          <w:rFonts w:asciiTheme="minorHAnsi" w:eastAsiaTheme="minorHAnsi" w:hAnsiTheme="minorHAnsi" w:cstheme="minorHAnsi"/>
        </w:rPr>
        <w:t xml:space="preserve"> kupcima i maloprodaj</w:t>
      </w:r>
      <w:r w:rsidR="00281C18">
        <w:rPr>
          <w:rFonts w:asciiTheme="minorHAnsi" w:eastAsiaTheme="minorHAnsi" w:hAnsiTheme="minorHAnsi" w:cstheme="minorHAnsi"/>
        </w:rPr>
        <w:t>e</w:t>
      </w:r>
      <w:r w:rsidRPr="00F92756">
        <w:rPr>
          <w:rFonts w:asciiTheme="minorHAnsi" w:eastAsiaTheme="minorHAnsi" w:hAnsiTheme="minorHAnsi" w:cstheme="minorHAnsi"/>
        </w:rPr>
        <w:t xml:space="preserve"> iznosila su 34 milijuna kuna u prvoj polovici 2022. s naglaskom na modernizacij</w:t>
      </w:r>
      <w:r w:rsidR="00281C18">
        <w:rPr>
          <w:rFonts w:asciiTheme="minorHAnsi" w:eastAsiaTheme="minorHAnsi" w:hAnsiTheme="minorHAnsi" w:cstheme="minorHAnsi"/>
        </w:rPr>
        <w:t>u</w:t>
      </w:r>
      <w:r w:rsidRPr="00F92756">
        <w:rPr>
          <w:rFonts w:asciiTheme="minorHAnsi" w:eastAsiaTheme="minorHAnsi" w:hAnsiTheme="minorHAnsi" w:cstheme="minorHAnsi"/>
        </w:rPr>
        <w:t xml:space="preserve"> i razvoj koncepta </w:t>
      </w:r>
      <w:proofErr w:type="spellStart"/>
      <w:r w:rsidR="00281C18" w:rsidRPr="00F92756">
        <w:rPr>
          <w:rFonts w:asciiTheme="minorHAnsi" w:eastAsiaTheme="minorHAnsi" w:hAnsiTheme="minorHAnsi" w:cstheme="minorHAnsi"/>
        </w:rPr>
        <w:t>Fresh</w:t>
      </w:r>
      <w:proofErr w:type="spellEnd"/>
      <w:r w:rsidR="00281C18" w:rsidRPr="00F92756">
        <w:rPr>
          <w:rFonts w:asciiTheme="minorHAnsi" w:eastAsiaTheme="minorHAnsi" w:hAnsiTheme="minorHAnsi" w:cstheme="minorHAnsi"/>
        </w:rPr>
        <w:t xml:space="preserve"> </w:t>
      </w:r>
      <w:proofErr w:type="spellStart"/>
      <w:r w:rsidR="00281C18" w:rsidRPr="00F92756">
        <w:rPr>
          <w:rFonts w:asciiTheme="minorHAnsi" w:eastAsiaTheme="minorHAnsi" w:hAnsiTheme="minorHAnsi" w:cstheme="minorHAnsi"/>
        </w:rPr>
        <w:t>Corner</w:t>
      </w:r>
      <w:proofErr w:type="spellEnd"/>
      <w:r w:rsidR="00281C18" w:rsidRPr="00F92756">
        <w:rPr>
          <w:rFonts w:asciiTheme="minorHAnsi" w:eastAsiaTheme="minorHAnsi" w:hAnsiTheme="minorHAnsi" w:cstheme="minorHAnsi"/>
        </w:rPr>
        <w:t xml:space="preserve"> </w:t>
      </w:r>
      <w:r w:rsidRPr="00F92756">
        <w:rPr>
          <w:rFonts w:asciiTheme="minorHAnsi" w:eastAsiaTheme="minorHAnsi" w:hAnsiTheme="minorHAnsi" w:cstheme="minorHAnsi"/>
        </w:rPr>
        <w:t>koji je do sada implementiran na 130 maloprodajnih mjesta.</w:t>
      </w:r>
    </w:p>
    <w:p w14:paraId="2BFFC549" w14:textId="77777777" w:rsidR="00BD6403" w:rsidRPr="00377C00" w:rsidRDefault="00BD6403" w:rsidP="00BD6403">
      <w:pPr>
        <w:pStyle w:val="ListParagraph"/>
        <w:ind w:left="0"/>
        <w:contextualSpacing w:val="0"/>
        <w:rPr>
          <w:rFonts w:asciiTheme="minorHAnsi" w:hAnsiTheme="minorHAnsi" w:cstheme="minorHAnsi"/>
          <w:color w:val="FF0000"/>
        </w:rPr>
      </w:pPr>
    </w:p>
    <w:bookmarkEnd w:id="4"/>
    <w:p w14:paraId="1BF580AC" w14:textId="77777777" w:rsidR="00286848" w:rsidRPr="00377C00" w:rsidRDefault="00286848" w:rsidP="001B7CDD">
      <w:pPr>
        <w:spacing w:line="360" w:lineRule="auto"/>
        <w:jc w:val="both"/>
        <w:rPr>
          <w:rFonts w:asciiTheme="minorHAnsi" w:hAnsiTheme="minorHAnsi" w:cstheme="minorHAnsi"/>
        </w:rPr>
      </w:pPr>
    </w:p>
    <w:p w14:paraId="2FE57887" w14:textId="79A8C036" w:rsidR="006D62BF" w:rsidRPr="00377C00" w:rsidRDefault="006D62BF" w:rsidP="001B7CDD">
      <w:pPr>
        <w:spacing w:line="360" w:lineRule="auto"/>
        <w:jc w:val="both"/>
        <w:rPr>
          <w:rFonts w:asciiTheme="minorHAnsi" w:hAnsiTheme="minorHAnsi" w:cstheme="minorHAnsi"/>
        </w:rPr>
        <w:sectPr w:rsidR="006D62BF" w:rsidRPr="00377C00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ADA3C6" w14:textId="2A6E11CC" w:rsidR="00D27D63" w:rsidRPr="00377C00" w:rsidRDefault="00D27D63" w:rsidP="001B7CD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E7A8D40" wp14:editId="3D832543">
            <wp:extent cx="2612571" cy="1978018"/>
            <wp:effectExtent l="0" t="0" r="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91" cy="198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85BC1F" w14:textId="5F044203" w:rsidR="003E0A2F" w:rsidRPr="00377C00" w:rsidRDefault="00D27D63" w:rsidP="001B7CD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D7001C9" wp14:editId="208B24B2">
            <wp:extent cx="3042059" cy="2327563"/>
            <wp:effectExtent l="0" t="0" r="635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626" cy="23341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C51524" w14:textId="1342E1F6" w:rsidR="00F02807" w:rsidRPr="00377C00" w:rsidRDefault="007476E5" w:rsidP="00C0068C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7ECDBCA0" wp14:editId="370B9542">
            <wp:extent cx="2772888" cy="2117595"/>
            <wp:effectExtent l="0" t="0" r="889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636" cy="2121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4DAB63" w14:textId="78BDDD87" w:rsidR="008C6D6F" w:rsidRPr="00377C00" w:rsidRDefault="007476E5" w:rsidP="00C0068C">
      <w:pPr>
        <w:spacing w:line="360" w:lineRule="auto"/>
        <w:jc w:val="center"/>
        <w:rPr>
          <w:rFonts w:asciiTheme="minorHAnsi" w:hAnsiTheme="minorHAnsi" w:cstheme="minorHAnsi"/>
        </w:rPr>
        <w:sectPr w:rsidR="008C6D6F" w:rsidRPr="00377C00" w:rsidSect="008C6D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12AB93B7" wp14:editId="475FFE8F">
            <wp:extent cx="2783385" cy="211709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62" cy="21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1"/>
    <w:p w14:paraId="037CF078" w14:textId="0CFB37CB" w:rsidR="007476E5" w:rsidRDefault="007476E5" w:rsidP="00286848">
      <w:pPr>
        <w:spacing w:line="360" w:lineRule="auto"/>
        <w:jc w:val="both"/>
        <w:rPr>
          <w:rFonts w:asciiTheme="minorHAnsi" w:hAnsiTheme="minorHAnsi" w:cstheme="minorHAnsi"/>
        </w:rPr>
      </w:pPr>
    </w:p>
    <w:p w14:paraId="1C9815E1" w14:textId="77777777" w:rsidR="00522D28" w:rsidRDefault="00522D28" w:rsidP="00286848">
      <w:pPr>
        <w:spacing w:line="360" w:lineRule="auto"/>
        <w:jc w:val="both"/>
        <w:rPr>
          <w:rFonts w:asciiTheme="minorHAnsi" w:hAnsiTheme="minorHAnsi" w:cstheme="minorHAnsi"/>
        </w:rPr>
      </w:pPr>
    </w:p>
    <w:p w14:paraId="06D2F377" w14:textId="34C7E057" w:rsidR="00E27430" w:rsidRPr="00BD6403" w:rsidRDefault="00BD6403" w:rsidP="00286848">
      <w:pPr>
        <w:spacing w:line="360" w:lineRule="auto"/>
        <w:jc w:val="both"/>
        <w:rPr>
          <w:rFonts w:asciiTheme="minorHAnsi" w:hAnsiTheme="minorHAnsi" w:cstheme="minorHAnsi"/>
        </w:rPr>
      </w:pPr>
      <w:r w:rsidRPr="00BD6403">
        <w:rPr>
          <w:rFonts w:asciiTheme="minorHAnsi" w:hAnsiTheme="minorHAnsi" w:cstheme="minorHAnsi"/>
        </w:rPr>
        <w:t>N</w:t>
      </w:r>
      <w:r w:rsidR="00E27430" w:rsidRPr="00BD6403">
        <w:rPr>
          <w:rFonts w:asciiTheme="minorHAnsi" w:hAnsiTheme="minorHAnsi" w:cstheme="minorHAnsi"/>
        </w:rPr>
        <w:t xml:space="preserve">eto zaduženost </w:t>
      </w:r>
      <w:r w:rsidR="00522D28">
        <w:rPr>
          <w:rFonts w:asciiTheme="minorHAnsi" w:hAnsiTheme="minorHAnsi" w:cstheme="minorHAnsi"/>
        </w:rPr>
        <w:t xml:space="preserve">INA Grupe </w:t>
      </w:r>
      <w:r w:rsidR="00E27430" w:rsidRPr="00BD6403">
        <w:rPr>
          <w:rFonts w:asciiTheme="minorHAnsi" w:hAnsiTheme="minorHAnsi" w:cstheme="minorHAnsi"/>
        </w:rPr>
        <w:t xml:space="preserve">iznosila je </w:t>
      </w:r>
      <w:r w:rsidRPr="00BD6403">
        <w:rPr>
          <w:rFonts w:asciiTheme="minorHAnsi" w:hAnsiTheme="minorHAnsi" w:cstheme="minorHAnsi"/>
        </w:rPr>
        <w:t>17</w:t>
      </w:r>
      <w:r w:rsidR="00E27430" w:rsidRPr="00BD6403">
        <w:rPr>
          <w:rFonts w:asciiTheme="minorHAnsi" w:hAnsiTheme="minorHAnsi" w:cstheme="minorHAnsi"/>
        </w:rPr>
        <w:t>,</w:t>
      </w:r>
      <w:r w:rsidRPr="00BD6403">
        <w:rPr>
          <w:rFonts w:asciiTheme="minorHAnsi" w:hAnsiTheme="minorHAnsi" w:cstheme="minorHAnsi"/>
        </w:rPr>
        <w:t>2</w:t>
      </w:r>
      <w:r w:rsidR="00E27430" w:rsidRPr="00BD6403">
        <w:rPr>
          <w:rFonts w:asciiTheme="minorHAnsi" w:hAnsiTheme="minorHAnsi" w:cstheme="minorHAnsi"/>
        </w:rPr>
        <w:t xml:space="preserve"> posto, </w:t>
      </w:r>
      <w:r w:rsidR="00522D28">
        <w:rPr>
          <w:rFonts w:asciiTheme="minorHAnsi" w:hAnsiTheme="minorHAnsi" w:cstheme="minorHAnsi"/>
        </w:rPr>
        <w:t>a</w:t>
      </w:r>
      <w:r w:rsidR="00E27430" w:rsidRPr="00BD6403">
        <w:rPr>
          <w:rFonts w:asciiTheme="minorHAnsi" w:hAnsiTheme="minorHAnsi" w:cstheme="minorHAnsi"/>
        </w:rPr>
        <w:t xml:space="preserve"> neto dug </w:t>
      </w:r>
      <w:r w:rsidRPr="00BD6403">
        <w:rPr>
          <w:rFonts w:asciiTheme="minorHAnsi" w:hAnsiTheme="minorHAnsi" w:cstheme="minorHAnsi"/>
        </w:rPr>
        <w:t>povećan</w:t>
      </w:r>
      <w:r w:rsidR="00E27430" w:rsidRPr="00BD6403">
        <w:rPr>
          <w:rFonts w:asciiTheme="minorHAnsi" w:hAnsiTheme="minorHAnsi" w:cstheme="minorHAnsi"/>
        </w:rPr>
        <w:t xml:space="preserve"> </w:t>
      </w:r>
      <w:r w:rsidR="00522D28">
        <w:rPr>
          <w:rFonts w:asciiTheme="minorHAnsi" w:hAnsiTheme="minorHAnsi" w:cstheme="minorHAnsi"/>
        </w:rPr>
        <w:t xml:space="preserve">je </w:t>
      </w:r>
      <w:r w:rsidR="00E27430" w:rsidRPr="00BD6403">
        <w:rPr>
          <w:rFonts w:asciiTheme="minorHAnsi" w:hAnsiTheme="minorHAnsi" w:cstheme="minorHAnsi"/>
        </w:rPr>
        <w:t xml:space="preserve">na </w:t>
      </w:r>
      <w:r w:rsidRPr="00BD6403">
        <w:rPr>
          <w:rFonts w:asciiTheme="minorHAnsi" w:hAnsiTheme="minorHAnsi" w:cstheme="minorHAnsi"/>
        </w:rPr>
        <w:t xml:space="preserve">2,4 milijarde </w:t>
      </w:r>
      <w:r w:rsidR="00E27430" w:rsidRPr="00BD6403">
        <w:rPr>
          <w:rFonts w:asciiTheme="minorHAnsi" w:hAnsiTheme="minorHAnsi" w:cstheme="minorHAnsi"/>
        </w:rPr>
        <w:t>kuna.</w:t>
      </w:r>
    </w:p>
    <w:p w14:paraId="16EBD45D" w14:textId="78E523A7" w:rsidR="00E27430" w:rsidRPr="00BD6403" w:rsidRDefault="00E27430" w:rsidP="00286848">
      <w:pPr>
        <w:spacing w:line="360" w:lineRule="auto"/>
        <w:jc w:val="both"/>
        <w:rPr>
          <w:rFonts w:asciiTheme="minorHAnsi" w:hAnsiTheme="minorHAnsi" w:cstheme="minorHAnsi"/>
        </w:rPr>
        <w:sectPr w:rsidR="00E27430" w:rsidRPr="00BD6403" w:rsidSect="00621EA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53AE79E" w14:textId="4CDE1840" w:rsidR="006F14E0" w:rsidRPr="00377C00" w:rsidRDefault="006F14E0" w:rsidP="00E27430">
      <w:pPr>
        <w:spacing w:line="360" w:lineRule="auto"/>
        <w:jc w:val="center"/>
        <w:rPr>
          <w:rFonts w:asciiTheme="minorHAnsi" w:hAnsiTheme="minorHAnsi" w:cstheme="minorHAnsi"/>
          <w:noProof/>
          <w:sz w:val="8"/>
          <w:szCs w:val="8"/>
          <w:lang w:eastAsia="hr-HR"/>
        </w:rPr>
      </w:pPr>
      <w:r>
        <w:rPr>
          <w:rFonts w:asciiTheme="minorHAnsi" w:hAnsiTheme="minorHAnsi" w:cstheme="minorHAnsi"/>
          <w:noProof/>
          <w:sz w:val="8"/>
          <w:szCs w:val="8"/>
          <w:lang w:eastAsia="hr-HR"/>
        </w:rPr>
        <w:drawing>
          <wp:inline distT="0" distB="0" distL="0" distR="0" wp14:anchorId="253935FA" wp14:editId="34A6A8BD">
            <wp:extent cx="2698075" cy="2047875"/>
            <wp:effectExtent l="0" t="0" r="762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443" cy="2060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58D149" w14:textId="77777777" w:rsidR="00E27430" w:rsidRDefault="00E27430" w:rsidP="00E27430">
      <w:pPr>
        <w:spacing w:line="360" w:lineRule="auto"/>
        <w:jc w:val="center"/>
        <w:rPr>
          <w:rFonts w:asciiTheme="minorHAnsi" w:hAnsiTheme="minorHAnsi" w:cstheme="minorHAnsi"/>
          <w:noProof/>
          <w:lang w:eastAsia="hr-HR"/>
        </w:rPr>
      </w:pPr>
    </w:p>
    <w:p w14:paraId="2673B69D" w14:textId="39E43154" w:rsidR="006F14E0" w:rsidRPr="00377C00" w:rsidRDefault="006F14E0" w:rsidP="00E27430">
      <w:pPr>
        <w:spacing w:line="360" w:lineRule="auto"/>
        <w:jc w:val="center"/>
        <w:rPr>
          <w:rFonts w:asciiTheme="minorHAnsi" w:hAnsiTheme="minorHAnsi" w:cstheme="minorHAnsi"/>
          <w:noProof/>
          <w:lang w:eastAsia="hr-HR"/>
        </w:rPr>
        <w:sectPr w:rsidR="006F14E0" w:rsidRPr="00377C00" w:rsidSect="008C6D6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inorHAnsi" w:hAnsiTheme="minorHAnsi" w:cstheme="minorHAnsi"/>
          <w:noProof/>
          <w:lang w:eastAsia="hr-HR"/>
        </w:rPr>
        <w:drawing>
          <wp:inline distT="0" distB="0" distL="0" distR="0" wp14:anchorId="5F107DF3" wp14:editId="31533F47">
            <wp:extent cx="2698891" cy="2048494"/>
            <wp:effectExtent l="0" t="0" r="635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619" cy="205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395DDF" w14:textId="77777777" w:rsidR="0051395B" w:rsidRPr="00377C00" w:rsidRDefault="0051395B"/>
    <w:sectPr w:rsidR="0051395B" w:rsidRPr="00377C00" w:rsidSect="00621E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70CA0" w14:textId="77777777" w:rsidR="008E7941" w:rsidRDefault="008E7941" w:rsidP="00A07306">
      <w:r>
        <w:separator/>
      </w:r>
    </w:p>
  </w:endnote>
  <w:endnote w:type="continuationSeparator" w:id="0">
    <w:p w14:paraId="57D55017" w14:textId="77777777" w:rsidR="008E7941" w:rsidRDefault="008E7941" w:rsidP="00A0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  <w:gridCol w:w="222"/>
      <w:gridCol w:w="222"/>
      <w:gridCol w:w="222"/>
      <w:gridCol w:w="222"/>
    </w:tblGrid>
    <w:tr w:rsidR="003E20D9" w:rsidRPr="002B598A" w14:paraId="6A9EE73E" w14:textId="77777777" w:rsidTr="0098776B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998"/>
            <w:gridCol w:w="1554"/>
            <w:gridCol w:w="1835"/>
            <w:gridCol w:w="1984"/>
            <w:gridCol w:w="2093"/>
          </w:tblGrid>
          <w:tr w:rsidR="0013372E" w14:paraId="0E3432B3" w14:textId="77777777" w:rsidTr="00181E10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hideMark/>
              </w:tcPr>
              <w:p w14:paraId="2B2C637E" w14:textId="77777777" w:rsidR="0013372E" w:rsidRDefault="0013372E" w:rsidP="0013372E">
                <w:pPr>
                  <w:pStyle w:val="Footer"/>
                  <w:spacing w:before="20" w:after="20"/>
                  <w:rPr>
                    <w:rFonts w:asciiTheme="minorHAnsi" w:hAnsiTheme="minorHAnsi" w:cs="Arial"/>
                    <w:b/>
                    <w:bCs/>
                    <w:sz w:val="14"/>
                    <w:szCs w:val="14"/>
                  </w:rPr>
                </w:pPr>
                <w:r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0F190F8" w14:textId="77777777" w:rsidR="0013372E" w:rsidRDefault="0013372E" w:rsidP="0013372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E535CC7" w14:textId="77777777" w:rsidR="0013372E" w:rsidRDefault="0013372E" w:rsidP="0013372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F1AFA3C" w14:textId="77777777" w:rsidR="0013372E" w:rsidRDefault="0013372E" w:rsidP="0013372E">
                <w:pPr>
                  <w:pStyle w:val="Footer"/>
                  <w:rPr>
                    <w:rFonts w:cs="Arial"/>
                    <w:i/>
                    <w:iCs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 xml:space="preserve">Hrvatska – </w:t>
                </w:r>
                <w:r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8FEB5A0" w14:textId="77777777" w:rsidR="0013372E" w:rsidRDefault="0013372E" w:rsidP="0013372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  <w:t>BIC (SWIFT): INAHHR22</w:t>
                </w:r>
              </w:p>
              <w:p w14:paraId="3E8A8F32" w14:textId="77777777" w:rsidR="0013372E" w:rsidRDefault="0013372E" w:rsidP="0013372E">
                <w:pPr>
                  <w:pStyle w:val="Footer"/>
                  <w:rPr>
                    <w:rFonts w:cstheme="minorBidi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 xml:space="preserve">Telefon – </w:t>
                </w:r>
                <w:proofErr w:type="spellStart"/>
                <w:r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>
                  <w:rPr>
                    <w:rFonts w:cs="Arial"/>
                    <w:i/>
                    <w:iCs/>
                    <w:sz w:val="11"/>
                    <w:szCs w:val="11"/>
                  </w:rPr>
                  <w:t>:</w:t>
                </w:r>
                <w:r>
                  <w:rPr>
                    <w:rFonts w:cs="Arial"/>
                    <w:sz w:val="11"/>
                    <w:szCs w:val="11"/>
                  </w:rPr>
                  <w:t xml:space="preserve"> 08001112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64A4435C" w14:textId="77777777" w:rsidR="0013372E" w:rsidRDefault="0013372E" w:rsidP="0013372E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183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CB9043B" w14:textId="77777777" w:rsidR="0013372E" w:rsidRDefault="0013372E" w:rsidP="0013372E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r>
                  <w:rPr>
                    <w:rFonts w:cs="Arial"/>
                    <w:i/>
                    <w:iCs/>
                    <w:sz w:val="10"/>
                    <w:szCs w:val="10"/>
                    <w:lang w:val="en-GB"/>
                  </w:rPr>
                  <w:t>Address</w:t>
                </w:r>
              </w:p>
            </w:tc>
            <w:tc>
              <w:tcPr>
                <w:tcW w:w="198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30E3FCD0" w14:textId="77777777" w:rsidR="0013372E" w:rsidRDefault="0013372E" w:rsidP="0013372E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i/>
                    <w:iCs/>
                    <w:sz w:val="10"/>
                    <w:szCs w:val="10"/>
                    <w:lang w:val="en-GB"/>
                  </w:rPr>
                  <w:t>Number</w:t>
                </w:r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, </w:t>
                </w:r>
              </w:p>
            </w:tc>
            <w:tc>
              <w:tcPr>
                <w:tcW w:w="2093" w:type="dxa"/>
                <w:vMerge w:val="restar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0" w:type="dxa"/>
                  <w:left w:w="57" w:type="dxa"/>
                  <w:bottom w:w="0" w:type="dxa"/>
                  <w:right w:w="57" w:type="dxa"/>
                </w:tcMar>
                <w:hideMark/>
              </w:tcPr>
              <w:p w14:paraId="356685F0" w14:textId="77777777" w:rsidR="0013372E" w:rsidRDefault="0013372E" w:rsidP="0013372E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92D21E1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 xml:space="preserve">Commercial Court in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379787A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60F9B97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 xml:space="preserve"> c</w:t>
                </w: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 stock</w:t>
                </w:r>
              </w:p>
              <w:p w14:paraId="0FD0BD56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5FC38AC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481713AC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85A8A9F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0484C723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74D8473A" w14:textId="77777777" w:rsidR="0013372E" w:rsidRDefault="0013372E" w:rsidP="0013372E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>OIB – 27759560625</w:t>
                </w:r>
              </w:p>
              <w:p w14:paraId="28318125" w14:textId="77777777" w:rsidR="0013372E" w:rsidRDefault="0013372E" w:rsidP="0013372E">
                <w:pPr>
                  <w:pStyle w:val="Footer"/>
                  <w:rPr>
                    <w:rFonts w:asciiTheme="minorHAnsi" w:hAnsiTheme="minorHAnsi" w:cstheme="minorBidi"/>
                    <w:sz w:val="11"/>
                    <w:szCs w:val="11"/>
                  </w:rPr>
                </w:pPr>
                <w:r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13372E" w14:paraId="72AEE654" w14:textId="77777777" w:rsidTr="00181E10">
            <w:trPr>
              <w:cantSplit/>
              <w:trHeight w:val="1304"/>
            </w:trPr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389B0BB" w14:textId="77777777" w:rsidR="0013372E" w:rsidRDefault="0013372E" w:rsidP="0013372E">
                <w:pPr>
                  <w:rPr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44DB625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44519CD5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9FA66BB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6643D51F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OTP banka d.d.</w:t>
                </w:r>
              </w:p>
              <w:p w14:paraId="5353E126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53F1554E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BANCA POPOLARE DI SONDRIO</w:t>
                </w:r>
              </w:p>
              <w:p w14:paraId="6C627DC1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theme="minorBidi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UniCredit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97F4EF3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404813E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DEED81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</w:tc>
            <w:tc>
              <w:tcPr>
                <w:tcW w:w="18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4A60BB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50, 10000 Zagreb</w:t>
                </w:r>
              </w:p>
              <w:p w14:paraId="6A6DAAF1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Magazinska cesta 69, 10000 Zagreb</w:t>
                </w:r>
              </w:p>
              <w:p w14:paraId="0C43C48F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1ED84FBC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Domovinskog rata 61, 21000 Split</w:t>
                </w:r>
              </w:p>
              <w:p w14:paraId="6B779219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652CA8C3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>
                  <w:rPr>
                    <w:rFonts w:ascii="Arial Narrow" w:hAnsi="Arial Narrow" w:cs="Arial"/>
                    <w:sz w:val="10"/>
                    <w:szCs w:val="10"/>
                  </w:rPr>
                  <w:t>Viale</w:t>
                </w:r>
                <w:proofErr w:type="spellEnd"/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>
                  <w:rPr>
                    <w:rFonts w:ascii="Arial Narrow" w:hAnsi="Arial Narrow" w:cs="Arial"/>
                    <w:sz w:val="10"/>
                    <w:szCs w:val="10"/>
                  </w:rPr>
                  <w:t>Innocenzo</w:t>
                </w:r>
                <w:proofErr w:type="spellEnd"/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 XI n.71, 22100 COMO</w:t>
                </w:r>
              </w:p>
              <w:p w14:paraId="7D533F64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theme="minorBidi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DB3D782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5FA3EA" w14:textId="77777777" w:rsidR="0013372E" w:rsidRDefault="0013372E" w:rsidP="0013372E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20346E" w14:textId="77777777" w:rsidR="0013372E" w:rsidRDefault="0013372E" w:rsidP="0013372E">
                <w:pPr>
                  <w:pStyle w:val="Footer"/>
                  <w:spacing w:line="216" w:lineRule="auto"/>
                  <w:ind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</w:p>
            </w:tc>
            <w:tc>
              <w:tcPr>
                <w:tcW w:w="19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83382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D2CCA02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A4E8903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1EB3393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HR96 2407 0001 1001 5214 9 </w:t>
                </w:r>
              </w:p>
              <w:p w14:paraId="27264F11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3B40FA7" w14:textId="77777777" w:rsidR="0013372E" w:rsidRDefault="0013372E" w:rsidP="0013372E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IT41 N056 9610 900E DCEU 0817 340 (EUR)</w:t>
                </w:r>
              </w:p>
              <w:p w14:paraId="2DC9304B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theme="minorBidi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A4E70AF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4E45AF55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642DD6" w14:textId="77777777" w:rsidR="0013372E" w:rsidRDefault="0013372E" w:rsidP="0013372E">
                <w:pPr>
                  <w:pStyle w:val="Footer"/>
                  <w:spacing w:line="216" w:lineRule="auto"/>
                  <w:ind w:left="-108" w:right="-108"/>
                  <w:rPr>
                    <w:rFonts w:asciiTheme="minorHAnsi" w:hAnsiTheme="minorHAnsi"/>
                    <w:sz w:val="6"/>
                    <w:szCs w:val="6"/>
                    <w:lang w:bidi="ta-IN"/>
                  </w:rPr>
                </w:pPr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383F6267" w14:textId="77777777" w:rsidR="0013372E" w:rsidRDefault="0013372E" w:rsidP="0013372E">
                <w:pPr>
                  <w:rPr>
                    <w:sz w:val="11"/>
                    <w:szCs w:val="11"/>
                  </w:rPr>
                </w:pPr>
              </w:p>
            </w:tc>
          </w:tr>
          <w:tr w:rsidR="0013372E" w14:paraId="5F83B381" w14:textId="77777777" w:rsidTr="00181E10">
            <w:trPr>
              <w:cantSplit/>
              <w:trHeight w:val="300"/>
            </w:trPr>
            <w:tc>
              <w:tcPr>
                <w:tcW w:w="7371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3AC70759" w14:textId="77777777" w:rsidR="0013372E" w:rsidRDefault="0013372E" w:rsidP="0013372E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071AB4A" w14:textId="77777777" w:rsidR="0013372E" w:rsidRDefault="0013372E" w:rsidP="0013372E">
                <w:pPr>
                  <w:rPr>
                    <w:rFonts w:cstheme="minorBidi"/>
                    <w:sz w:val="11"/>
                    <w:szCs w:val="11"/>
                  </w:rPr>
                </w:pPr>
                <w:r>
                  <w:rPr>
                    <w:sz w:val="11"/>
                    <w:szCs w:val="11"/>
                  </w:rPr>
                  <w:t xml:space="preserve">Sándor </w:t>
                </w:r>
                <w:proofErr w:type="spellStart"/>
                <w:r>
                  <w:rPr>
                    <w:sz w:val="11"/>
                    <w:szCs w:val="11"/>
                  </w:rPr>
                  <w:t>Fasimon</w:t>
                </w:r>
                <w:proofErr w:type="spellEnd"/>
                <w:r>
                  <w:rPr>
                    <w:sz w:val="11"/>
                    <w:szCs w:val="11"/>
                  </w:rPr>
                  <w:t xml:space="preserve">, Niko Dalić, Barbara Dorić, Darko </w:t>
                </w:r>
                <w:proofErr w:type="spellStart"/>
                <w:r>
                  <w:rPr>
                    <w:sz w:val="11"/>
                    <w:szCs w:val="11"/>
                  </w:rPr>
                  <w:t>Markotić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sz w:val="11"/>
                    <w:szCs w:val="11"/>
                  </w:rPr>
                  <w:t>József</w:t>
                </w:r>
                <w:proofErr w:type="spellEnd"/>
                <w:r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Simola</w:t>
                </w:r>
                <w:proofErr w:type="spellEnd"/>
                <w:r>
                  <w:rPr>
                    <w:sz w:val="11"/>
                    <w:szCs w:val="11"/>
                  </w:rPr>
                  <w:t>, Ferenc Horváth</w:t>
                </w:r>
              </w:p>
              <w:p w14:paraId="23C4F413" w14:textId="77777777" w:rsidR="0013372E" w:rsidRDefault="0013372E" w:rsidP="0013372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5D44D9A" w14:textId="37135909" w:rsidR="0013372E" w:rsidRDefault="0013372E" w:rsidP="0013372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of the Supervisory Board</w:t>
                </w:r>
                <w:r>
                  <w:rPr>
                    <w:rFonts w:cs="Arial"/>
                    <w:sz w:val="11"/>
                    <w:szCs w:val="11"/>
                  </w:rPr>
                  <w:t xml:space="preserve">: Damir </w:t>
                </w:r>
                <w:proofErr w:type="spellStart"/>
                <w:r w:rsidR="00596333">
                  <w:rPr>
                    <w:rFonts w:cs="Arial"/>
                    <w:sz w:val="11"/>
                    <w:szCs w:val="11"/>
                  </w:rPr>
                  <w:t>Mikuljan</w:t>
                </w:r>
                <w:proofErr w:type="spellEnd"/>
              </w:p>
            </w:tc>
            <w:tc>
              <w:tcPr>
                <w:tcW w:w="0" w:type="auto"/>
                <w:vMerge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4CB1E3F9" w14:textId="77777777" w:rsidR="0013372E" w:rsidRDefault="0013372E" w:rsidP="0013372E">
                <w:pPr>
                  <w:rPr>
                    <w:sz w:val="11"/>
                    <w:szCs w:val="11"/>
                  </w:rPr>
                </w:pPr>
              </w:p>
            </w:tc>
          </w:tr>
          <w:tr w:rsidR="0013372E" w14:paraId="2CD6E35C" w14:textId="77777777" w:rsidTr="00181E10">
            <w:trPr>
              <w:cantSplit/>
              <w:trHeight w:val="170"/>
            </w:trPr>
            <w:tc>
              <w:tcPr>
                <w:tcW w:w="7371" w:type="dxa"/>
                <w:gridSpan w:val="4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  <w:hideMark/>
              </w:tcPr>
              <w:p w14:paraId="5A8A32DB" w14:textId="77777777" w:rsidR="0013372E" w:rsidRDefault="0013372E" w:rsidP="0013372E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>
                  <w:rPr>
                    <w:rFonts w:cs="Arial"/>
                    <w:sz w:val="11"/>
                    <w:szCs w:val="11"/>
                  </w:rPr>
                  <w:t xml:space="preserve">  </w:t>
                </w:r>
              </w:p>
            </w:tc>
            <w:tc>
              <w:tcPr>
                <w:tcW w:w="209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02CDD0FB" w14:textId="77777777" w:rsidR="0013372E" w:rsidRDefault="0013372E" w:rsidP="0013372E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0F95AA6A" w14:textId="17F9FAC2" w:rsidR="003E20D9" w:rsidRPr="00D0792C" w:rsidRDefault="003E20D9" w:rsidP="003E20D9">
          <w:pPr>
            <w:pStyle w:val="Footer"/>
            <w:ind w:right="-72"/>
            <w:rPr>
              <w:rFonts w:cs="Arial"/>
              <w:sz w:val="11"/>
              <w:szCs w:val="11"/>
            </w:rPr>
          </w:pP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BB75236" w14:textId="73A18F0E" w:rsidR="003E20D9" w:rsidRPr="002B598A" w:rsidRDefault="003E20D9" w:rsidP="003E20D9">
          <w:pPr>
            <w:pStyle w:val="Footer"/>
            <w:ind w:left="-108"/>
            <w:rPr>
              <w:sz w:val="10"/>
              <w:szCs w:val="10"/>
            </w:rPr>
          </w:pPr>
        </w:p>
      </w:tc>
      <w:tc>
        <w:tcPr>
          <w:tcW w:w="190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2D9DA2D" w14:textId="698021E7" w:rsidR="003E20D9" w:rsidRPr="002B598A" w:rsidRDefault="003E20D9" w:rsidP="003E20D9">
          <w:pPr>
            <w:pStyle w:val="Footer"/>
            <w:ind w:left="-108"/>
            <w:rPr>
              <w:rFonts w:cs="Arial"/>
              <w:sz w:val="10"/>
              <w:szCs w:val="10"/>
            </w:rPr>
          </w:pPr>
        </w:p>
      </w:tc>
      <w:tc>
        <w:tcPr>
          <w:tcW w:w="184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A93D43A" w14:textId="4EF6B4BA" w:rsidR="003E20D9" w:rsidRPr="002B598A" w:rsidRDefault="003E20D9" w:rsidP="003E20D9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19AF06A7" w14:textId="7BA39E24" w:rsidR="003E20D9" w:rsidRPr="002B598A" w:rsidRDefault="003E20D9" w:rsidP="003E20D9">
          <w:pPr>
            <w:pStyle w:val="Footer"/>
            <w:rPr>
              <w:sz w:val="11"/>
              <w:szCs w:val="11"/>
            </w:rPr>
          </w:pPr>
        </w:p>
      </w:tc>
    </w:tr>
    <w:tr w:rsidR="003E20D9" w:rsidRPr="002B598A" w14:paraId="595490DD" w14:textId="77777777" w:rsidTr="0098776B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6D1A26AA" w14:textId="77777777" w:rsidR="003E20D9" w:rsidRPr="002B598A" w:rsidRDefault="003E20D9" w:rsidP="003E20D9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541FD54D" w14:textId="77777777" w:rsidR="003E20D9" w:rsidRPr="00342211" w:rsidRDefault="003E20D9" w:rsidP="003E20D9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908" w:type="dxa"/>
          <w:tcBorders>
            <w:top w:val="nil"/>
            <w:left w:val="nil"/>
            <w:bottom w:val="nil"/>
            <w:right w:val="nil"/>
          </w:tcBorders>
        </w:tcPr>
        <w:p w14:paraId="4E32536A" w14:textId="77777777" w:rsidR="003E20D9" w:rsidRPr="00342211" w:rsidRDefault="003E20D9" w:rsidP="003E20D9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845" w:type="dxa"/>
          <w:tcBorders>
            <w:top w:val="nil"/>
            <w:left w:val="nil"/>
            <w:bottom w:val="nil"/>
            <w:right w:val="nil"/>
          </w:tcBorders>
        </w:tcPr>
        <w:p w14:paraId="2143FA1F" w14:textId="77777777" w:rsidR="003E20D9" w:rsidRPr="00342211" w:rsidRDefault="003E20D9" w:rsidP="003E20D9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14:paraId="47DF372D" w14:textId="77777777" w:rsidR="003E20D9" w:rsidRPr="002B598A" w:rsidRDefault="003E20D9" w:rsidP="003E20D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E20D9" w:rsidRPr="002B598A" w14:paraId="6D192324" w14:textId="77777777" w:rsidTr="0098776B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61EB472" w14:textId="6C15A2E4" w:rsidR="003E20D9" w:rsidRPr="002B598A" w:rsidRDefault="003E20D9" w:rsidP="003E20D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</w:tc>
      <w:tc>
        <w:tcPr>
          <w:tcW w:w="2159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22FD5E58" w14:textId="77777777" w:rsidR="003E20D9" w:rsidRPr="002B598A" w:rsidRDefault="003E20D9" w:rsidP="003E20D9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3E20D9" w:rsidRPr="002B598A" w14:paraId="1343D053" w14:textId="77777777" w:rsidTr="0098776B">
      <w:trPr>
        <w:cantSplit/>
        <w:trHeight w:val="170"/>
      </w:trPr>
      <w:tc>
        <w:tcPr>
          <w:tcW w:w="7305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78661FB9" w14:textId="1516EA6F" w:rsidR="003E20D9" w:rsidRDefault="003E20D9" w:rsidP="003E20D9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</w:tc>
      <w:tc>
        <w:tcPr>
          <w:tcW w:w="215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DC01F5" w14:textId="77777777" w:rsidR="003E20D9" w:rsidRPr="002B598A" w:rsidRDefault="003E20D9" w:rsidP="003E20D9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B9BBC19" w14:textId="77777777" w:rsidR="003E20D9" w:rsidRPr="00095236" w:rsidRDefault="003E20D9" w:rsidP="003E20D9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  <w:p w14:paraId="108BD60D" w14:textId="77777777" w:rsidR="003E20D9" w:rsidRDefault="003E20D9" w:rsidP="003E20D9"/>
  <w:p w14:paraId="6C8E22B2" w14:textId="77777777" w:rsidR="00C0068C" w:rsidRPr="003E20D9" w:rsidRDefault="00C0068C" w:rsidP="003E20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41B0" w14:textId="77777777" w:rsidR="00A07306" w:rsidRDefault="00A07306">
    <w:pPr>
      <w:pStyle w:val="Footer"/>
    </w:pPr>
  </w:p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1835"/>
      <w:gridCol w:w="1984"/>
      <w:gridCol w:w="2093"/>
    </w:tblGrid>
    <w:tr w:rsidR="00CE6C07" w:rsidRPr="002B598A" w14:paraId="59DE8579" w14:textId="77777777" w:rsidTr="00E539A2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6250AD2D" w14:textId="77777777" w:rsidR="00CE6C07" w:rsidRPr="002B598A" w:rsidRDefault="00CE6C07" w:rsidP="00CE6C07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4C10929B" w14:textId="77777777" w:rsidR="00CE6C07" w:rsidRPr="002B598A" w:rsidRDefault="00CE6C07" w:rsidP="00CE6C07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2D5166E" w14:textId="77777777" w:rsidR="00CE6C07" w:rsidRPr="002B598A" w:rsidRDefault="00CE6C07" w:rsidP="00CE6C07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3CA56CC" w14:textId="77777777" w:rsidR="00CE6C07" w:rsidRDefault="00CE6C07" w:rsidP="00CE6C07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7470ABF8" w14:textId="77777777" w:rsidR="00CE6C07" w:rsidRPr="00B871AD" w:rsidRDefault="00CE6C07" w:rsidP="00CE6C07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21823D76" w14:textId="77777777" w:rsidR="00CE6C07" w:rsidRPr="002B598A" w:rsidRDefault="00CE6C07" w:rsidP="00CE6C07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C8ECB" w14:textId="77777777" w:rsidR="00CE6C07" w:rsidRPr="002B598A" w:rsidRDefault="00CE6C07" w:rsidP="00CE6C07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183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17EBAB0" w14:textId="77777777" w:rsidR="00CE6C07" w:rsidRPr="002B598A" w:rsidRDefault="00CE6C07" w:rsidP="00CE6C07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Address</w:t>
          </w:r>
        </w:p>
      </w:tc>
      <w:tc>
        <w:tcPr>
          <w:tcW w:w="198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5CCF3F1" w14:textId="77777777" w:rsidR="00CE6C07" w:rsidRPr="002B598A" w:rsidRDefault="00CE6C07" w:rsidP="00CE6C07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r w:rsidRPr="0082051B">
            <w:rPr>
              <w:rFonts w:cs="Arial"/>
              <w:i/>
              <w:iCs/>
              <w:sz w:val="10"/>
              <w:szCs w:val="10"/>
              <w:lang w:val="en-GB"/>
            </w:rPr>
            <w:t>Number</w:t>
          </w:r>
          <w:r>
            <w:rPr>
              <w:rFonts w:cs="Arial"/>
              <w:i/>
              <w:iCs/>
              <w:sz w:val="10"/>
              <w:szCs w:val="10"/>
            </w:rPr>
            <w:t xml:space="preserve">, </w:t>
          </w:r>
        </w:p>
      </w:tc>
      <w:tc>
        <w:tcPr>
          <w:tcW w:w="2093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42B71DB9" w14:textId="77777777" w:rsidR="00CE6C07" w:rsidRPr="002B598A" w:rsidRDefault="00CE6C07" w:rsidP="00CE6C07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14:paraId="05FC0C64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Zagreb</w:t>
          </w:r>
        </w:p>
        <w:p w14:paraId="31740510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14:paraId="4AF2FB26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6699AD74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14:paraId="30A03460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14:paraId="0D061CAC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3E86A523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14:paraId="4E7A0176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14:paraId="3996EC3A" w14:textId="77777777" w:rsidR="00CE6C07" w:rsidRPr="002B598A" w:rsidRDefault="00CE6C07" w:rsidP="00CE6C07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14:paraId="6DF1372C" w14:textId="77777777" w:rsidR="00CE6C07" w:rsidRPr="002B598A" w:rsidRDefault="00CE6C07" w:rsidP="00CE6C07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CE6C07" w:rsidRPr="002B598A" w14:paraId="26F9422F" w14:textId="77777777" w:rsidTr="00E539A2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48B361C7" w14:textId="77777777" w:rsidR="00CE6C07" w:rsidRPr="002B598A" w:rsidRDefault="00CE6C07" w:rsidP="00CE6C07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24BADB92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14:paraId="2F86466F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14:paraId="4D48D45C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14:paraId="7E07A48F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OTP banka d.d.</w:t>
          </w:r>
        </w:p>
        <w:p w14:paraId="06410BAC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1171F4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1171F4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14:paraId="08697392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BANCA POPOLARE DI SONDRIO</w:t>
          </w:r>
        </w:p>
        <w:p w14:paraId="5083505A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14:paraId="58AE5BE5" w14:textId="77777777" w:rsidR="00CE6C07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40839CF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A9E76F7" w14:textId="77777777" w:rsidR="00CE6C07" w:rsidRPr="00342211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</w:tcPr>
        <w:p w14:paraId="6C46C77B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14:paraId="725FAD25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Magazinska cesta 69, 10000 Zagreb</w:t>
          </w:r>
        </w:p>
        <w:p w14:paraId="5B826132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14:paraId="33D7A5A3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14:paraId="72FA3C52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14:paraId="04E91B64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Viale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1171F4">
            <w:rPr>
              <w:rFonts w:ascii="Arial Narrow" w:hAnsi="Arial Narrow" w:cs="Arial"/>
              <w:sz w:val="10"/>
              <w:szCs w:val="10"/>
            </w:rPr>
            <w:t>Innocenzo</w:t>
          </w:r>
          <w:proofErr w:type="spellEnd"/>
          <w:r w:rsidRPr="001171F4">
            <w:rPr>
              <w:rFonts w:ascii="Arial Narrow" w:hAnsi="Arial Narrow" w:cs="Arial"/>
              <w:sz w:val="10"/>
              <w:szCs w:val="10"/>
            </w:rPr>
            <w:t xml:space="preserve"> XI n.71, 22100 COMO</w:t>
          </w:r>
        </w:p>
        <w:p w14:paraId="7DCC79B5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1171F4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14:paraId="2865FF4E" w14:textId="77777777" w:rsidR="00CE6C07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6C001233" w14:textId="77777777" w:rsidR="00CE6C07" w:rsidRPr="001171F4" w:rsidRDefault="00CE6C07" w:rsidP="00CE6C07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59C71793" w14:textId="77777777" w:rsidR="00CE6C07" w:rsidRPr="00342211" w:rsidRDefault="00CE6C07" w:rsidP="00CE6C07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45E055B8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14:paraId="4A453C39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14:paraId="5D244261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14:paraId="53135DC0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HR96 2407 0001 1001 5214 9 </w:t>
          </w:r>
        </w:p>
        <w:p w14:paraId="290078C6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1171F4">
            <w:rPr>
              <w:rFonts w:ascii="Arial Narrow" w:hAnsi="Arial Narrow"/>
              <w:sz w:val="10"/>
              <w:szCs w:val="10"/>
            </w:rPr>
            <w:t>2402 0061 1006 8111 4</w:t>
          </w:r>
        </w:p>
        <w:p w14:paraId="12261E99" w14:textId="77777777" w:rsidR="00CE6C07" w:rsidRPr="001171F4" w:rsidRDefault="00CE6C07" w:rsidP="00CE6C07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1171F4">
            <w:rPr>
              <w:rFonts w:ascii="Arial Narrow" w:hAnsi="Arial Narrow" w:cs="Arial"/>
              <w:sz w:val="10"/>
              <w:szCs w:val="10"/>
            </w:rPr>
            <w:t>IT41 N056 9610 900E DCEU 0817 340 (EUR)</w:t>
          </w:r>
        </w:p>
        <w:p w14:paraId="5B707ED0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14:paraId="05BDEA5A" w14:textId="77777777" w:rsidR="00CE6C07" w:rsidRPr="001171F4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1171F4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14:paraId="61D42AAD" w14:textId="77777777" w:rsidR="00CE6C07" w:rsidRDefault="00CE6C07" w:rsidP="00CE6C07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23762097" w14:textId="77777777" w:rsidR="00CE6C07" w:rsidRPr="00342211" w:rsidRDefault="00CE6C07" w:rsidP="00CE6C07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093" w:type="dxa"/>
          <w:vMerge/>
          <w:tcBorders>
            <w:left w:val="nil"/>
            <w:bottom w:val="nil"/>
            <w:right w:val="nil"/>
          </w:tcBorders>
        </w:tcPr>
        <w:p w14:paraId="05CD105C" w14:textId="77777777" w:rsidR="00CE6C07" w:rsidRPr="002B598A" w:rsidRDefault="00CE6C07" w:rsidP="00CE6C07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E6C07" w:rsidRPr="002B598A" w14:paraId="038D14A0" w14:textId="77777777" w:rsidTr="00E539A2">
      <w:trPr>
        <w:cantSplit/>
        <w:trHeight w:val="300"/>
      </w:trPr>
      <w:tc>
        <w:tcPr>
          <w:tcW w:w="7371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36CD7B8" w14:textId="77777777" w:rsidR="00CE6C07" w:rsidRPr="002B598A" w:rsidRDefault="00CE6C07" w:rsidP="00CE6C07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19C9518" w14:textId="77777777" w:rsidR="00CE6C07" w:rsidRPr="002B598A" w:rsidRDefault="00CE6C07" w:rsidP="00CE6C07">
          <w:pPr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>Ferenc Horváth</w:t>
          </w:r>
        </w:p>
        <w:p w14:paraId="2F109F19" w14:textId="77777777" w:rsidR="00CE6C07" w:rsidRPr="002B598A" w:rsidRDefault="00CE6C07" w:rsidP="00CE6C07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</w:p>
        <w:p w14:paraId="2BB452B5" w14:textId="77777777" w:rsidR="00CE6C07" w:rsidRPr="002B598A" w:rsidRDefault="00CE6C07" w:rsidP="00CE6C0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093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FD5AE50" w14:textId="77777777" w:rsidR="00CE6C07" w:rsidRPr="002B598A" w:rsidRDefault="00CE6C07" w:rsidP="00CE6C07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CE6C07" w:rsidRPr="002B598A" w14:paraId="641C38FF" w14:textId="77777777" w:rsidTr="00E539A2">
      <w:trPr>
        <w:cantSplit/>
        <w:trHeight w:val="170"/>
      </w:trPr>
      <w:tc>
        <w:tcPr>
          <w:tcW w:w="7371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565CDE45" w14:textId="77777777" w:rsidR="00CE6C07" w:rsidRDefault="00CE6C07" w:rsidP="00CE6C07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093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C7D3FC" w14:textId="77777777" w:rsidR="00CE6C07" w:rsidRPr="002B598A" w:rsidRDefault="00CE6C07" w:rsidP="00CE6C07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2C4EDC5" w14:textId="77777777" w:rsidR="00A07306" w:rsidRPr="00095236" w:rsidRDefault="00A07306" w:rsidP="00A07306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24204" w14:textId="77777777" w:rsidR="008E7941" w:rsidRDefault="008E7941" w:rsidP="00A07306">
      <w:r>
        <w:separator/>
      </w:r>
    </w:p>
  </w:footnote>
  <w:footnote w:type="continuationSeparator" w:id="0">
    <w:p w14:paraId="54F5EB2B" w14:textId="77777777" w:rsidR="008E7941" w:rsidRDefault="008E7941" w:rsidP="00A07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5F0A0" w14:textId="44462D8B" w:rsidR="00C0068C" w:rsidRDefault="0013372E">
    <w:pPr>
      <w:pStyle w:val="Header"/>
    </w:pPr>
    <w:r>
      <w:rPr>
        <w:noProof/>
      </w:rPr>
      <w:drawing>
        <wp:inline distT="0" distB="0" distL="0" distR="0" wp14:anchorId="534E0B01" wp14:editId="74091993">
          <wp:extent cx="1212850" cy="450850"/>
          <wp:effectExtent l="0" t="0" r="6350" b="6350"/>
          <wp:docPr id="3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4D10B4" w14:textId="77777777" w:rsidR="00C0068C" w:rsidRDefault="00C0068C"/>
  <w:p w14:paraId="2086966B" w14:textId="77777777" w:rsidR="00C0068C" w:rsidRDefault="00C006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4B0" w14:textId="77777777" w:rsidR="00A07306" w:rsidRPr="00A07306" w:rsidRDefault="00A07306" w:rsidP="00A07306">
    <w:pPr>
      <w:tabs>
        <w:tab w:val="center" w:pos="4536"/>
        <w:tab w:val="right" w:pos="9072"/>
      </w:tabs>
      <w:rPr>
        <w:rFonts w:ascii="Calibri" w:eastAsia="Calibri" w:hAnsi="Calibri" w:cs="Arial"/>
      </w:rPr>
    </w:pPr>
    <w:r w:rsidRPr="00A07306">
      <w:rPr>
        <w:rFonts w:ascii="Calibri" w:eastAsia="Calibri" w:hAnsi="Calibri" w:cs="Arial"/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16F01097" wp14:editId="12B9371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34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EE98D4" w14:textId="77777777" w:rsidR="00A07306" w:rsidRPr="00A07306" w:rsidRDefault="00A07306" w:rsidP="00A07306">
    <w:pPr>
      <w:rPr>
        <w:rFonts w:ascii="Calibri" w:eastAsia="Calibri" w:hAnsi="Calibri" w:cs="Arial"/>
      </w:rPr>
    </w:pPr>
  </w:p>
  <w:p w14:paraId="1E69BE48" w14:textId="77777777" w:rsidR="00A07306" w:rsidRDefault="00A073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029"/>
    <w:multiLevelType w:val="hybridMultilevel"/>
    <w:tmpl w:val="3CD408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2578"/>
    <w:multiLevelType w:val="hybridMultilevel"/>
    <w:tmpl w:val="32EAA3E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F3FEA"/>
    <w:multiLevelType w:val="hybridMultilevel"/>
    <w:tmpl w:val="4AB45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17D85"/>
    <w:multiLevelType w:val="hybridMultilevel"/>
    <w:tmpl w:val="70606FC2"/>
    <w:lvl w:ilvl="0" w:tplc="CE9A8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A09F0"/>
    <w:multiLevelType w:val="hybridMultilevel"/>
    <w:tmpl w:val="FE3618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F7768"/>
    <w:multiLevelType w:val="hybridMultilevel"/>
    <w:tmpl w:val="6646E4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5CB8"/>
    <w:multiLevelType w:val="hybridMultilevel"/>
    <w:tmpl w:val="8D5A1A48"/>
    <w:lvl w:ilvl="0" w:tplc="041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68863076"/>
    <w:multiLevelType w:val="hybridMultilevel"/>
    <w:tmpl w:val="7AE077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47A59"/>
    <w:multiLevelType w:val="hybridMultilevel"/>
    <w:tmpl w:val="E1063D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06"/>
    <w:rsid w:val="000038FF"/>
    <w:rsid w:val="000063B9"/>
    <w:rsid w:val="00013155"/>
    <w:rsid w:val="00015028"/>
    <w:rsid w:val="00056C94"/>
    <w:rsid w:val="00077B63"/>
    <w:rsid w:val="000A4619"/>
    <w:rsid w:val="000B23EC"/>
    <w:rsid w:val="000B4B2F"/>
    <w:rsid w:val="000C07C4"/>
    <w:rsid w:val="000D3B90"/>
    <w:rsid w:val="00130434"/>
    <w:rsid w:val="00130DEA"/>
    <w:rsid w:val="0013372E"/>
    <w:rsid w:val="00136293"/>
    <w:rsid w:val="001362A0"/>
    <w:rsid w:val="00177372"/>
    <w:rsid w:val="001A239C"/>
    <w:rsid w:val="001A2DAF"/>
    <w:rsid w:val="001B3B73"/>
    <w:rsid w:val="001B7CDD"/>
    <w:rsid w:val="001C1648"/>
    <w:rsid w:val="002030E3"/>
    <w:rsid w:val="00210979"/>
    <w:rsid w:val="00213E81"/>
    <w:rsid w:val="00224197"/>
    <w:rsid w:val="00260049"/>
    <w:rsid w:val="00281C18"/>
    <w:rsid w:val="0028546A"/>
    <w:rsid w:val="0028614C"/>
    <w:rsid w:val="00286848"/>
    <w:rsid w:val="002956FD"/>
    <w:rsid w:val="00297E52"/>
    <w:rsid w:val="002A501B"/>
    <w:rsid w:val="002B51C0"/>
    <w:rsid w:val="002C08C0"/>
    <w:rsid w:val="00306F07"/>
    <w:rsid w:val="003139DA"/>
    <w:rsid w:val="00325E61"/>
    <w:rsid w:val="0033024F"/>
    <w:rsid w:val="0034205C"/>
    <w:rsid w:val="0037692E"/>
    <w:rsid w:val="00377692"/>
    <w:rsid w:val="00377C00"/>
    <w:rsid w:val="003868E8"/>
    <w:rsid w:val="003C53F4"/>
    <w:rsid w:val="003D1715"/>
    <w:rsid w:val="003E06B6"/>
    <w:rsid w:val="003E0A2F"/>
    <w:rsid w:val="003E20D9"/>
    <w:rsid w:val="003E57F0"/>
    <w:rsid w:val="003F4E80"/>
    <w:rsid w:val="004151D9"/>
    <w:rsid w:val="0044150E"/>
    <w:rsid w:val="00442645"/>
    <w:rsid w:val="004A180B"/>
    <w:rsid w:val="004A3A03"/>
    <w:rsid w:val="0050011D"/>
    <w:rsid w:val="0051395B"/>
    <w:rsid w:val="00515D1E"/>
    <w:rsid w:val="00522D26"/>
    <w:rsid w:val="00522D28"/>
    <w:rsid w:val="0053395D"/>
    <w:rsid w:val="00565775"/>
    <w:rsid w:val="00565C51"/>
    <w:rsid w:val="005756D5"/>
    <w:rsid w:val="00580CD7"/>
    <w:rsid w:val="00596333"/>
    <w:rsid w:val="00597DDB"/>
    <w:rsid w:val="005B3C95"/>
    <w:rsid w:val="005C02B3"/>
    <w:rsid w:val="005D4E66"/>
    <w:rsid w:val="005F7E9A"/>
    <w:rsid w:val="006215E4"/>
    <w:rsid w:val="00621EAF"/>
    <w:rsid w:val="006277CA"/>
    <w:rsid w:val="006305DF"/>
    <w:rsid w:val="00653CEC"/>
    <w:rsid w:val="00672D8E"/>
    <w:rsid w:val="00677952"/>
    <w:rsid w:val="00680FC4"/>
    <w:rsid w:val="006900BF"/>
    <w:rsid w:val="00693673"/>
    <w:rsid w:val="00693C6F"/>
    <w:rsid w:val="006A4331"/>
    <w:rsid w:val="006A6D32"/>
    <w:rsid w:val="006B1AA3"/>
    <w:rsid w:val="006B25B3"/>
    <w:rsid w:val="006B457D"/>
    <w:rsid w:val="006D62BF"/>
    <w:rsid w:val="006F14E0"/>
    <w:rsid w:val="00707041"/>
    <w:rsid w:val="007476E5"/>
    <w:rsid w:val="00756EF3"/>
    <w:rsid w:val="007579C7"/>
    <w:rsid w:val="007711E3"/>
    <w:rsid w:val="007B1294"/>
    <w:rsid w:val="007E0400"/>
    <w:rsid w:val="007E4644"/>
    <w:rsid w:val="00843029"/>
    <w:rsid w:val="0085055B"/>
    <w:rsid w:val="008631C3"/>
    <w:rsid w:val="0088007E"/>
    <w:rsid w:val="00886BC9"/>
    <w:rsid w:val="008B13EE"/>
    <w:rsid w:val="008C1447"/>
    <w:rsid w:val="008C6D6F"/>
    <w:rsid w:val="008E299C"/>
    <w:rsid w:val="008E2A75"/>
    <w:rsid w:val="008E7941"/>
    <w:rsid w:val="008F2611"/>
    <w:rsid w:val="008F4A07"/>
    <w:rsid w:val="00900453"/>
    <w:rsid w:val="009301F7"/>
    <w:rsid w:val="00942E3B"/>
    <w:rsid w:val="00967926"/>
    <w:rsid w:val="00974E20"/>
    <w:rsid w:val="009B0FA5"/>
    <w:rsid w:val="009B1CD9"/>
    <w:rsid w:val="009B4C66"/>
    <w:rsid w:val="009C37EC"/>
    <w:rsid w:val="009E34B2"/>
    <w:rsid w:val="009E69BB"/>
    <w:rsid w:val="00A0382F"/>
    <w:rsid w:val="00A07306"/>
    <w:rsid w:val="00A223F1"/>
    <w:rsid w:val="00A3253D"/>
    <w:rsid w:val="00A440A7"/>
    <w:rsid w:val="00A64523"/>
    <w:rsid w:val="00A72DAC"/>
    <w:rsid w:val="00A83BE9"/>
    <w:rsid w:val="00A86066"/>
    <w:rsid w:val="00A94556"/>
    <w:rsid w:val="00AA1EFF"/>
    <w:rsid w:val="00AC1D42"/>
    <w:rsid w:val="00AF326E"/>
    <w:rsid w:val="00B05CB1"/>
    <w:rsid w:val="00B103EE"/>
    <w:rsid w:val="00B167D5"/>
    <w:rsid w:val="00B20E20"/>
    <w:rsid w:val="00B71E9D"/>
    <w:rsid w:val="00B909C7"/>
    <w:rsid w:val="00BC616F"/>
    <w:rsid w:val="00BD6224"/>
    <w:rsid w:val="00BD6403"/>
    <w:rsid w:val="00BE0699"/>
    <w:rsid w:val="00BE2CC1"/>
    <w:rsid w:val="00C0068C"/>
    <w:rsid w:val="00C027E1"/>
    <w:rsid w:val="00C11194"/>
    <w:rsid w:val="00C11534"/>
    <w:rsid w:val="00C14AFF"/>
    <w:rsid w:val="00C15454"/>
    <w:rsid w:val="00C17025"/>
    <w:rsid w:val="00C24F05"/>
    <w:rsid w:val="00C25445"/>
    <w:rsid w:val="00C25C17"/>
    <w:rsid w:val="00C34BDC"/>
    <w:rsid w:val="00C44347"/>
    <w:rsid w:val="00C47B49"/>
    <w:rsid w:val="00C57659"/>
    <w:rsid w:val="00C57F34"/>
    <w:rsid w:val="00CA5002"/>
    <w:rsid w:val="00CA67A6"/>
    <w:rsid w:val="00CD6145"/>
    <w:rsid w:val="00CE6C07"/>
    <w:rsid w:val="00D067D9"/>
    <w:rsid w:val="00D27D63"/>
    <w:rsid w:val="00D374E5"/>
    <w:rsid w:val="00D4664D"/>
    <w:rsid w:val="00D46695"/>
    <w:rsid w:val="00D82CA9"/>
    <w:rsid w:val="00D9254A"/>
    <w:rsid w:val="00DC5BEF"/>
    <w:rsid w:val="00DD7D8F"/>
    <w:rsid w:val="00DE5C19"/>
    <w:rsid w:val="00DE61CC"/>
    <w:rsid w:val="00DE7779"/>
    <w:rsid w:val="00E12DF3"/>
    <w:rsid w:val="00E15F4E"/>
    <w:rsid w:val="00E17464"/>
    <w:rsid w:val="00E25474"/>
    <w:rsid w:val="00E27430"/>
    <w:rsid w:val="00E34E11"/>
    <w:rsid w:val="00E361DB"/>
    <w:rsid w:val="00E55AED"/>
    <w:rsid w:val="00E70ECF"/>
    <w:rsid w:val="00E82B37"/>
    <w:rsid w:val="00E921F9"/>
    <w:rsid w:val="00EC3D8C"/>
    <w:rsid w:val="00EE4723"/>
    <w:rsid w:val="00EF0CA0"/>
    <w:rsid w:val="00F02807"/>
    <w:rsid w:val="00F12590"/>
    <w:rsid w:val="00F245A3"/>
    <w:rsid w:val="00F57147"/>
    <w:rsid w:val="00F6770C"/>
    <w:rsid w:val="00F7085C"/>
    <w:rsid w:val="00F848DD"/>
    <w:rsid w:val="00F84D2B"/>
    <w:rsid w:val="00F92756"/>
    <w:rsid w:val="00F953F1"/>
    <w:rsid w:val="00FD2D90"/>
    <w:rsid w:val="00FD577C"/>
    <w:rsid w:val="00FF05F8"/>
    <w:rsid w:val="00FF0C7C"/>
    <w:rsid w:val="00FF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2E333D48"/>
  <w15:chartTrackingRefBased/>
  <w15:docId w15:val="{34C3D77B-0838-430E-A0CD-D317D750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79C7"/>
    <w:pPr>
      <w:keepNext/>
      <w:keepLines/>
      <w:spacing w:before="200" w:after="200"/>
      <w:jc w:val="both"/>
      <w:outlineLvl w:val="1"/>
    </w:pPr>
    <w:rPr>
      <w:rFonts w:ascii="Arial" w:eastAsiaTheme="majorEastAsia" w:hAnsi="Arial" w:cstheme="majorBidi"/>
      <w:b/>
      <w:color w:val="004676"/>
      <w:sz w:val="22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00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07306"/>
  </w:style>
  <w:style w:type="paragraph" w:styleId="Footer">
    <w:name w:val="footer"/>
    <w:basedOn w:val="Normal"/>
    <w:link w:val="FooterChar"/>
    <w:unhideWhenUsed/>
    <w:rsid w:val="00A073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07306"/>
  </w:style>
  <w:style w:type="character" w:styleId="Hyperlink">
    <w:name w:val="Hyperlink"/>
    <w:rsid w:val="00C0068C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0068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0068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aliases w:val="Normal_FR"/>
    <w:uiPriority w:val="1"/>
    <w:qFormat/>
    <w:rsid w:val="00C0068C"/>
    <w:pPr>
      <w:spacing w:before="120" w:after="120" w:line="240" w:lineRule="auto"/>
      <w:jc w:val="both"/>
    </w:pPr>
    <w:rPr>
      <w:rFonts w:ascii="Arial" w:hAnsi="Arial"/>
      <w:sz w:val="18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8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3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39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9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9D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579C7"/>
    <w:rPr>
      <w:rFonts w:ascii="Arial" w:eastAsiaTheme="majorEastAsia" w:hAnsi="Arial" w:cstheme="majorBidi"/>
      <w:b/>
      <w:color w:val="004676"/>
      <w:szCs w:val="26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38F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38FF"/>
    <w:rPr>
      <w:rFonts w:ascii="Calibri" w:hAnsi="Calibri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004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30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A2FDB-8E9C-4EB2-B42B-0CC4F201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Đolo Sandra</dc:creator>
  <cp:keywords/>
  <dc:description/>
  <cp:lastModifiedBy>Majić Crnković Marina</cp:lastModifiedBy>
  <cp:revision>32</cp:revision>
  <cp:lastPrinted>2021-07-29T11:14:00Z</cp:lastPrinted>
  <dcterms:created xsi:type="dcterms:W3CDTF">2022-04-27T15:08:00Z</dcterms:created>
  <dcterms:modified xsi:type="dcterms:W3CDTF">2022-07-29T12:19:00Z</dcterms:modified>
</cp:coreProperties>
</file>