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D8BE" w14:textId="77777777" w:rsidR="00C0068C" w:rsidRPr="0031203C" w:rsidRDefault="00C0068C" w:rsidP="00C0068C">
      <w:pPr>
        <w:jc w:val="both"/>
        <w:rPr>
          <w:rFonts w:asciiTheme="minorHAnsi" w:hAnsiTheme="minorHAnsi" w:cstheme="minorHAnsi"/>
          <w:lang w:val="en-GB"/>
        </w:rPr>
      </w:pPr>
      <w:bookmarkStart w:id="0" w:name="_Hlk101870254"/>
      <w:bookmarkEnd w:id="0"/>
    </w:p>
    <w:p w14:paraId="4F7FB7C1" w14:textId="77777777" w:rsidR="00C0068C" w:rsidRPr="0031203C" w:rsidRDefault="00C0068C" w:rsidP="00C0068C">
      <w:pPr>
        <w:jc w:val="both"/>
        <w:rPr>
          <w:rFonts w:asciiTheme="minorHAnsi" w:hAnsiTheme="minorHAnsi" w:cstheme="minorHAnsi"/>
          <w:lang w:val="en-GB"/>
        </w:rPr>
      </w:pPr>
    </w:p>
    <w:p w14:paraId="71B952EF" w14:textId="77777777" w:rsidR="00C0068C" w:rsidRPr="0031203C" w:rsidRDefault="00C0068C" w:rsidP="00C0068C">
      <w:pPr>
        <w:jc w:val="both"/>
        <w:rPr>
          <w:rFonts w:asciiTheme="minorHAnsi" w:hAnsiTheme="minorHAnsi" w:cstheme="minorHAnsi"/>
          <w:lang w:val="en-GB"/>
        </w:rPr>
      </w:pPr>
    </w:p>
    <w:p w14:paraId="6DAF8346" w14:textId="77777777" w:rsidR="00C0068C" w:rsidRPr="0031203C" w:rsidRDefault="00C0068C" w:rsidP="00C0068C">
      <w:pPr>
        <w:jc w:val="both"/>
        <w:rPr>
          <w:rFonts w:asciiTheme="minorHAnsi" w:hAnsiTheme="minorHAnsi" w:cstheme="minorHAnsi"/>
          <w:lang w:val="en-GB"/>
        </w:rPr>
      </w:pPr>
    </w:p>
    <w:p w14:paraId="014BF65D" w14:textId="77777777" w:rsidR="00C0068C" w:rsidRPr="0031203C" w:rsidRDefault="00C0068C" w:rsidP="00C0068C">
      <w:pPr>
        <w:jc w:val="both"/>
        <w:rPr>
          <w:rFonts w:asciiTheme="minorHAnsi" w:hAnsiTheme="minorHAnsi" w:cstheme="minorHAnsi"/>
          <w:lang w:val="en-GB"/>
        </w:rPr>
      </w:pPr>
    </w:p>
    <w:p w14:paraId="5A3710D8" w14:textId="77777777" w:rsidR="00C0068C" w:rsidRPr="0031203C" w:rsidRDefault="00C0068C" w:rsidP="00C0068C">
      <w:pPr>
        <w:jc w:val="both"/>
        <w:rPr>
          <w:rFonts w:asciiTheme="minorHAnsi" w:hAnsiTheme="minorHAnsi" w:cstheme="minorHAnsi"/>
          <w:lang w:val="en-GB"/>
        </w:rPr>
      </w:pPr>
    </w:p>
    <w:p w14:paraId="0D8E1E1E" w14:textId="77777777" w:rsidR="00C0068C" w:rsidRPr="0031203C" w:rsidRDefault="00C0068C" w:rsidP="00C0068C">
      <w:pPr>
        <w:jc w:val="both"/>
        <w:rPr>
          <w:rFonts w:asciiTheme="minorHAnsi" w:hAnsiTheme="minorHAnsi" w:cstheme="minorHAnsi"/>
          <w:lang w:val="en-GB"/>
        </w:rPr>
      </w:pPr>
    </w:p>
    <w:p w14:paraId="20261634" w14:textId="77777777" w:rsidR="00C0068C" w:rsidRPr="0031203C" w:rsidRDefault="00C0068C" w:rsidP="00C0068C">
      <w:pPr>
        <w:jc w:val="both"/>
        <w:rPr>
          <w:rFonts w:asciiTheme="minorHAnsi" w:hAnsiTheme="minorHAnsi" w:cstheme="minorHAnsi"/>
          <w:lang w:val="en-GB"/>
        </w:rPr>
      </w:pPr>
    </w:p>
    <w:p w14:paraId="702E904B" w14:textId="77777777" w:rsidR="00C0068C" w:rsidRPr="0031203C" w:rsidRDefault="00C0068C" w:rsidP="00C0068C">
      <w:pPr>
        <w:jc w:val="center"/>
        <w:rPr>
          <w:rFonts w:asciiTheme="minorHAnsi" w:hAnsiTheme="minorHAnsi" w:cstheme="minorHAnsi"/>
          <w:sz w:val="56"/>
          <w:szCs w:val="56"/>
          <w:lang w:val="en-GB"/>
        </w:rPr>
      </w:pPr>
      <w:r w:rsidRPr="0031203C">
        <w:rPr>
          <w:rFonts w:asciiTheme="minorHAnsi" w:hAnsiTheme="minorHAnsi" w:cstheme="minorHAnsi"/>
          <w:sz w:val="56"/>
          <w:szCs w:val="56"/>
          <w:lang w:val="en-GB"/>
        </w:rPr>
        <w:t>FINANCIAL RESULTS</w:t>
      </w:r>
    </w:p>
    <w:p w14:paraId="4562916B" w14:textId="07D4BC91" w:rsidR="00C0068C" w:rsidRPr="0031203C" w:rsidRDefault="00A03B09" w:rsidP="00C0068C">
      <w:pPr>
        <w:jc w:val="center"/>
        <w:rPr>
          <w:rFonts w:asciiTheme="minorHAnsi" w:hAnsiTheme="minorHAnsi" w:cstheme="minorHAnsi"/>
          <w:sz w:val="56"/>
          <w:szCs w:val="56"/>
          <w:lang w:val="en-GB"/>
        </w:rPr>
      </w:pPr>
      <w:r w:rsidRPr="0031203C">
        <w:rPr>
          <w:rFonts w:asciiTheme="minorHAnsi" w:hAnsiTheme="minorHAnsi" w:cstheme="minorHAnsi"/>
          <w:sz w:val="56"/>
          <w:szCs w:val="56"/>
          <w:lang w:val="en-GB"/>
        </w:rPr>
        <w:t>Q1-Q3</w:t>
      </w:r>
      <w:r w:rsidR="008E299C" w:rsidRPr="0031203C">
        <w:rPr>
          <w:rFonts w:asciiTheme="minorHAnsi" w:hAnsiTheme="minorHAnsi" w:cstheme="minorHAnsi"/>
          <w:sz w:val="56"/>
          <w:szCs w:val="56"/>
          <w:lang w:val="en-GB"/>
        </w:rPr>
        <w:t xml:space="preserve"> </w:t>
      </w:r>
      <w:r w:rsidR="00C0068C" w:rsidRPr="0031203C">
        <w:rPr>
          <w:rFonts w:asciiTheme="minorHAnsi" w:hAnsiTheme="minorHAnsi" w:cstheme="minorHAnsi"/>
          <w:sz w:val="56"/>
          <w:szCs w:val="56"/>
          <w:lang w:val="en-GB"/>
        </w:rPr>
        <w:t>202</w:t>
      </w:r>
      <w:r w:rsidR="007579C7" w:rsidRPr="0031203C">
        <w:rPr>
          <w:rFonts w:asciiTheme="minorHAnsi" w:hAnsiTheme="minorHAnsi" w:cstheme="minorHAnsi"/>
          <w:sz w:val="56"/>
          <w:szCs w:val="56"/>
          <w:lang w:val="en-GB"/>
        </w:rPr>
        <w:t>2</w:t>
      </w:r>
    </w:p>
    <w:p w14:paraId="71719F98" w14:textId="77777777" w:rsidR="00C0068C" w:rsidRPr="0031203C" w:rsidRDefault="00C0068C" w:rsidP="00C0068C">
      <w:pPr>
        <w:jc w:val="both"/>
        <w:rPr>
          <w:rFonts w:asciiTheme="minorHAnsi" w:hAnsiTheme="minorHAnsi" w:cstheme="minorHAnsi"/>
          <w:sz w:val="56"/>
          <w:szCs w:val="56"/>
          <w:lang w:val="en-GB"/>
        </w:rPr>
      </w:pPr>
    </w:p>
    <w:p w14:paraId="2F046F60" w14:textId="77777777" w:rsidR="00C0068C" w:rsidRPr="0031203C" w:rsidRDefault="00C0068C" w:rsidP="00C0068C">
      <w:pPr>
        <w:jc w:val="both"/>
        <w:rPr>
          <w:rFonts w:asciiTheme="minorHAnsi" w:hAnsiTheme="minorHAnsi" w:cstheme="minorHAnsi"/>
          <w:lang w:val="en-GB"/>
        </w:rPr>
      </w:pPr>
    </w:p>
    <w:p w14:paraId="583171BE" w14:textId="77777777" w:rsidR="00C0068C" w:rsidRPr="0031203C" w:rsidRDefault="00C0068C" w:rsidP="00C0068C">
      <w:pPr>
        <w:jc w:val="both"/>
        <w:rPr>
          <w:rFonts w:asciiTheme="minorHAnsi" w:hAnsiTheme="minorHAnsi" w:cstheme="minorHAnsi"/>
          <w:lang w:val="en-GB"/>
        </w:rPr>
      </w:pPr>
    </w:p>
    <w:p w14:paraId="7BE564E1" w14:textId="77777777" w:rsidR="00C0068C" w:rsidRPr="0031203C" w:rsidRDefault="00C0068C" w:rsidP="00C0068C">
      <w:pPr>
        <w:jc w:val="both"/>
        <w:rPr>
          <w:rFonts w:asciiTheme="minorHAnsi" w:hAnsiTheme="minorHAnsi" w:cstheme="minorHAnsi"/>
          <w:lang w:val="en-GB"/>
        </w:rPr>
      </w:pPr>
    </w:p>
    <w:p w14:paraId="2A5C0A4B" w14:textId="77777777" w:rsidR="00C0068C" w:rsidRPr="0031203C" w:rsidRDefault="00C0068C" w:rsidP="00C0068C">
      <w:pPr>
        <w:jc w:val="both"/>
        <w:rPr>
          <w:rFonts w:asciiTheme="minorHAnsi" w:hAnsiTheme="minorHAnsi" w:cstheme="minorHAnsi"/>
          <w:lang w:val="en-GB"/>
        </w:rPr>
      </w:pPr>
    </w:p>
    <w:p w14:paraId="30AFA060" w14:textId="77777777" w:rsidR="00C0068C" w:rsidRPr="0031203C" w:rsidRDefault="00C0068C" w:rsidP="00C0068C">
      <w:pPr>
        <w:jc w:val="both"/>
        <w:rPr>
          <w:rFonts w:asciiTheme="minorHAnsi" w:hAnsiTheme="minorHAnsi" w:cstheme="minorHAnsi"/>
          <w:sz w:val="20"/>
          <w:szCs w:val="20"/>
          <w:lang w:val="en-GB"/>
        </w:rPr>
      </w:pPr>
    </w:p>
    <w:p w14:paraId="5CA844BC" w14:textId="77777777" w:rsidR="00C0068C" w:rsidRPr="0031203C" w:rsidRDefault="00C0068C" w:rsidP="00C0068C">
      <w:pPr>
        <w:jc w:val="both"/>
        <w:rPr>
          <w:rFonts w:asciiTheme="minorHAnsi" w:hAnsiTheme="minorHAnsi" w:cstheme="minorHAnsi"/>
          <w:sz w:val="20"/>
          <w:szCs w:val="20"/>
          <w:lang w:val="en-GB"/>
        </w:rPr>
      </w:pPr>
    </w:p>
    <w:p w14:paraId="3E61D389" w14:textId="77777777" w:rsidR="00C0068C" w:rsidRPr="0031203C" w:rsidRDefault="00C0068C" w:rsidP="00C0068C">
      <w:pPr>
        <w:jc w:val="both"/>
        <w:rPr>
          <w:rFonts w:asciiTheme="minorHAnsi" w:hAnsiTheme="minorHAnsi" w:cstheme="minorHAnsi"/>
          <w:sz w:val="20"/>
          <w:szCs w:val="20"/>
          <w:lang w:val="en-GB"/>
        </w:rPr>
      </w:pPr>
    </w:p>
    <w:p w14:paraId="49FD168C" w14:textId="77777777" w:rsidR="00C0068C" w:rsidRPr="0031203C" w:rsidRDefault="00C0068C" w:rsidP="00C0068C">
      <w:pPr>
        <w:jc w:val="both"/>
        <w:rPr>
          <w:rFonts w:asciiTheme="minorHAnsi" w:hAnsiTheme="minorHAnsi" w:cstheme="minorHAnsi"/>
          <w:sz w:val="20"/>
          <w:szCs w:val="20"/>
          <w:lang w:val="en-GB"/>
        </w:rPr>
      </w:pPr>
    </w:p>
    <w:p w14:paraId="0D56C24B" w14:textId="77777777" w:rsidR="00C0068C" w:rsidRPr="0031203C" w:rsidRDefault="00C0068C" w:rsidP="00C0068C">
      <w:pPr>
        <w:jc w:val="both"/>
        <w:rPr>
          <w:rFonts w:asciiTheme="minorHAnsi" w:hAnsiTheme="minorHAnsi" w:cstheme="minorHAnsi"/>
          <w:sz w:val="20"/>
          <w:szCs w:val="20"/>
          <w:lang w:val="en-GB"/>
        </w:rPr>
      </w:pPr>
    </w:p>
    <w:p w14:paraId="54686B05" w14:textId="77777777" w:rsidR="00C0068C" w:rsidRPr="0031203C" w:rsidRDefault="00C0068C" w:rsidP="00C0068C">
      <w:pPr>
        <w:jc w:val="both"/>
        <w:rPr>
          <w:rFonts w:asciiTheme="minorHAnsi" w:hAnsiTheme="minorHAnsi" w:cstheme="minorHAnsi"/>
          <w:sz w:val="20"/>
          <w:szCs w:val="20"/>
          <w:lang w:val="en-GB"/>
        </w:rPr>
      </w:pPr>
    </w:p>
    <w:p w14:paraId="28BB94B1" w14:textId="77777777" w:rsidR="00C0068C" w:rsidRPr="0031203C" w:rsidRDefault="00C0068C" w:rsidP="00C0068C">
      <w:pPr>
        <w:jc w:val="both"/>
        <w:rPr>
          <w:rFonts w:asciiTheme="minorHAnsi" w:hAnsiTheme="minorHAnsi" w:cstheme="minorHAnsi"/>
          <w:sz w:val="20"/>
          <w:szCs w:val="20"/>
          <w:lang w:val="en-GB"/>
        </w:rPr>
      </w:pPr>
    </w:p>
    <w:p w14:paraId="3F441A06" w14:textId="18EFFEF2" w:rsidR="00C0068C" w:rsidRDefault="001F5ECF" w:rsidP="00C0068C">
      <w:pPr>
        <w:jc w:val="both"/>
        <w:rPr>
          <w:rFonts w:asciiTheme="minorHAnsi" w:hAnsiTheme="minorHAnsi" w:cstheme="minorHAnsi"/>
          <w:color w:val="808080" w:themeColor="background1" w:themeShade="80"/>
          <w:sz w:val="20"/>
          <w:szCs w:val="20"/>
          <w:lang w:val="en-GB"/>
        </w:rPr>
      </w:pPr>
      <w:r>
        <w:rPr>
          <w:rFonts w:asciiTheme="minorHAnsi" w:hAnsiTheme="minorHAnsi" w:cstheme="minorHAnsi"/>
          <w:color w:val="808080" w:themeColor="background1" w:themeShade="80"/>
          <w:sz w:val="20"/>
          <w:szCs w:val="20"/>
          <w:lang w:val="en-GB"/>
        </w:rPr>
        <w:t xml:space="preserve">Press </w:t>
      </w:r>
      <w:r w:rsidR="00C0068C" w:rsidRPr="0031203C">
        <w:rPr>
          <w:rFonts w:asciiTheme="minorHAnsi" w:hAnsiTheme="minorHAnsi" w:cstheme="minorHAnsi"/>
          <w:color w:val="808080" w:themeColor="background1" w:themeShade="80"/>
          <w:sz w:val="20"/>
          <w:szCs w:val="20"/>
          <w:lang w:val="en-GB"/>
        </w:rPr>
        <w:t>Contact:</w:t>
      </w:r>
    </w:p>
    <w:p w14:paraId="4A145A50" w14:textId="77777777" w:rsidR="001F5ECF" w:rsidRPr="0031203C" w:rsidRDefault="001F5ECF" w:rsidP="00C0068C">
      <w:pPr>
        <w:jc w:val="both"/>
        <w:rPr>
          <w:rFonts w:asciiTheme="minorHAnsi" w:hAnsiTheme="minorHAnsi" w:cstheme="minorHAnsi"/>
          <w:color w:val="808080" w:themeColor="background1" w:themeShade="80"/>
          <w:sz w:val="20"/>
          <w:szCs w:val="20"/>
          <w:lang w:val="en-GB"/>
        </w:rPr>
      </w:pPr>
    </w:p>
    <w:p w14:paraId="32A73C36" w14:textId="4F5F66FF" w:rsidR="00C0068C" w:rsidRPr="0031203C" w:rsidRDefault="00C0068C" w:rsidP="00C0068C">
      <w:pPr>
        <w:jc w:val="both"/>
        <w:rPr>
          <w:rFonts w:asciiTheme="minorHAnsi" w:hAnsiTheme="minorHAnsi" w:cstheme="minorHAnsi"/>
          <w:color w:val="808080" w:themeColor="background1" w:themeShade="80"/>
          <w:sz w:val="20"/>
          <w:szCs w:val="20"/>
          <w:lang w:val="en-GB"/>
        </w:rPr>
      </w:pPr>
      <w:r w:rsidRPr="0031203C">
        <w:rPr>
          <w:rFonts w:asciiTheme="minorHAnsi" w:hAnsiTheme="minorHAnsi" w:cstheme="minorHAnsi"/>
          <w:color w:val="808080" w:themeColor="background1" w:themeShade="80"/>
          <w:sz w:val="20"/>
          <w:szCs w:val="20"/>
          <w:lang w:val="en-GB"/>
        </w:rPr>
        <w:t>INA</w:t>
      </w:r>
      <w:r w:rsidR="0092012F">
        <w:rPr>
          <w:rFonts w:asciiTheme="minorHAnsi" w:hAnsiTheme="minorHAnsi" w:cstheme="minorHAnsi"/>
          <w:color w:val="808080" w:themeColor="background1" w:themeShade="80"/>
          <w:sz w:val="20"/>
          <w:szCs w:val="20"/>
          <w:lang w:val="en-GB"/>
        </w:rPr>
        <w:t xml:space="preserve">, </w:t>
      </w:r>
      <w:proofErr w:type="spellStart"/>
      <w:r w:rsidR="0092012F">
        <w:rPr>
          <w:rFonts w:asciiTheme="minorHAnsi" w:hAnsiTheme="minorHAnsi" w:cstheme="minorHAnsi"/>
          <w:color w:val="808080" w:themeColor="background1" w:themeShade="80"/>
          <w:sz w:val="20"/>
          <w:szCs w:val="20"/>
          <w:lang w:val="en-GB"/>
        </w:rPr>
        <w:t>d.d.</w:t>
      </w:r>
      <w:proofErr w:type="spellEnd"/>
    </w:p>
    <w:p w14:paraId="54BDA9E6" w14:textId="77777777" w:rsidR="00C0068C" w:rsidRPr="0031203C" w:rsidRDefault="00C0068C" w:rsidP="00C0068C">
      <w:pPr>
        <w:jc w:val="both"/>
        <w:rPr>
          <w:rFonts w:asciiTheme="minorHAnsi" w:hAnsiTheme="minorHAnsi" w:cstheme="minorHAnsi"/>
          <w:color w:val="808080" w:themeColor="background1" w:themeShade="80"/>
          <w:sz w:val="20"/>
          <w:szCs w:val="20"/>
          <w:lang w:val="en-GB"/>
        </w:rPr>
      </w:pPr>
      <w:r w:rsidRPr="0031203C">
        <w:rPr>
          <w:rFonts w:asciiTheme="minorHAnsi" w:hAnsiTheme="minorHAnsi" w:cstheme="minorHAnsi"/>
          <w:color w:val="808080" w:themeColor="background1" w:themeShade="80"/>
          <w:sz w:val="20"/>
          <w:szCs w:val="20"/>
          <w:lang w:val="en-GB"/>
        </w:rPr>
        <w:t>Corporate Communications and Marketing</w:t>
      </w:r>
    </w:p>
    <w:p w14:paraId="0B2BC4EF" w14:textId="77777777" w:rsidR="00C0068C" w:rsidRPr="0031203C" w:rsidRDefault="00C0068C" w:rsidP="00C0068C">
      <w:pPr>
        <w:jc w:val="both"/>
        <w:rPr>
          <w:rFonts w:asciiTheme="minorHAnsi" w:hAnsiTheme="minorHAnsi" w:cstheme="minorHAnsi"/>
          <w:color w:val="808080" w:themeColor="background1" w:themeShade="80"/>
          <w:sz w:val="20"/>
          <w:szCs w:val="20"/>
          <w:lang w:val="en-GB"/>
        </w:rPr>
      </w:pPr>
      <w:proofErr w:type="spellStart"/>
      <w:r w:rsidRPr="0031203C">
        <w:rPr>
          <w:rFonts w:asciiTheme="minorHAnsi" w:hAnsiTheme="minorHAnsi" w:cstheme="minorHAnsi"/>
          <w:color w:val="808080" w:themeColor="background1" w:themeShade="80"/>
          <w:sz w:val="20"/>
          <w:szCs w:val="20"/>
          <w:lang w:val="en-GB"/>
        </w:rPr>
        <w:t>Avenija</w:t>
      </w:r>
      <w:proofErr w:type="spellEnd"/>
      <w:r w:rsidRPr="0031203C">
        <w:rPr>
          <w:rFonts w:asciiTheme="minorHAnsi" w:hAnsiTheme="minorHAnsi" w:cstheme="minorHAnsi"/>
          <w:color w:val="808080" w:themeColor="background1" w:themeShade="80"/>
          <w:sz w:val="20"/>
          <w:szCs w:val="20"/>
          <w:lang w:val="en-GB"/>
        </w:rPr>
        <w:t xml:space="preserve"> </w:t>
      </w:r>
      <w:proofErr w:type="spellStart"/>
      <w:r w:rsidRPr="0031203C">
        <w:rPr>
          <w:rFonts w:asciiTheme="minorHAnsi" w:hAnsiTheme="minorHAnsi" w:cstheme="minorHAnsi"/>
          <w:color w:val="808080" w:themeColor="background1" w:themeShade="80"/>
          <w:sz w:val="20"/>
          <w:szCs w:val="20"/>
          <w:lang w:val="en-GB"/>
        </w:rPr>
        <w:t>Većeslava</w:t>
      </w:r>
      <w:proofErr w:type="spellEnd"/>
      <w:r w:rsidRPr="0031203C">
        <w:rPr>
          <w:rFonts w:asciiTheme="minorHAnsi" w:hAnsiTheme="minorHAnsi" w:cstheme="minorHAnsi"/>
          <w:color w:val="808080" w:themeColor="background1" w:themeShade="80"/>
          <w:sz w:val="20"/>
          <w:szCs w:val="20"/>
          <w:lang w:val="en-GB"/>
        </w:rPr>
        <w:t xml:space="preserve"> </w:t>
      </w:r>
      <w:proofErr w:type="spellStart"/>
      <w:r w:rsidRPr="0031203C">
        <w:rPr>
          <w:rFonts w:asciiTheme="minorHAnsi" w:hAnsiTheme="minorHAnsi" w:cstheme="minorHAnsi"/>
          <w:color w:val="808080" w:themeColor="background1" w:themeShade="80"/>
          <w:sz w:val="20"/>
          <w:szCs w:val="20"/>
          <w:lang w:val="en-GB"/>
        </w:rPr>
        <w:t>Holjevca</w:t>
      </w:r>
      <w:proofErr w:type="spellEnd"/>
      <w:r w:rsidRPr="0031203C">
        <w:rPr>
          <w:rFonts w:asciiTheme="minorHAnsi" w:hAnsiTheme="minorHAnsi" w:cstheme="minorHAnsi"/>
          <w:color w:val="808080" w:themeColor="background1" w:themeShade="80"/>
          <w:sz w:val="20"/>
          <w:szCs w:val="20"/>
          <w:lang w:val="en-GB"/>
        </w:rPr>
        <w:t xml:space="preserve"> 10, Zagreb</w:t>
      </w:r>
    </w:p>
    <w:p w14:paraId="292EB947" w14:textId="77777777" w:rsidR="00C0068C" w:rsidRPr="0031203C" w:rsidRDefault="00C0068C" w:rsidP="00C0068C">
      <w:pPr>
        <w:jc w:val="both"/>
        <w:rPr>
          <w:rFonts w:asciiTheme="minorHAnsi" w:hAnsiTheme="minorHAnsi" w:cstheme="minorHAnsi"/>
          <w:color w:val="808080" w:themeColor="background1" w:themeShade="80"/>
          <w:sz w:val="20"/>
          <w:szCs w:val="20"/>
          <w:lang w:val="en-GB"/>
        </w:rPr>
      </w:pPr>
    </w:p>
    <w:p w14:paraId="459A7AE9" w14:textId="77777777" w:rsidR="00C0068C" w:rsidRPr="0031203C" w:rsidRDefault="00C0068C" w:rsidP="00C0068C">
      <w:pPr>
        <w:jc w:val="both"/>
        <w:rPr>
          <w:rFonts w:asciiTheme="minorHAnsi" w:hAnsiTheme="minorHAnsi" w:cstheme="minorHAnsi"/>
          <w:color w:val="808080" w:themeColor="background1" w:themeShade="80"/>
          <w:sz w:val="20"/>
          <w:szCs w:val="20"/>
          <w:lang w:val="en-GB"/>
        </w:rPr>
      </w:pPr>
      <w:r w:rsidRPr="0031203C">
        <w:rPr>
          <w:rFonts w:asciiTheme="minorHAnsi" w:hAnsiTheme="minorHAnsi" w:cstheme="minorHAnsi"/>
          <w:color w:val="808080" w:themeColor="background1" w:themeShade="80"/>
          <w:sz w:val="20"/>
          <w:szCs w:val="20"/>
          <w:lang w:val="en-GB"/>
        </w:rPr>
        <w:t xml:space="preserve">E-mail:  </w:t>
      </w:r>
      <w:hyperlink r:id="rId8" w:history="1">
        <w:r w:rsidRPr="0031203C">
          <w:rPr>
            <w:rStyle w:val="Hyperlink"/>
            <w:rFonts w:asciiTheme="minorHAnsi" w:hAnsiTheme="minorHAnsi" w:cstheme="minorHAnsi"/>
            <w:sz w:val="20"/>
            <w:szCs w:val="20"/>
            <w:lang w:val="en-GB"/>
          </w:rPr>
          <w:t>pr@ina.hr</w:t>
        </w:r>
      </w:hyperlink>
      <w:r w:rsidRPr="0031203C">
        <w:rPr>
          <w:rFonts w:asciiTheme="minorHAnsi" w:hAnsiTheme="minorHAnsi" w:cstheme="minorHAnsi"/>
          <w:color w:val="808080" w:themeColor="background1" w:themeShade="80"/>
          <w:sz w:val="20"/>
          <w:szCs w:val="20"/>
          <w:lang w:val="en-GB"/>
        </w:rPr>
        <w:t xml:space="preserve"> </w:t>
      </w:r>
      <w:hyperlink r:id="rId9" w:history="1"/>
      <w:r w:rsidRPr="0031203C">
        <w:rPr>
          <w:lang w:val="en-GB"/>
        </w:rPr>
        <w:t xml:space="preserve"> </w:t>
      </w:r>
    </w:p>
    <w:p w14:paraId="526A0FBE" w14:textId="00FD903B" w:rsidR="00C0068C" w:rsidRPr="0031203C" w:rsidRDefault="003C249C" w:rsidP="00C0068C">
      <w:pPr>
        <w:jc w:val="both"/>
        <w:rPr>
          <w:rFonts w:asciiTheme="minorHAnsi" w:hAnsiTheme="minorHAnsi" w:cstheme="minorHAnsi"/>
          <w:color w:val="808080" w:themeColor="background1" w:themeShade="80"/>
          <w:sz w:val="20"/>
          <w:szCs w:val="20"/>
          <w:lang w:val="en-GB"/>
        </w:rPr>
      </w:pPr>
      <w:hyperlink r:id="rId10" w:history="1">
        <w:r w:rsidR="00C0068C" w:rsidRPr="00711992">
          <w:rPr>
            <w:rStyle w:val="Hyperlink"/>
            <w:rFonts w:asciiTheme="minorHAnsi" w:hAnsiTheme="minorHAnsi" w:cstheme="minorHAnsi"/>
            <w:sz w:val="20"/>
            <w:szCs w:val="20"/>
            <w:lang w:val="en-GB"/>
          </w:rPr>
          <w:t>Press Centre</w:t>
        </w:r>
      </w:hyperlink>
      <w:r w:rsidR="00C0068C" w:rsidRPr="0031203C">
        <w:rPr>
          <w:rFonts w:asciiTheme="minorHAnsi" w:hAnsiTheme="minorHAnsi" w:cstheme="minorHAnsi"/>
          <w:color w:val="808080" w:themeColor="background1" w:themeShade="80"/>
          <w:sz w:val="20"/>
          <w:szCs w:val="20"/>
          <w:lang w:val="en-GB"/>
        </w:rPr>
        <w:t xml:space="preserve"> at </w:t>
      </w:r>
      <w:hyperlink r:id="rId11" w:history="1">
        <w:r w:rsidR="00C0068C" w:rsidRPr="0031203C">
          <w:rPr>
            <w:rStyle w:val="Hyperlink"/>
            <w:rFonts w:asciiTheme="minorHAnsi" w:hAnsiTheme="minorHAnsi" w:cstheme="minorHAnsi"/>
            <w:color w:val="808080" w:themeColor="background1" w:themeShade="80"/>
            <w:sz w:val="20"/>
            <w:szCs w:val="20"/>
            <w:lang w:val="en-GB"/>
          </w:rPr>
          <w:t>www.ina.hr</w:t>
        </w:r>
      </w:hyperlink>
      <w:r w:rsidR="00C0068C" w:rsidRPr="0031203C">
        <w:rPr>
          <w:rFonts w:asciiTheme="minorHAnsi" w:hAnsiTheme="minorHAnsi" w:cstheme="minorHAnsi"/>
          <w:color w:val="808080" w:themeColor="background1" w:themeShade="80"/>
          <w:sz w:val="20"/>
          <w:szCs w:val="20"/>
          <w:lang w:val="en-GB"/>
        </w:rPr>
        <w:t xml:space="preserve"> </w:t>
      </w:r>
    </w:p>
    <w:p w14:paraId="49EABBD2" w14:textId="77777777" w:rsidR="00C0068C" w:rsidRPr="0031203C" w:rsidRDefault="00C0068C" w:rsidP="00C0068C">
      <w:pPr>
        <w:jc w:val="both"/>
        <w:rPr>
          <w:rFonts w:asciiTheme="minorHAnsi" w:hAnsiTheme="minorHAnsi" w:cstheme="minorHAnsi"/>
          <w:lang w:val="en-GB"/>
        </w:rPr>
        <w:sectPr w:rsidR="00C0068C" w:rsidRPr="0031203C" w:rsidSect="0039152A">
          <w:headerReference w:type="default" r:id="rId12"/>
          <w:footerReference w:type="default" r:id="rId13"/>
          <w:pgSz w:w="11906" w:h="16838" w:code="9"/>
          <w:pgMar w:top="3402" w:right="1134" w:bottom="1843" w:left="1418" w:header="851" w:footer="459" w:gutter="0"/>
          <w:cols w:space="708"/>
          <w:docGrid w:linePitch="360"/>
        </w:sectPr>
      </w:pPr>
    </w:p>
    <w:p w14:paraId="4D345249" w14:textId="011BF1EE" w:rsidR="00C0068C" w:rsidRPr="0031203C" w:rsidRDefault="00C0068C" w:rsidP="00C0068C">
      <w:pPr>
        <w:jc w:val="both"/>
        <w:rPr>
          <w:rFonts w:asciiTheme="minorHAnsi" w:hAnsiTheme="minorHAnsi" w:cstheme="minorHAnsi"/>
          <w:b/>
          <w:sz w:val="28"/>
          <w:szCs w:val="28"/>
          <w:lang w:val="en-GB"/>
        </w:rPr>
      </w:pPr>
      <w:bookmarkStart w:id="1" w:name="OLE_LINK1"/>
    </w:p>
    <w:p w14:paraId="698CC5BE" w14:textId="77777777" w:rsidR="00C0068C" w:rsidRPr="0031203C" w:rsidRDefault="00C0068C" w:rsidP="00C0068C">
      <w:pPr>
        <w:jc w:val="center"/>
        <w:rPr>
          <w:rFonts w:asciiTheme="minorHAnsi" w:hAnsiTheme="minorHAnsi" w:cstheme="minorHAnsi"/>
          <w:b/>
          <w:sz w:val="28"/>
          <w:szCs w:val="28"/>
          <w:lang w:val="en-GB"/>
        </w:rPr>
      </w:pPr>
    </w:p>
    <w:p w14:paraId="588B07D4" w14:textId="302AE6DF" w:rsidR="00C0068C" w:rsidRPr="0031203C" w:rsidRDefault="00F410A2" w:rsidP="00C0068C">
      <w:pPr>
        <w:jc w:val="center"/>
        <w:rPr>
          <w:rFonts w:asciiTheme="minorHAnsi" w:hAnsiTheme="minorHAnsi" w:cstheme="minorHAnsi"/>
          <w:b/>
          <w:sz w:val="32"/>
          <w:szCs w:val="32"/>
          <w:lang w:val="en-GB"/>
        </w:rPr>
      </w:pPr>
      <w:r>
        <w:rPr>
          <w:rFonts w:asciiTheme="minorHAnsi" w:hAnsiTheme="minorHAnsi" w:cstheme="minorHAnsi"/>
          <w:b/>
          <w:sz w:val="32"/>
          <w:szCs w:val="32"/>
          <w:lang w:val="en-GB"/>
        </w:rPr>
        <w:t xml:space="preserve">INA </w:t>
      </w:r>
      <w:r w:rsidR="00404512">
        <w:rPr>
          <w:rFonts w:asciiTheme="minorHAnsi" w:hAnsiTheme="minorHAnsi" w:cstheme="minorHAnsi"/>
          <w:b/>
          <w:sz w:val="32"/>
          <w:szCs w:val="32"/>
          <w:lang w:val="en-GB"/>
        </w:rPr>
        <w:t xml:space="preserve">continues to be </w:t>
      </w:r>
      <w:r w:rsidR="00A41557">
        <w:rPr>
          <w:rFonts w:asciiTheme="minorHAnsi" w:hAnsiTheme="minorHAnsi" w:cstheme="minorHAnsi"/>
          <w:b/>
          <w:sz w:val="32"/>
          <w:szCs w:val="32"/>
          <w:lang w:val="en-GB"/>
        </w:rPr>
        <w:t xml:space="preserve">one of </w:t>
      </w:r>
      <w:r>
        <w:rPr>
          <w:rFonts w:asciiTheme="minorHAnsi" w:hAnsiTheme="minorHAnsi" w:cstheme="minorHAnsi"/>
          <w:b/>
          <w:sz w:val="32"/>
          <w:szCs w:val="32"/>
          <w:lang w:val="en-GB"/>
        </w:rPr>
        <w:t>the largest investor</w:t>
      </w:r>
      <w:r w:rsidR="00A41557">
        <w:rPr>
          <w:rFonts w:asciiTheme="minorHAnsi" w:hAnsiTheme="minorHAnsi" w:cstheme="minorHAnsi"/>
          <w:b/>
          <w:sz w:val="32"/>
          <w:szCs w:val="32"/>
          <w:lang w:val="en-GB"/>
        </w:rPr>
        <w:t>s</w:t>
      </w:r>
      <w:r>
        <w:rPr>
          <w:rFonts w:asciiTheme="minorHAnsi" w:hAnsiTheme="minorHAnsi" w:cstheme="minorHAnsi"/>
          <w:b/>
          <w:sz w:val="32"/>
          <w:szCs w:val="32"/>
          <w:lang w:val="en-GB"/>
        </w:rPr>
        <w:t xml:space="preserve"> in </w:t>
      </w:r>
      <w:r w:rsidR="00404512">
        <w:rPr>
          <w:rFonts w:asciiTheme="minorHAnsi" w:hAnsiTheme="minorHAnsi" w:cstheme="minorHAnsi"/>
          <w:b/>
          <w:sz w:val="32"/>
          <w:szCs w:val="32"/>
          <w:lang w:val="en-GB"/>
        </w:rPr>
        <w:t>Croatia</w:t>
      </w:r>
      <w:r w:rsidR="00A76FCC">
        <w:rPr>
          <w:rFonts w:asciiTheme="minorHAnsi" w:hAnsiTheme="minorHAnsi" w:cstheme="minorHAnsi"/>
          <w:b/>
          <w:sz w:val="32"/>
          <w:szCs w:val="32"/>
          <w:lang w:val="en-GB"/>
        </w:rPr>
        <w:t xml:space="preserve"> </w:t>
      </w:r>
      <w:r w:rsidR="00554833">
        <w:rPr>
          <w:rFonts w:asciiTheme="minorHAnsi" w:hAnsiTheme="minorHAnsi" w:cstheme="minorHAnsi"/>
          <w:b/>
          <w:sz w:val="32"/>
          <w:szCs w:val="32"/>
          <w:lang w:val="en-GB"/>
        </w:rPr>
        <w:t xml:space="preserve">with </w:t>
      </w:r>
      <w:r w:rsidR="00F73A0D">
        <w:rPr>
          <w:rFonts w:asciiTheme="minorHAnsi" w:hAnsiTheme="minorHAnsi" w:cstheme="minorHAnsi"/>
          <w:b/>
          <w:sz w:val="32"/>
          <w:szCs w:val="32"/>
          <w:lang w:val="en-GB"/>
        </w:rPr>
        <w:t xml:space="preserve">more than </w:t>
      </w:r>
      <w:r w:rsidR="00F73A0D" w:rsidRPr="0031203C">
        <w:rPr>
          <w:rFonts w:asciiTheme="minorHAnsi" w:hAnsiTheme="minorHAnsi" w:cstheme="minorHAnsi"/>
          <w:b/>
          <w:sz w:val="32"/>
          <w:szCs w:val="32"/>
          <w:lang w:val="en-GB"/>
        </w:rPr>
        <w:t>doubled</w:t>
      </w:r>
      <w:r w:rsidR="00F73A0D">
        <w:rPr>
          <w:rFonts w:asciiTheme="minorHAnsi" w:hAnsiTheme="minorHAnsi" w:cstheme="minorHAnsi"/>
          <w:b/>
          <w:sz w:val="32"/>
          <w:szCs w:val="32"/>
          <w:lang w:val="en-GB"/>
        </w:rPr>
        <w:t xml:space="preserve"> </w:t>
      </w:r>
      <w:r w:rsidR="00404512">
        <w:rPr>
          <w:rFonts w:asciiTheme="minorHAnsi" w:hAnsiTheme="minorHAnsi" w:cstheme="minorHAnsi"/>
          <w:b/>
          <w:sz w:val="32"/>
          <w:szCs w:val="32"/>
          <w:lang w:val="en-GB"/>
        </w:rPr>
        <w:t>c</w:t>
      </w:r>
      <w:r w:rsidR="0044210D" w:rsidRPr="0031203C">
        <w:rPr>
          <w:rFonts w:asciiTheme="minorHAnsi" w:hAnsiTheme="minorHAnsi" w:cstheme="minorHAnsi"/>
          <w:b/>
          <w:sz w:val="32"/>
          <w:szCs w:val="32"/>
          <w:lang w:val="en-GB"/>
        </w:rPr>
        <w:t xml:space="preserve">apital investments </w:t>
      </w:r>
    </w:p>
    <w:p w14:paraId="5FCC395B" w14:textId="77777777" w:rsidR="00621EAF" w:rsidRPr="0031203C" w:rsidRDefault="00621EAF" w:rsidP="00C0068C">
      <w:pPr>
        <w:jc w:val="center"/>
        <w:rPr>
          <w:rFonts w:asciiTheme="minorHAnsi" w:hAnsiTheme="minorHAnsi" w:cstheme="minorHAnsi"/>
          <w:b/>
          <w:sz w:val="30"/>
          <w:szCs w:val="30"/>
          <w:lang w:val="en-GB"/>
        </w:rPr>
      </w:pPr>
    </w:p>
    <w:p w14:paraId="5289EF4A" w14:textId="46C1A4AA" w:rsidR="007579C7" w:rsidRPr="0031203C" w:rsidRDefault="007579C7" w:rsidP="00621EAF">
      <w:pPr>
        <w:pStyle w:val="ListParagraph"/>
        <w:numPr>
          <w:ilvl w:val="0"/>
          <w:numId w:val="2"/>
        </w:numPr>
        <w:spacing w:after="120"/>
        <w:ind w:hanging="357"/>
        <w:jc w:val="both"/>
        <w:rPr>
          <w:rFonts w:asciiTheme="minorHAnsi" w:hAnsiTheme="minorHAnsi" w:cstheme="minorHAnsi"/>
          <w:b/>
          <w:lang w:val="en-GB"/>
        </w:rPr>
      </w:pPr>
      <w:r w:rsidRPr="0031203C">
        <w:rPr>
          <w:rFonts w:asciiTheme="minorHAnsi" w:hAnsiTheme="minorHAnsi" w:cstheme="minorHAnsi"/>
          <w:b/>
          <w:lang w:val="en-GB"/>
        </w:rPr>
        <w:t>High hydrocarbon price levels have continued</w:t>
      </w:r>
      <w:r w:rsidR="00DE5C19" w:rsidRPr="0031203C">
        <w:rPr>
          <w:rFonts w:asciiTheme="minorHAnsi" w:hAnsiTheme="minorHAnsi" w:cstheme="minorHAnsi"/>
          <w:b/>
          <w:lang w:val="en-GB"/>
        </w:rPr>
        <w:t xml:space="preserve">, </w:t>
      </w:r>
      <w:r w:rsidRPr="0031203C">
        <w:rPr>
          <w:rFonts w:asciiTheme="minorHAnsi" w:hAnsiTheme="minorHAnsi" w:cstheme="minorHAnsi"/>
          <w:b/>
          <w:lang w:val="en-GB"/>
        </w:rPr>
        <w:t xml:space="preserve">reflecting the increased geopolitical risk and uncertainty </w:t>
      </w:r>
      <w:r w:rsidR="00A9479F" w:rsidRPr="0031203C">
        <w:rPr>
          <w:rFonts w:asciiTheme="minorHAnsi" w:hAnsiTheme="minorHAnsi" w:cstheme="minorHAnsi"/>
          <w:b/>
          <w:lang w:val="en-GB"/>
        </w:rPr>
        <w:t>affecting</w:t>
      </w:r>
      <w:r w:rsidRPr="0031203C">
        <w:rPr>
          <w:rFonts w:asciiTheme="minorHAnsi" w:hAnsiTheme="minorHAnsi" w:cstheme="minorHAnsi"/>
          <w:b/>
          <w:lang w:val="en-GB"/>
        </w:rPr>
        <w:t xml:space="preserve"> global energy markets.</w:t>
      </w:r>
    </w:p>
    <w:p w14:paraId="338DBB72" w14:textId="77777777" w:rsidR="00621EAF" w:rsidRPr="0031203C" w:rsidRDefault="00621EAF" w:rsidP="00621EAF">
      <w:pPr>
        <w:pStyle w:val="ListParagraph"/>
        <w:spacing w:after="120"/>
        <w:ind w:left="363"/>
        <w:jc w:val="both"/>
        <w:rPr>
          <w:rFonts w:asciiTheme="minorHAnsi" w:hAnsiTheme="minorHAnsi" w:cstheme="minorHAnsi"/>
          <w:b/>
          <w:lang w:val="en-GB"/>
        </w:rPr>
      </w:pPr>
    </w:p>
    <w:p w14:paraId="45ABB997" w14:textId="548B745F" w:rsidR="00DE5C19" w:rsidRPr="0031203C" w:rsidRDefault="00DE5C19" w:rsidP="00621EAF">
      <w:pPr>
        <w:pStyle w:val="ListParagraph"/>
        <w:numPr>
          <w:ilvl w:val="0"/>
          <w:numId w:val="2"/>
        </w:numPr>
        <w:spacing w:after="120"/>
        <w:ind w:hanging="357"/>
        <w:jc w:val="both"/>
        <w:rPr>
          <w:rFonts w:asciiTheme="minorHAnsi" w:hAnsiTheme="minorHAnsi" w:cstheme="minorHAnsi"/>
          <w:b/>
          <w:lang w:val="en-GB"/>
        </w:rPr>
      </w:pPr>
      <w:r w:rsidRPr="0031203C">
        <w:rPr>
          <w:rFonts w:asciiTheme="minorHAnsi" w:hAnsiTheme="minorHAnsi" w:cstheme="minorHAnsi"/>
          <w:b/>
          <w:lang w:val="en-GB"/>
        </w:rPr>
        <w:t xml:space="preserve">In such environment, results show a strong INA Group </w:t>
      </w:r>
      <w:r w:rsidR="0041123B">
        <w:rPr>
          <w:rFonts w:asciiTheme="minorHAnsi" w:hAnsiTheme="minorHAnsi" w:cstheme="minorHAnsi"/>
          <w:b/>
          <w:lang w:val="en-GB"/>
        </w:rPr>
        <w:t xml:space="preserve">result </w:t>
      </w:r>
      <w:r w:rsidRPr="0031203C">
        <w:rPr>
          <w:rFonts w:asciiTheme="minorHAnsi" w:hAnsiTheme="minorHAnsi" w:cstheme="minorHAnsi"/>
          <w:b/>
          <w:lang w:val="en-GB"/>
        </w:rPr>
        <w:t xml:space="preserve">in </w:t>
      </w:r>
      <w:r w:rsidR="003D2CA2">
        <w:rPr>
          <w:rFonts w:asciiTheme="minorHAnsi" w:hAnsiTheme="minorHAnsi" w:cstheme="minorHAnsi"/>
          <w:b/>
          <w:lang w:val="en-GB"/>
        </w:rPr>
        <w:t>Q1-Q3</w:t>
      </w:r>
      <w:r w:rsidRPr="0031203C">
        <w:rPr>
          <w:rFonts w:asciiTheme="minorHAnsi" w:hAnsiTheme="minorHAnsi" w:cstheme="minorHAnsi"/>
          <w:b/>
          <w:lang w:val="en-GB"/>
        </w:rPr>
        <w:t xml:space="preserve"> 2022</w:t>
      </w:r>
      <w:r w:rsidR="00D01187">
        <w:rPr>
          <w:rFonts w:asciiTheme="minorHAnsi" w:hAnsiTheme="minorHAnsi" w:cstheme="minorHAnsi"/>
          <w:b/>
          <w:lang w:val="en-GB"/>
        </w:rPr>
        <w:t>, although v</w:t>
      </w:r>
      <w:r w:rsidR="0041123B" w:rsidRPr="0041123B">
        <w:rPr>
          <w:rFonts w:asciiTheme="minorHAnsi" w:hAnsiTheme="minorHAnsi" w:cstheme="minorHAnsi"/>
          <w:b/>
          <w:lang w:val="en-GB"/>
        </w:rPr>
        <w:t xml:space="preserve">arious regulatory restrictions had a negative impact on </w:t>
      </w:r>
      <w:r w:rsidR="00DB3FFE">
        <w:rPr>
          <w:rFonts w:asciiTheme="minorHAnsi" w:hAnsiTheme="minorHAnsi" w:cstheme="minorHAnsi"/>
          <w:b/>
          <w:lang w:val="en-GB"/>
        </w:rPr>
        <w:t>Retail</w:t>
      </w:r>
      <w:r w:rsidR="0041123B" w:rsidRPr="0041123B">
        <w:rPr>
          <w:rFonts w:asciiTheme="minorHAnsi" w:hAnsiTheme="minorHAnsi" w:cstheme="minorHAnsi"/>
          <w:b/>
          <w:lang w:val="en-GB"/>
        </w:rPr>
        <w:t xml:space="preserve"> result</w:t>
      </w:r>
      <w:r w:rsidR="00DB3FFE">
        <w:rPr>
          <w:rFonts w:asciiTheme="minorHAnsi" w:hAnsiTheme="minorHAnsi" w:cstheme="minorHAnsi"/>
          <w:b/>
          <w:lang w:val="en-GB"/>
        </w:rPr>
        <w:t>.</w:t>
      </w:r>
    </w:p>
    <w:p w14:paraId="0A0926CE" w14:textId="77777777" w:rsidR="00621EAF" w:rsidRPr="0031203C" w:rsidRDefault="00621EAF" w:rsidP="00621EAF">
      <w:pPr>
        <w:pStyle w:val="ListParagraph"/>
        <w:spacing w:after="120"/>
        <w:ind w:left="363"/>
        <w:jc w:val="both"/>
        <w:rPr>
          <w:rFonts w:asciiTheme="minorHAnsi" w:hAnsiTheme="minorHAnsi" w:cstheme="minorHAnsi"/>
          <w:b/>
          <w:lang w:val="en-GB"/>
        </w:rPr>
      </w:pPr>
    </w:p>
    <w:p w14:paraId="7EC64E85" w14:textId="7EA5DF46" w:rsidR="00DE5C19" w:rsidRPr="0031203C" w:rsidRDefault="00F848DD" w:rsidP="00621EAF">
      <w:pPr>
        <w:pStyle w:val="ListParagraph"/>
        <w:numPr>
          <w:ilvl w:val="0"/>
          <w:numId w:val="2"/>
        </w:numPr>
        <w:spacing w:after="120"/>
        <w:ind w:hanging="357"/>
        <w:jc w:val="both"/>
        <w:rPr>
          <w:rFonts w:asciiTheme="minorHAnsi" w:hAnsiTheme="minorHAnsi" w:cstheme="minorHAnsi"/>
          <w:b/>
          <w:lang w:val="en-GB"/>
        </w:rPr>
      </w:pPr>
      <w:r w:rsidRPr="0031203C">
        <w:rPr>
          <w:rFonts w:asciiTheme="minorHAnsi" w:hAnsiTheme="minorHAnsi" w:cstheme="minorHAnsi"/>
          <w:b/>
          <w:lang w:val="en-GB"/>
        </w:rPr>
        <w:t xml:space="preserve">Exploration and Production revenues and EBITDA </w:t>
      </w:r>
      <w:r w:rsidR="005D2D6D">
        <w:rPr>
          <w:rFonts w:asciiTheme="minorHAnsi" w:hAnsiTheme="minorHAnsi" w:cstheme="minorHAnsi"/>
          <w:b/>
          <w:lang w:val="en-GB"/>
        </w:rPr>
        <w:t xml:space="preserve">more than </w:t>
      </w:r>
      <w:r w:rsidRPr="0031203C">
        <w:rPr>
          <w:rFonts w:asciiTheme="minorHAnsi" w:hAnsiTheme="minorHAnsi" w:cstheme="minorHAnsi"/>
          <w:b/>
          <w:lang w:val="en-GB"/>
        </w:rPr>
        <w:t xml:space="preserve">doubled, significantly overcompensating the effect of </w:t>
      </w:r>
      <w:r w:rsidR="00306F07" w:rsidRPr="0031203C">
        <w:rPr>
          <w:rFonts w:asciiTheme="minorHAnsi" w:hAnsiTheme="minorHAnsi" w:cstheme="minorHAnsi"/>
          <w:b/>
          <w:lang w:val="en-GB"/>
        </w:rPr>
        <w:t>expected</w:t>
      </w:r>
      <w:r w:rsidRPr="0031203C">
        <w:rPr>
          <w:rFonts w:asciiTheme="minorHAnsi" w:hAnsiTheme="minorHAnsi" w:cstheme="minorHAnsi"/>
          <w:b/>
          <w:lang w:val="en-GB"/>
        </w:rPr>
        <w:t xml:space="preserve"> natural </w:t>
      </w:r>
      <w:r w:rsidR="00BD6224" w:rsidRPr="0031203C">
        <w:rPr>
          <w:rFonts w:asciiTheme="minorHAnsi" w:hAnsiTheme="minorHAnsi" w:cstheme="minorHAnsi"/>
          <w:b/>
          <w:lang w:val="en-GB"/>
        </w:rPr>
        <w:t xml:space="preserve">production </w:t>
      </w:r>
      <w:r w:rsidRPr="0031203C">
        <w:rPr>
          <w:rFonts w:asciiTheme="minorHAnsi" w:hAnsiTheme="minorHAnsi" w:cstheme="minorHAnsi"/>
          <w:b/>
          <w:lang w:val="en-GB"/>
        </w:rPr>
        <w:t>decline.</w:t>
      </w:r>
    </w:p>
    <w:p w14:paraId="6D967194" w14:textId="77777777" w:rsidR="00621EAF" w:rsidRPr="0031203C" w:rsidRDefault="00621EAF" w:rsidP="00621EAF">
      <w:pPr>
        <w:pStyle w:val="ListParagraph"/>
        <w:spacing w:after="120"/>
        <w:ind w:left="363"/>
        <w:jc w:val="both"/>
        <w:rPr>
          <w:rFonts w:asciiTheme="minorHAnsi" w:hAnsiTheme="minorHAnsi" w:cstheme="minorHAnsi"/>
          <w:b/>
          <w:lang w:val="en-GB"/>
        </w:rPr>
      </w:pPr>
    </w:p>
    <w:p w14:paraId="7040F1FA" w14:textId="31B26933" w:rsidR="00F848DD" w:rsidRPr="0031203C" w:rsidRDefault="00F848DD" w:rsidP="00621EAF">
      <w:pPr>
        <w:pStyle w:val="ListParagraph"/>
        <w:numPr>
          <w:ilvl w:val="0"/>
          <w:numId w:val="2"/>
        </w:numPr>
        <w:spacing w:after="120"/>
        <w:ind w:hanging="357"/>
        <w:jc w:val="both"/>
        <w:rPr>
          <w:rFonts w:asciiTheme="minorHAnsi" w:hAnsiTheme="minorHAnsi" w:cstheme="minorHAnsi"/>
          <w:b/>
          <w:lang w:val="en-GB"/>
        </w:rPr>
      </w:pPr>
      <w:bookmarkStart w:id="2" w:name="_Hlk117509366"/>
      <w:r w:rsidRPr="0031203C">
        <w:rPr>
          <w:rFonts w:asciiTheme="minorHAnsi" w:hAnsiTheme="minorHAnsi" w:cstheme="minorHAnsi"/>
          <w:b/>
          <w:lang w:val="en-GB"/>
        </w:rPr>
        <w:t>Inves</w:t>
      </w:r>
      <w:bookmarkEnd w:id="2"/>
      <w:r w:rsidRPr="0031203C">
        <w:rPr>
          <w:rFonts w:asciiTheme="minorHAnsi" w:hAnsiTheme="minorHAnsi" w:cstheme="minorHAnsi"/>
          <w:b/>
          <w:lang w:val="en-GB"/>
        </w:rPr>
        <w:t xml:space="preserve">tment activities intensified and CAPEX spending </w:t>
      </w:r>
      <w:r w:rsidR="00C62875">
        <w:rPr>
          <w:rFonts w:asciiTheme="minorHAnsi" w:hAnsiTheme="minorHAnsi" w:cstheme="minorHAnsi"/>
          <w:b/>
          <w:lang w:val="en-GB"/>
        </w:rPr>
        <w:t>more than doubled</w:t>
      </w:r>
      <w:r w:rsidRPr="0031203C">
        <w:rPr>
          <w:rFonts w:asciiTheme="minorHAnsi" w:hAnsiTheme="minorHAnsi" w:cstheme="minorHAnsi"/>
          <w:b/>
          <w:lang w:val="en-GB"/>
        </w:rPr>
        <w:t xml:space="preserve"> compared to </w:t>
      </w:r>
      <w:r w:rsidR="00C62875">
        <w:rPr>
          <w:rFonts w:asciiTheme="minorHAnsi" w:hAnsiTheme="minorHAnsi" w:cstheme="minorHAnsi"/>
          <w:b/>
          <w:lang w:val="en-GB"/>
        </w:rPr>
        <w:t>the same period last year</w:t>
      </w:r>
      <w:r w:rsidR="00420338">
        <w:rPr>
          <w:rFonts w:asciiTheme="minorHAnsi" w:hAnsiTheme="minorHAnsi" w:cstheme="minorHAnsi"/>
          <w:b/>
          <w:lang w:val="en-GB"/>
        </w:rPr>
        <w:t xml:space="preserve">, </w:t>
      </w:r>
      <w:r w:rsidR="00F84CCE">
        <w:rPr>
          <w:rFonts w:asciiTheme="minorHAnsi" w:hAnsiTheme="minorHAnsi" w:cstheme="minorHAnsi"/>
          <w:b/>
          <w:lang w:val="en-GB"/>
        </w:rPr>
        <w:t>confirming</w:t>
      </w:r>
      <w:r w:rsidR="003559B8">
        <w:rPr>
          <w:rFonts w:asciiTheme="minorHAnsi" w:hAnsiTheme="minorHAnsi" w:cstheme="minorHAnsi"/>
          <w:b/>
          <w:lang w:val="en-GB"/>
        </w:rPr>
        <w:t xml:space="preserve"> INA </w:t>
      </w:r>
      <w:r w:rsidR="00F84CCE">
        <w:rPr>
          <w:rFonts w:asciiTheme="minorHAnsi" w:hAnsiTheme="minorHAnsi" w:cstheme="minorHAnsi"/>
          <w:b/>
          <w:lang w:val="en-GB"/>
        </w:rPr>
        <w:t xml:space="preserve">as </w:t>
      </w:r>
      <w:r w:rsidR="004F413E">
        <w:rPr>
          <w:rFonts w:asciiTheme="minorHAnsi" w:hAnsiTheme="minorHAnsi" w:cstheme="minorHAnsi"/>
          <w:b/>
          <w:lang w:val="en-GB"/>
        </w:rPr>
        <w:t xml:space="preserve">one of </w:t>
      </w:r>
      <w:r w:rsidR="003559B8">
        <w:rPr>
          <w:rFonts w:asciiTheme="minorHAnsi" w:hAnsiTheme="minorHAnsi" w:cstheme="minorHAnsi"/>
          <w:b/>
          <w:lang w:val="en-GB"/>
        </w:rPr>
        <w:t>the largest investor</w:t>
      </w:r>
      <w:r w:rsidR="004F413E">
        <w:rPr>
          <w:rFonts w:asciiTheme="minorHAnsi" w:hAnsiTheme="minorHAnsi" w:cstheme="minorHAnsi"/>
          <w:b/>
          <w:lang w:val="en-GB"/>
        </w:rPr>
        <w:t>s</w:t>
      </w:r>
      <w:r w:rsidR="003559B8">
        <w:rPr>
          <w:rFonts w:asciiTheme="minorHAnsi" w:hAnsiTheme="minorHAnsi" w:cstheme="minorHAnsi"/>
          <w:b/>
          <w:lang w:val="en-GB"/>
        </w:rPr>
        <w:t xml:space="preserve"> in Croatia</w:t>
      </w:r>
      <w:r w:rsidR="00BD6224" w:rsidRPr="0031203C">
        <w:rPr>
          <w:rFonts w:asciiTheme="minorHAnsi" w:hAnsiTheme="minorHAnsi" w:cstheme="minorHAnsi"/>
          <w:b/>
          <w:lang w:val="en-GB"/>
        </w:rPr>
        <w:t>:</w:t>
      </w:r>
    </w:p>
    <w:p w14:paraId="1778B8C8" w14:textId="77777777" w:rsidR="00621EAF" w:rsidRPr="0031203C" w:rsidRDefault="00621EAF" w:rsidP="00621EAF">
      <w:pPr>
        <w:pStyle w:val="ListParagraph"/>
        <w:spacing w:after="120"/>
        <w:ind w:left="363"/>
        <w:jc w:val="both"/>
        <w:rPr>
          <w:rFonts w:asciiTheme="minorHAnsi" w:hAnsiTheme="minorHAnsi" w:cstheme="minorHAnsi"/>
          <w:b/>
          <w:lang w:val="en-GB"/>
        </w:rPr>
      </w:pPr>
    </w:p>
    <w:p w14:paraId="5DFA0BB8" w14:textId="5DBE59BF" w:rsidR="00F848DD" w:rsidRPr="00F84CCE" w:rsidRDefault="00F848DD" w:rsidP="00621EAF">
      <w:pPr>
        <w:pStyle w:val="ListParagraph"/>
        <w:numPr>
          <w:ilvl w:val="1"/>
          <w:numId w:val="2"/>
        </w:numPr>
        <w:spacing w:after="120"/>
        <w:ind w:hanging="357"/>
        <w:jc w:val="both"/>
        <w:rPr>
          <w:rFonts w:asciiTheme="minorHAnsi" w:hAnsiTheme="minorHAnsi" w:cstheme="minorHAnsi"/>
          <w:bCs/>
          <w:lang w:val="en-GB"/>
        </w:rPr>
      </w:pPr>
      <w:r w:rsidRPr="00F84CCE">
        <w:rPr>
          <w:rFonts w:asciiTheme="minorHAnsi" w:hAnsiTheme="minorHAnsi" w:cstheme="minorHAnsi"/>
          <w:bCs/>
          <w:lang w:val="en-GB"/>
        </w:rPr>
        <w:t xml:space="preserve">Rijeka Refinery Upgrade Project, as the main strategic investment, </w:t>
      </w:r>
      <w:r w:rsidR="003E071E" w:rsidRPr="00F84CCE">
        <w:rPr>
          <w:rFonts w:asciiTheme="minorHAnsi" w:hAnsiTheme="minorHAnsi" w:cstheme="minorHAnsi"/>
          <w:bCs/>
          <w:lang w:val="en-GB"/>
        </w:rPr>
        <w:t xml:space="preserve">successfully </w:t>
      </w:r>
      <w:r w:rsidRPr="00F84CCE">
        <w:rPr>
          <w:rFonts w:asciiTheme="minorHAnsi" w:hAnsiTheme="minorHAnsi" w:cstheme="minorHAnsi"/>
          <w:bCs/>
          <w:lang w:val="en-GB"/>
        </w:rPr>
        <w:t xml:space="preserve">continues with construction works and equipment delivery to the site. </w:t>
      </w:r>
    </w:p>
    <w:p w14:paraId="5E3A97BF" w14:textId="77777777" w:rsidR="00A94556" w:rsidRPr="00F84CCE" w:rsidRDefault="00A94556" w:rsidP="00A94556">
      <w:pPr>
        <w:pStyle w:val="ListParagraph"/>
        <w:spacing w:after="120"/>
        <w:ind w:left="1083"/>
        <w:jc w:val="both"/>
        <w:rPr>
          <w:rFonts w:asciiTheme="minorHAnsi" w:hAnsiTheme="minorHAnsi" w:cstheme="minorHAnsi"/>
          <w:bCs/>
          <w:lang w:val="en-GB"/>
        </w:rPr>
      </w:pPr>
    </w:p>
    <w:p w14:paraId="01F64070" w14:textId="5D913EB4" w:rsidR="0044210D" w:rsidRPr="00F84CCE" w:rsidRDefault="0044210D" w:rsidP="00621EAF">
      <w:pPr>
        <w:pStyle w:val="ListParagraph"/>
        <w:numPr>
          <w:ilvl w:val="1"/>
          <w:numId w:val="2"/>
        </w:numPr>
        <w:spacing w:after="120"/>
        <w:ind w:hanging="357"/>
        <w:jc w:val="both"/>
        <w:rPr>
          <w:rFonts w:asciiTheme="minorHAnsi" w:hAnsiTheme="minorHAnsi" w:cstheme="minorHAnsi"/>
          <w:bCs/>
          <w:lang w:val="en-GB"/>
        </w:rPr>
      </w:pPr>
      <w:r w:rsidRPr="00F84CCE">
        <w:rPr>
          <w:rFonts w:asciiTheme="minorHAnsi" w:hAnsiTheme="minorHAnsi" w:cstheme="minorHAnsi"/>
          <w:bCs/>
          <w:lang w:val="en-GB"/>
        </w:rPr>
        <w:t xml:space="preserve">Many </w:t>
      </w:r>
      <w:r w:rsidR="00453C86" w:rsidRPr="00F84CCE">
        <w:rPr>
          <w:rFonts w:asciiTheme="minorHAnsi" w:hAnsiTheme="minorHAnsi" w:cstheme="minorHAnsi"/>
          <w:bCs/>
          <w:lang w:val="en-GB"/>
        </w:rPr>
        <w:t xml:space="preserve">Production and </w:t>
      </w:r>
      <w:r w:rsidR="00E55F85" w:rsidRPr="00F84CCE">
        <w:rPr>
          <w:rFonts w:asciiTheme="minorHAnsi" w:hAnsiTheme="minorHAnsi" w:cstheme="minorHAnsi"/>
          <w:bCs/>
          <w:lang w:val="en-GB"/>
        </w:rPr>
        <w:t>E</w:t>
      </w:r>
      <w:r w:rsidR="00453C86" w:rsidRPr="00F84CCE">
        <w:rPr>
          <w:rFonts w:asciiTheme="minorHAnsi" w:hAnsiTheme="minorHAnsi" w:cstheme="minorHAnsi"/>
          <w:bCs/>
          <w:lang w:val="en-GB"/>
        </w:rPr>
        <w:t xml:space="preserve">xploration </w:t>
      </w:r>
      <w:r w:rsidRPr="00F84CCE">
        <w:rPr>
          <w:rFonts w:asciiTheme="minorHAnsi" w:hAnsiTheme="minorHAnsi" w:cstheme="minorHAnsi"/>
          <w:bCs/>
          <w:lang w:val="en-GB"/>
        </w:rPr>
        <w:t xml:space="preserve">development activities </w:t>
      </w:r>
      <w:r w:rsidR="00E55F85" w:rsidRPr="00F84CCE">
        <w:rPr>
          <w:rFonts w:asciiTheme="minorHAnsi" w:hAnsiTheme="minorHAnsi" w:cstheme="minorHAnsi"/>
          <w:bCs/>
          <w:lang w:val="en-GB"/>
        </w:rPr>
        <w:t>i</w:t>
      </w:r>
      <w:r w:rsidRPr="00F84CCE">
        <w:rPr>
          <w:rFonts w:asciiTheme="minorHAnsi" w:hAnsiTheme="minorHAnsi" w:cstheme="minorHAnsi"/>
          <w:bCs/>
          <w:lang w:val="en-GB"/>
        </w:rPr>
        <w:t>n Croatia</w:t>
      </w:r>
      <w:r w:rsidR="00E55F85" w:rsidRPr="00F84CCE">
        <w:rPr>
          <w:rFonts w:asciiTheme="minorHAnsi" w:hAnsiTheme="minorHAnsi" w:cstheme="minorHAnsi"/>
          <w:bCs/>
          <w:lang w:val="en-GB"/>
        </w:rPr>
        <w:t>, both offshore and onshore</w:t>
      </w:r>
      <w:r w:rsidRPr="00F84CCE">
        <w:rPr>
          <w:rFonts w:asciiTheme="minorHAnsi" w:hAnsiTheme="minorHAnsi" w:cstheme="minorHAnsi"/>
          <w:bCs/>
          <w:lang w:val="en-GB"/>
        </w:rPr>
        <w:t>.</w:t>
      </w:r>
    </w:p>
    <w:p w14:paraId="16604FEC" w14:textId="77777777" w:rsidR="00F848DD" w:rsidRPr="00E5488D" w:rsidRDefault="00F848DD" w:rsidP="00F848DD">
      <w:pPr>
        <w:pStyle w:val="ListParagraph"/>
        <w:spacing w:line="360" w:lineRule="auto"/>
        <w:ind w:left="0"/>
        <w:jc w:val="both"/>
        <w:rPr>
          <w:rFonts w:asciiTheme="minorHAnsi" w:hAnsiTheme="minorHAnsi" w:cstheme="minorHAnsi"/>
          <w:b/>
          <w:sz w:val="18"/>
          <w:szCs w:val="18"/>
          <w:lang w:val="en-GB"/>
        </w:rPr>
      </w:pPr>
    </w:p>
    <w:p w14:paraId="31D5CE61" w14:textId="37A51FD2" w:rsidR="008A7194" w:rsidRDefault="002E0F32" w:rsidP="002E0F32">
      <w:pPr>
        <w:pStyle w:val="ListParagraph"/>
        <w:numPr>
          <w:ilvl w:val="0"/>
          <w:numId w:val="15"/>
        </w:numPr>
        <w:ind w:left="714" w:hanging="357"/>
        <w:jc w:val="both"/>
        <w:rPr>
          <w:rFonts w:asciiTheme="minorHAnsi" w:hAnsiTheme="minorHAnsi" w:cstheme="minorHAnsi"/>
          <w:b/>
          <w:lang w:val="en-GB"/>
        </w:rPr>
      </w:pPr>
      <w:r w:rsidRPr="002E0F32">
        <w:rPr>
          <w:rFonts w:asciiTheme="minorHAnsi" w:hAnsiTheme="minorHAnsi" w:cstheme="minorHAnsi"/>
          <w:b/>
          <w:lang w:val="en-GB"/>
        </w:rPr>
        <w:t>Despite the strong operative results, operating cash flow of the company is lower compared to last year, due to major investments and large financing needs for the working capital.</w:t>
      </w:r>
    </w:p>
    <w:p w14:paraId="54C29307" w14:textId="77777777" w:rsidR="00E043E2" w:rsidRDefault="00E043E2" w:rsidP="00E043E2">
      <w:pPr>
        <w:pStyle w:val="ListParagraph"/>
        <w:ind w:left="714"/>
        <w:jc w:val="both"/>
        <w:rPr>
          <w:rFonts w:asciiTheme="minorHAnsi" w:hAnsiTheme="minorHAnsi" w:cstheme="minorHAnsi"/>
          <w:b/>
          <w:lang w:val="en-GB"/>
        </w:rPr>
      </w:pPr>
    </w:p>
    <w:p w14:paraId="38E55BF0" w14:textId="478F6848" w:rsidR="00202F79" w:rsidRPr="0051396B" w:rsidRDefault="00E043E2" w:rsidP="00E043E2">
      <w:pPr>
        <w:pStyle w:val="ListParagraph"/>
        <w:numPr>
          <w:ilvl w:val="0"/>
          <w:numId w:val="15"/>
        </w:numPr>
        <w:jc w:val="both"/>
        <w:rPr>
          <w:rFonts w:asciiTheme="minorHAnsi" w:hAnsiTheme="minorHAnsi" w:cstheme="minorHAnsi"/>
          <w:b/>
          <w:lang w:val="en-GB"/>
        </w:rPr>
      </w:pPr>
      <w:r w:rsidRPr="0051396B">
        <w:rPr>
          <w:rFonts w:asciiTheme="minorHAnsi" w:hAnsiTheme="minorHAnsi" w:cstheme="minorHAnsi"/>
          <w:b/>
          <w:lang w:val="en-GB"/>
        </w:rPr>
        <w:t xml:space="preserve">Related to gas sales towards HEP, regulated at fixed price, negative impact is expected from Q4 2022. </w:t>
      </w:r>
    </w:p>
    <w:p w14:paraId="63A06BD8" w14:textId="77777777" w:rsidR="00E043E2" w:rsidRPr="00E043E2" w:rsidRDefault="00E043E2" w:rsidP="00E043E2">
      <w:pPr>
        <w:jc w:val="both"/>
        <w:rPr>
          <w:rFonts w:asciiTheme="minorHAnsi" w:hAnsiTheme="minorHAnsi" w:cstheme="minorHAnsi"/>
          <w:b/>
          <w:lang w:val="en-GB"/>
        </w:rPr>
      </w:pPr>
    </w:p>
    <w:p w14:paraId="15AAFA6E" w14:textId="77777777" w:rsidR="0051396B" w:rsidRDefault="0051396B" w:rsidP="00F848DD">
      <w:pPr>
        <w:pStyle w:val="ListParagraph"/>
        <w:spacing w:line="360" w:lineRule="auto"/>
        <w:ind w:left="0"/>
        <w:jc w:val="both"/>
        <w:rPr>
          <w:rFonts w:asciiTheme="minorHAnsi" w:hAnsiTheme="minorHAnsi" w:cstheme="minorHAnsi"/>
          <w:b/>
          <w:lang w:val="en-GB"/>
        </w:rPr>
      </w:pPr>
    </w:p>
    <w:p w14:paraId="123AA7C6" w14:textId="2F095FBF" w:rsidR="00C0068C" w:rsidRPr="0031203C" w:rsidRDefault="00C0068C" w:rsidP="00F848DD">
      <w:pPr>
        <w:pStyle w:val="ListParagraph"/>
        <w:spacing w:line="360" w:lineRule="auto"/>
        <w:ind w:left="0"/>
        <w:jc w:val="both"/>
        <w:rPr>
          <w:rFonts w:asciiTheme="minorHAnsi" w:hAnsiTheme="minorHAnsi" w:cstheme="minorHAnsi"/>
          <w:b/>
          <w:lang w:val="en-GB"/>
        </w:rPr>
      </w:pPr>
      <w:r w:rsidRPr="0031203C">
        <w:rPr>
          <w:rFonts w:asciiTheme="minorHAnsi" w:hAnsiTheme="minorHAnsi" w:cstheme="minorHAnsi"/>
          <w:b/>
          <w:lang w:val="en-GB"/>
        </w:rPr>
        <w:t xml:space="preserve">Key </w:t>
      </w:r>
      <w:r w:rsidR="00802C46" w:rsidRPr="0031203C">
        <w:rPr>
          <w:rFonts w:asciiTheme="minorHAnsi" w:hAnsiTheme="minorHAnsi" w:cstheme="minorHAnsi"/>
          <w:b/>
          <w:lang w:val="en-GB"/>
        </w:rPr>
        <w:t>data</w:t>
      </w:r>
      <w:r w:rsidRPr="0031203C">
        <w:rPr>
          <w:rFonts w:asciiTheme="minorHAnsi" w:hAnsiTheme="minorHAnsi" w:cstheme="minorHAnsi"/>
          <w:b/>
          <w:lang w:val="en-GB"/>
        </w:rPr>
        <w:t>:</w:t>
      </w:r>
    </w:p>
    <w:p w14:paraId="6F4302D6" w14:textId="412694E3" w:rsidR="00C0068C" w:rsidRPr="0031203C" w:rsidRDefault="00C0068C" w:rsidP="00C0068C">
      <w:pPr>
        <w:pStyle w:val="ListParagraph"/>
        <w:numPr>
          <w:ilvl w:val="0"/>
          <w:numId w:val="1"/>
        </w:numPr>
        <w:spacing w:line="360" w:lineRule="auto"/>
        <w:jc w:val="both"/>
        <w:rPr>
          <w:rFonts w:asciiTheme="minorHAnsi" w:hAnsiTheme="minorHAnsi" w:cstheme="minorHAnsi"/>
          <w:b/>
          <w:bCs/>
          <w:lang w:val="en-GB"/>
        </w:rPr>
      </w:pPr>
      <w:r w:rsidRPr="0031203C">
        <w:rPr>
          <w:rFonts w:asciiTheme="minorHAnsi" w:hAnsiTheme="minorHAnsi" w:cstheme="minorHAnsi"/>
          <w:b/>
          <w:bCs/>
          <w:lang w:val="en-GB"/>
        </w:rPr>
        <w:t xml:space="preserve">Net sales revenues amounted to HRK </w:t>
      </w:r>
      <w:r w:rsidR="0045614F">
        <w:rPr>
          <w:rFonts w:asciiTheme="minorHAnsi" w:hAnsiTheme="minorHAnsi" w:cstheme="minorHAnsi"/>
          <w:b/>
          <w:bCs/>
          <w:lang w:val="en-GB"/>
        </w:rPr>
        <w:t>27</w:t>
      </w:r>
      <w:r w:rsidR="00BC6BAE" w:rsidRPr="0031203C">
        <w:rPr>
          <w:rFonts w:asciiTheme="minorHAnsi" w:hAnsiTheme="minorHAnsi" w:cstheme="minorHAnsi"/>
          <w:b/>
          <w:bCs/>
          <w:lang w:val="en-GB"/>
        </w:rPr>
        <w:t>.</w:t>
      </w:r>
      <w:r w:rsidR="0045614F">
        <w:rPr>
          <w:rFonts w:asciiTheme="minorHAnsi" w:hAnsiTheme="minorHAnsi" w:cstheme="minorHAnsi"/>
          <w:b/>
          <w:bCs/>
          <w:lang w:val="en-GB"/>
        </w:rPr>
        <w:t>2</w:t>
      </w:r>
      <w:r w:rsidRPr="0031203C">
        <w:rPr>
          <w:rFonts w:asciiTheme="minorHAnsi" w:hAnsiTheme="minorHAnsi" w:cstheme="minorHAnsi"/>
          <w:b/>
          <w:bCs/>
          <w:lang w:val="en-GB"/>
        </w:rPr>
        <w:t xml:space="preserve"> </w:t>
      </w:r>
      <w:r w:rsidR="00D9254A" w:rsidRPr="0031203C">
        <w:rPr>
          <w:rFonts w:asciiTheme="minorHAnsi" w:hAnsiTheme="minorHAnsi" w:cstheme="minorHAnsi"/>
          <w:b/>
          <w:bCs/>
          <w:lang w:val="en-GB"/>
        </w:rPr>
        <w:t>b</w:t>
      </w:r>
      <w:r w:rsidRPr="0031203C">
        <w:rPr>
          <w:rFonts w:asciiTheme="minorHAnsi" w:hAnsiTheme="minorHAnsi" w:cstheme="minorHAnsi"/>
          <w:b/>
          <w:bCs/>
          <w:lang w:val="en-GB"/>
        </w:rPr>
        <w:t>illion</w:t>
      </w:r>
    </w:p>
    <w:p w14:paraId="78D0B683" w14:textId="4CE3AD00" w:rsidR="00C0068C" w:rsidRPr="0031203C" w:rsidRDefault="002C08C0" w:rsidP="00C0068C">
      <w:pPr>
        <w:pStyle w:val="ListParagraph"/>
        <w:numPr>
          <w:ilvl w:val="0"/>
          <w:numId w:val="1"/>
        </w:numPr>
        <w:spacing w:line="360" w:lineRule="auto"/>
        <w:jc w:val="both"/>
        <w:rPr>
          <w:rFonts w:asciiTheme="minorHAnsi" w:hAnsiTheme="minorHAnsi" w:cstheme="minorHAnsi"/>
          <w:b/>
          <w:bCs/>
          <w:lang w:val="en-GB"/>
        </w:rPr>
      </w:pPr>
      <w:r w:rsidRPr="0031203C">
        <w:rPr>
          <w:rFonts w:asciiTheme="minorHAnsi" w:hAnsiTheme="minorHAnsi" w:cstheme="minorHAnsi"/>
          <w:b/>
          <w:bCs/>
          <w:lang w:val="en-GB"/>
        </w:rPr>
        <w:t>EBIT</w:t>
      </w:r>
      <w:r w:rsidR="00C0068C" w:rsidRPr="0031203C">
        <w:rPr>
          <w:rFonts w:asciiTheme="minorHAnsi" w:hAnsiTheme="minorHAnsi" w:cstheme="minorHAnsi"/>
          <w:b/>
          <w:bCs/>
          <w:lang w:val="en-GB"/>
        </w:rPr>
        <w:t xml:space="preserve">DA amounted to </w:t>
      </w:r>
      <w:r w:rsidR="00BC6BAE" w:rsidRPr="0031203C">
        <w:rPr>
          <w:rFonts w:asciiTheme="minorHAnsi" w:hAnsiTheme="minorHAnsi" w:cstheme="minorHAnsi"/>
          <w:b/>
          <w:bCs/>
          <w:lang w:val="en-GB"/>
        </w:rPr>
        <w:t>almost</w:t>
      </w:r>
      <w:r w:rsidR="002A501B" w:rsidRPr="0031203C">
        <w:rPr>
          <w:rFonts w:asciiTheme="minorHAnsi" w:hAnsiTheme="minorHAnsi" w:cstheme="minorHAnsi"/>
          <w:b/>
          <w:bCs/>
          <w:lang w:val="en-GB"/>
        </w:rPr>
        <w:t xml:space="preserve"> </w:t>
      </w:r>
      <w:r w:rsidR="00DE5C19" w:rsidRPr="0031203C">
        <w:rPr>
          <w:rFonts w:asciiTheme="minorHAnsi" w:hAnsiTheme="minorHAnsi" w:cstheme="minorHAnsi"/>
          <w:b/>
          <w:bCs/>
          <w:lang w:val="en-GB"/>
        </w:rPr>
        <w:t xml:space="preserve">HRK </w:t>
      </w:r>
      <w:r w:rsidR="00383290">
        <w:rPr>
          <w:rFonts w:asciiTheme="minorHAnsi" w:hAnsiTheme="minorHAnsi" w:cstheme="minorHAnsi"/>
          <w:b/>
          <w:bCs/>
          <w:lang w:val="en-GB"/>
        </w:rPr>
        <w:t>4</w:t>
      </w:r>
      <w:r w:rsidR="00DE5C19" w:rsidRPr="0031203C">
        <w:rPr>
          <w:rFonts w:asciiTheme="minorHAnsi" w:hAnsiTheme="minorHAnsi" w:cstheme="minorHAnsi"/>
          <w:b/>
          <w:bCs/>
          <w:lang w:val="en-GB"/>
        </w:rPr>
        <w:t>.</w:t>
      </w:r>
      <w:r w:rsidR="00383290">
        <w:rPr>
          <w:rFonts w:asciiTheme="minorHAnsi" w:hAnsiTheme="minorHAnsi" w:cstheme="minorHAnsi"/>
          <w:b/>
          <w:bCs/>
          <w:lang w:val="en-GB"/>
        </w:rPr>
        <w:t>7</w:t>
      </w:r>
      <w:r w:rsidR="00A83BE9" w:rsidRPr="0031203C">
        <w:rPr>
          <w:rFonts w:asciiTheme="minorHAnsi" w:hAnsiTheme="minorHAnsi" w:cstheme="minorHAnsi"/>
          <w:b/>
          <w:bCs/>
          <w:lang w:val="en-GB"/>
        </w:rPr>
        <w:t xml:space="preserve"> </w:t>
      </w:r>
      <w:r w:rsidR="00DE5C19" w:rsidRPr="0031203C">
        <w:rPr>
          <w:rFonts w:asciiTheme="minorHAnsi" w:hAnsiTheme="minorHAnsi" w:cstheme="minorHAnsi"/>
          <w:b/>
          <w:bCs/>
          <w:lang w:val="en-GB"/>
        </w:rPr>
        <w:t>billion</w:t>
      </w:r>
    </w:p>
    <w:p w14:paraId="79F6B9A5" w14:textId="1B356394" w:rsidR="00C0068C" w:rsidRPr="0031203C" w:rsidRDefault="00C0068C" w:rsidP="00C0068C">
      <w:pPr>
        <w:pStyle w:val="ListParagraph"/>
        <w:numPr>
          <w:ilvl w:val="0"/>
          <w:numId w:val="1"/>
        </w:numPr>
        <w:spacing w:line="360" w:lineRule="auto"/>
        <w:jc w:val="both"/>
        <w:rPr>
          <w:rFonts w:asciiTheme="minorHAnsi" w:hAnsiTheme="minorHAnsi" w:cstheme="minorHAnsi"/>
          <w:b/>
          <w:bCs/>
          <w:lang w:val="en-GB"/>
        </w:rPr>
      </w:pPr>
      <w:r w:rsidRPr="0031203C">
        <w:rPr>
          <w:rFonts w:asciiTheme="minorHAnsi" w:hAnsiTheme="minorHAnsi" w:cstheme="minorHAnsi"/>
          <w:b/>
          <w:bCs/>
          <w:lang w:val="en-GB"/>
        </w:rPr>
        <w:t>CAPEX</w:t>
      </w:r>
      <w:r w:rsidR="00E15F4E" w:rsidRPr="0031203C">
        <w:rPr>
          <w:rFonts w:asciiTheme="minorHAnsi" w:hAnsiTheme="minorHAnsi" w:cstheme="minorHAnsi"/>
          <w:b/>
          <w:bCs/>
          <w:lang w:val="en-GB"/>
        </w:rPr>
        <w:t xml:space="preserve"> more than</w:t>
      </w:r>
      <w:r w:rsidRPr="0031203C">
        <w:rPr>
          <w:rFonts w:asciiTheme="minorHAnsi" w:hAnsiTheme="minorHAnsi" w:cstheme="minorHAnsi"/>
          <w:b/>
          <w:bCs/>
          <w:lang w:val="en-GB"/>
        </w:rPr>
        <w:t xml:space="preserve"> </w:t>
      </w:r>
      <w:r w:rsidR="0085625B" w:rsidRPr="0031203C">
        <w:rPr>
          <w:rFonts w:asciiTheme="minorHAnsi" w:hAnsiTheme="minorHAnsi" w:cstheme="minorHAnsi"/>
          <w:b/>
          <w:bCs/>
          <w:lang w:val="en-GB"/>
        </w:rPr>
        <w:t>doub</w:t>
      </w:r>
      <w:r w:rsidR="00677952" w:rsidRPr="0031203C">
        <w:rPr>
          <w:rFonts w:asciiTheme="minorHAnsi" w:hAnsiTheme="minorHAnsi" w:cstheme="minorHAnsi"/>
          <w:b/>
          <w:bCs/>
          <w:lang w:val="en-GB"/>
        </w:rPr>
        <w:t>led,</w:t>
      </w:r>
      <w:r w:rsidRPr="0031203C">
        <w:rPr>
          <w:rFonts w:asciiTheme="minorHAnsi" w:hAnsiTheme="minorHAnsi" w:cstheme="minorHAnsi"/>
          <w:b/>
          <w:bCs/>
          <w:lang w:val="en-GB"/>
        </w:rPr>
        <w:t xml:space="preserve"> to HRK </w:t>
      </w:r>
      <w:r w:rsidR="0085625B" w:rsidRPr="0031203C">
        <w:rPr>
          <w:rFonts w:asciiTheme="minorHAnsi" w:hAnsiTheme="minorHAnsi" w:cstheme="minorHAnsi"/>
          <w:b/>
          <w:bCs/>
          <w:lang w:val="en-GB"/>
        </w:rPr>
        <w:t>1.</w:t>
      </w:r>
      <w:r w:rsidR="00386A08">
        <w:rPr>
          <w:rFonts w:asciiTheme="minorHAnsi" w:hAnsiTheme="minorHAnsi" w:cstheme="minorHAnsi"/>
          <w:b/>
          <w:bCs/>
          <w:lang w:val="en-GB"/>
        </w:rPr>
        <w:t>9</w:t>
      </w:r>
      <w:r w:rsidRPr="0031203C">
        <w:rPr>
          <w:rFonts w:asciiTheme="minorHAnsi" w:hAnsiTheme="minorHAnsi" w:cstheme="minorHAnsi"/>
          <w:b/>
          <w:bCs/>
          <w:lang w:val="en-GB"/>
        </w:rPr>
        <w:t xml:space="preserve"> </w:t>
      </w:r>
      <w:r w:rsidR="0085625B" w:rsidRPr="0031203C">
        <w:rPr>
          <w:rFonts w:asciiTheme="minorHAnsi" w:hAnsiTheme="minorHAnsi" w:cstheme="minorHAnsi"/>
          <w:b/>
          <w:bCs/>
          <w:lang w:val="en-GB"/>
        </w:rPr>
        <w:t>b</w:t>
      </w:r>
      <w:r w:rsidRPr="0031203C">
        <w:rPr>
          <w:rFonts w:asciiTheme="minorHAnsi" w:hAnsiTheme="minorHAnsi" w:cstheme="minorHAnsi"/>
          <w:b/>
          <w:bCs/>
          <w:lang w:val="en-GB"/>
        </w:rPr>
        <w:t xml:space="preserve">illion </w:t>
      </w:r>
    </w:p>
    <w:p w14:paraId="0113F72D" w14:textId="77777777" w:rsidR="00C0068C" w:rsidRPr="0031203C" w:rsidRDefault="00C0068C" w:rsidP="00C0068C">
      <w:pPr>
        <w:spacing w:line="360" w:lineRule="auto"/>
        <w:jc w:val="both"/>
        <w:rPr>
          <w:rFonts w:asciiTheme="minorHAnsi" w:hAnsiTheme="minorHAnsi" w:cstheme="minorHAnsi"/>
          <w:b/>
          <w:lang w:val="en-GB"/>
        </w:rPr>
      </w:pPr>
    </w:p>
    <w:p w14:paraId="66333CB6" w14:textId="3F4B8AF0" w:rsidR="006D62BF" w:rsidRPr="0031203C" w:rsidRDefault="006D62BF" w:rsidP="00D374E5">
      <w:pPr>
        <w:spacing w:after="120"/>
        <w:jc w:val="both"/>
        <w:rPr>
          <w:rFonts w:asciiTheme="minorHAnsi" w:hAnsiTheme="minorHAnsi" w:cstheme="minorHAnsi"/>
          <w:b/>
          <w:lang w:val="en-GB"/>
        </w:rPr>
      </w:pPr>
    </w:p>
    <w:p w14:paraId="53C1FC1B" w14:textId="1740E83B" w:rsidR="00AA307B" w:rsidRPr="0031203C" w:rsidRDefault="00C0068C" w:rsidP="00AA307B">
      <w:pPr>
        <w:spacing w:after="120"/>
        <w:jc w:val="both"/>
        <w:rPr>
          <w:rFonts w:asciiTheme="minorHAnsi" w:hAnsiTheme="minorHAnsi" w:cstheme="minorHAnsi"/>
          <w:bCs/>
          <w:lang w:val="en-GB"/>
        </w:rPr>
      </w:pPr>
      <w:r w:rsidRPr="0031203C">
        <w:rPr>
          <w:rFonts w:asciiTheme="minorHAnsi" w:hAnsiTheme="minorHAnsi" w:cstheme="minorHAnsi"/>
          <w:b/>
          <w:lang w:val="en-GB"/>
        </w:rPr>
        <w:t xml:space="preserve">Zagreb, </w:t>
      </w:r>
      <w:r w:rsidR="00A03B09" w:rsidRPr="0031203C">
        <w:rPr>
          <w:rFonts w:asciiTheme="minorHAnsi" w:hAnsiTheme="minorHAnsi" w:cstheme="minorHAnsi"/>
          <w:b/>
          <w:lang w:val="en-GB"/>
        </w:rPr>
        <w:t>October</w:t>
      </w:r>
      <w:r w:rsidR="00623A95" w:rsidRPr="0031203C">
        <w:rPr>
          <w:rFonts w:asciiTheme="minorHAnsi" w:hAnsiTheme="minorHAnsi" w:cstheme="minorHAnsi"/>
          <w:b/>
          <w:lang w:val="en-GB"/>
        </w:rPr>
        <w:t xml:space="preserve"> 2</w:t>
      </w:r>
      <w:r w:rsidR="00A03B09" w:rsidRPr="0031203C">
        <w:rPr>
          <w:rFonts w:asciiTheme="minorHAnsi" w:hAnsiTheme="minorHAnsi" w:cstheme="minorHAnsi"/>
          <w:b/>
          <w:lang w:val="en-GB"/>
        </w:rPr>
        <w:t>8</w:t>
      </w:r>
      <w:r w:rsidRPr="0031203C">
        <w:rPr>
          <w:rFonts w:asciiTheme="minorHAnsi" w:hAnsiTheme="minorHAnsi" w:cstheme="minorHAnsi"/>
          <w:b/>
          <w:lang w:val="en-GB"/>
        </w:rPr>
        <w:t>, 202</w:t>
      </w:r>
      <w:r w:rsidR="00677952" w:rsidRPr="0031203C">
        <w:rPr>
          <w:rFonts w:asciiTheme="minorHAnsi" w:hAnsiTheme="minorHAnsi" w:cstheme="minorHAnsi"/>
          <w:b/>
          <w:lang w:val="en-GB"/>
        </w:rPr>
        <w:t>2</w:t>
      </w:r>
      <w:r w:rsidRPr="0031203C">
        <w:rPr>
          <w:rFonts w:asciiTheme="minorHAnsi" w:hAnsiTheme="minorHAnsi" w:cstheme="minorHAnsi"/>
          <w:b/>
          <w:lang w:val="en-GB"/>
        </w:rPr>
        <w:t xml:space="preserve"> – </w:t>
      </w:r>
      <w:r w:rsidR="00AA307B" w:rsidRPr="0031203C">
        <w:rPr>
          <w:rFonts w:asciiTheme="minorHAnsi" w:hAnsiTheme="minorHAnsi" w:cstheme="minorHAnsi"/>
          <w:bCs/>
          <w:lang w:val="en-GB"/>
        </w:rPr>
        <w:t>Energy market turmoil driven by the geopolitical risks and supply issues continues to keep the hydrocarbon prices at elevated levels, with Brent prices above USD 100 per barrel and CEGH gas price fluctuating, but shortly exceeding even 200 EUR/MWh during</w:t>
      </w:r>
      <w:r w:rsidR="002D0A6C" w:rsidRPr="0031203C">
        <w:rPr>
          <w:rFonts w:asciiTheme="minorHAnsi" w:hAnsiTheme="minorHAnsi" w:cstheme="minorHAnsi"/>
          <w:bCs/>
          <w:lang w:val="en-GB"/>
        </w:rPr>
        <w:t xml:space="preserve"> the</w:t>
      </w:r>
      <w:r w:rsidR="00AA307B" w:rsidRPr="0031203C">
        <w:rPr>
          <w:rFonts w:asciiTheme="minorHAnsi" w:hAnsiTheme="minorHAnsi" w:cstheme="minorHAnsi"/>
          <w:bCs/>
          <w:lang w:val="en-GB"/>
        </w:rPr>
        <w:t xml:space="preserve"> Q3 2022. In such environment, entire oil </w:t>
      </w:r>
      <w:r w:rsidR="002D0A6C" w:rsidRPr="0031203C">
        <w:rPr>
          <w:rFonts w:asciiTheme="minorHAnsi" w:hAnsiTheme="minorHAnsi" w:cstheme="minorHAnsi"/>
          <w:bCs/>
          <w:lang w:val="en-GB"/>
        </w:rPr>
        <w:t>and</w:t>
      </w:r>
      <w:r w:rsidR="00AA307B" w:rsidRPr="0031203C">
        <w:rPr>
          <w:rFonts w:asciiTheme="minorHAnsi" w:hAnsiTheme="minorHAnsi" w:cstheme="minorHAnsi"/>
          <w:bCs/>
          <w:lang w:val="en-GB"/>
        </w:rPr>
        <w:t xml:space="preserve"> gas industry delivers strong results.</w:t>
      </w:r>
    </w:p>
    <w:p w14:paraId="53F173E5" w14:textId="598AC7D3" w:rsidR="00AA307B" w:rsidRPr="0031203C" w:rsidRDefault="00AA307B" w:rsidP="00AA307B">
      <w:pPr>
        <w:spacing w:after="120"/>
        <w:jc w:val="both"/>
        <w:rPr>
          <w:rFonts w:asciiTheme="minorHAnsi" w:hAnsiTheme="minorHAnsi" w:cstheme="minorHAnsi"/>
          <w:bCs/>
          <w:lang w:val="en-GB"/>
        </w:rPr>
      </w:pPr>
      <w:r w:rsidRPr="0031203C">
        <w:rPr>
          <w:rFonts w:asciiTheme="minorHAnsi" w:hAnsiTheme="minorHAnsi" w:cstheme="minorHAnsi"/>
          <w:bCs/>
          <w:lang w:val="en-GB"/>
        </w:rPr>
        <w:t xml:space="preserve">INA Group CCS EBITDA excl. special items in first nine months 2022 amounted to more than HRK 4.7 billion while net profit exceeded HRK 2.7 billion. Results are stronger in all segments with Exploration and Production naturally being the main cash generator, mainly due to the strong environment. </w:t>
      </w:r>
      <w:r w:rsidR="00625852" w:rsidRPr="0031203C">
        <w:rPr>
          <w:rFonts w:asciiTheme="minorHAnsi" w:hAnsiTheme="minorHAnsi" w:cstheme="minorHAnsi"/>
          <w:bCs/>
          <w:lang w:val="en-GB"/>
        </w:rPr>
        <w:t xml:space="preserve">Exploration and Production </w:t>
      </w:r>
      <w:r w:rsidRPr="0031203C">
        <w:rPr>
          <w:rFonts w:asciiTheme="minorHAnsi" w:hAnsiTheme="minorHAnsi" w:cstheme="minorHAnsi"/>
          <w:bCs/>
          <w:lang w:val="en-GB"/>
        </w:rPr>
        <w:t>revenues amounted to HRK 5.4 billion with EBITDA HRK 3.9 billion. Natural decline of production continues, but the effect of ongoing Offshore drilling campaign is already visible in production volumes. Ongoing investment cycle in Refining and Marketing incl. Consumer services and Retail segment caused negative cash flow although the operating results improved. Various regulatory restrictions in Retail had a negative impact on the result but on the other side the refining margins improved leading to better overall results with CCS EBITDA of almost HRK 1.3 billion.</w:t>
      </w:r>
    </w:p>
    <w:p w14:paraId="70F7FB18" w14:textId="65A48C32" w:rsidR="00AA307B" w:rsidRPr="0031203C" w:rsidRDefault="00AA307B" w:rsidP="00AA307B">
      <w:pPr>
        <w:spacing w:after="120"/>
        <w:jc w:val="both"/>
        <w:rPr>
          <w:rFonts w:asciiTheme="minorHAnsi" w:hAnsiTheme="minorHAnsi" w:cstheme="minorHAnsi"/>
          <w:bCs/>
          <w:lang w:val="en-GB"/>
        </w:rPr>
      </w:pPr>
      <w:r w:rsidRPr="0031203C">
        <w:rPr>
          <w:rFonts w:asciiTheme="minorHAnsi" w:hAnsiTheme="minorHAnsi" w:cstheme="minorHAnsi"/>
          <w:bCs/>
          <w:lang w:val="en-GB"/>
        </w:rPr>
        <w:t>Investment activities continue to be on high levels, throughout the segments, more than doubling compared to first nine months 2021. Refining and Marketing, with the Residue Upgrade Project remain the biggest investment</w:t>
      </w:r>
      <w:r w:rsidR="008A1F31" w:rsidRPr="0031203C">
        <w:rPr>
          <w:rFonts w:asciiTheme="minorHAnsi" w:hAnsiTheme="minorHAnsi" w:cstheme="minorHAnsi"/>
          <w:bCs/>
          <w:lang w:val="en-GB"/>
        </w:rPr>
        <w:t xml:space="preserve"> segment</w:t>
      </w:r>
      <w:r w:rsidRPr="0031203C">
        <w:rPr>
          <w:rFonts w:asciiTheme="minorHAnsi" w:hAnsiTheme="minorHAnsi" w:cstheme="minorHAnsi"/>
          <w:bCs/>
          <w:lang w:val="en-GB"/>
        </w:rPr>
        <w:t xml:space="preserve">, but the ongoing Offshore drilling campaign is also a significant development project, with the effect of increase </w:t>
      </w:r>
      <w:r w:rsidR="008A1F31" w:rsidRPr="0031203C">
        <w:rPr>
          <w:rFonts w:asciiTheme="minorHAnsi" w:hAnsiTheme="minorHAnsi" w:cstheme="minorHAnsi"/>
          <w:bCs/>
          <w:lang w:val="en-GB"/>
        </w:rPr>
        <w:t xml:space="preserve">gas </w:t>
      </w:r>
      <w:r w:rsidRPr="0031203C">
        <w:rPr>
          <w:rFonts w:asciiTheme="minorHAnsi" w:hAnsiTheme="minorHAnsi" w:cstheme="minorHAnsi"/>
          <w:bCs/>
          <w:lang w:val="en-GB"/>
        </w:rPr>
        <w:t>production already showing.</w:t>
      </w:r>
    </w:p>
    <w:p w14:paraId="1BA93361" w14:textId="71C5EBFC" w:rsidR="00AA307B" w:rsidRPr="0031203C" w:rsidRDefault="00AA307B" w:rsidP="00AA307B">
      <w:pPr>
        <w:spacing w:after="120"/>
        <w:jc w:val="both"/>
        <w:rPr>
          <w:rFonts w:asciiTheme="minorHAnsi" w:hAnsiTheme="minorHAnsi" w:cstheme="minorHAnsi"/>
          <w:bCs/>
          <w:lang w:val="en-GB"/>
        </w:rPr>
      </w:pPr>
      <w:r w:rsidRPr="0031203C">
        <w:rPr>
          <w:rFonts w:asciiTheme="minorHAnsi" w:hAnsiTheme="minorHAnsi" w:cstheme="minorHAnsi"/>
          <w:bCs/>
          <w:lang w:val="en-GB"/>
        </w:rPr>
        <w:t>Despite the strong operative results, operating cash flow of the company is lower compared to last year, due to major investments and large financing needs for the working capital.</w:t>
      </w:r>
    </w:p>
    <w:p w14:paraId="3E84F786" w14:textId="77777777" w:rsidR="00C05667" w:rsidRDefault="00C05667" w:rsidP="000E409D">
      <w:pPr>
        <w:jc w:val="both"/>
        <w:rPr>
          <w:rFonts w:asciiTheme="minorHAnsi" w:hAnsiTheme="minorHAnsi" w:cstheme="minorHAnsi"/>
          <w:b/>
          <w:lang w:val="en-GB"/>
        </w:rPr>
      </w:pPr>
    </w:p>
    <w:p w14:paraId="54AF480C" w14:textId="689FA130" w:rsidR="0037692E" w:rsidRDefault="0037692E" w:rsidP="000E409D">
      <w:pPr>
        <w:jc w:val="both"/>
        <w:rPr>
          <w:rFonts w:asciiTheme="minorHAnsi" w:hAnsiTheme="minorHAnsi" w:cstheme="minorHAnsi"/>
          <w:b/>
          <w:lang w:val="en-GB"/>
        </w:rPr>
      </w:pPr>
      <w:r w:rsidRPr="0031203C">
        <w:rPr>
          <w:rFonts w:asciiTheme="minorHAnsi" w:hAnsiTheme="minorHAnsi" w:cstheme="minorHAnsi"/>
          <w:b/>
          <w:lang w:val="en-GB"/>
        </w:rPr>
        <w:t xml:space="preserve">Statement of </w:t>
      </w:r>
      <w:r w:rsidR="00AB4360" w:rsidRPr="0031203C">
        <w:rPr>
          <w:rFonts w:asciiTheme="minorHAnsi" w:hAnsiTheme="minorHAnsi" w:cstheme="minorHAnsi"/>
          <w:b/>
          <w:lang w:val="en-GB"/>
        </w:rPr>
        <w:t>Péter Ratatics</w:t>
      </w:r>
      <w:r w:rsidRPr="0031203C">
        <w:rPr>
          <w:rFonts w:asciiTheme="minorHAnsi" w:hAnsiTheme="minorHAnsi" w:cstheme="minorHAnsi"/>
          <w:b/>
          <w:lang w:val="en-GB"/>
        </w:rPr>
        <w:t xml:space="preserve">, President of the Management Board of INA: </w:t>
      </w:r>
    </w:p>
    <w:p w14:paraId="4EF7AA25" w14:textId="77777777" w:rsidR="00F11420" w:rsidRPr="0031203C" w:rsidRDefault="00F11420" w:rsidP="000E409D">
      <w:pPr>
        <w:jc w:val="both"/>
        <w:rPr>
          <w:rFonts w:asciiTheme="minorHAnsi" w:hAnsiTheme="minorHAnsi" w:cstheme="minorHAnsi"/>
          <w:b/>
          <w:lang w:val="en-GB"/>
        </w:rPr>
      </w:pPr>
    </w:p>
    <w:p w14:paraId="7D36ECE6" w14:textId="751363DA" w:rsidR="000E409D" w:rsidRDefault="000E409D" w:rsidP="00E90E60">
      <w:pPr>
        <w:pStyle w:val="Default"/>
        <w:jc w:val="both"/>
        <w:rPr>
          <w:rFonts w:asciiTheme="minorHAnsi" w:hAnsiTheme="minorHAnsi" w:cstheme="minorHAnsi"/>
          <w:lang w:val="en-GB"/>
        </w:rPr>
      </w:pPr>
      <w:r w:rsidRPr="0031203C">
        <w:rPr>
          <w:rFonts w:asciiTheme="minorHAnsi" w:hAnsiTheme="minorHAnsi" w:cstheme="minorHAnsi"/>
          <w:lang w:val="en-GB"/>
        </w:rPr>
        <w:t>“Third quarter of 2022 brought continuation of worldwide energy market volatility, with gas prices oscillating and oil price at continued high level. Questionable security of supply in some countries, caused by the global turmoil, alongside with elevated price level led to numerous regulatory interventions throughout the world. In such environment INA’s result stayed strong, primarily due to the Exploration and Production, the strongest cash generator in the conditions of high hydrocarbon prices. Ongoing Offshore</w:t>
      </w:r>
      <w:r w:rsidR="00274E46">
        <w:rPr>
          <w:rFonts w:asciiTheme="minorHAnsi" w:hAnsiTheme="minorHAnsi" w:cstheme="minorHAnsi"/>
          <w:lang w:val="en-GB"/>
        </w:rPr>
        <w:t xml:space="preserve"> drilling</w:t>
      </w:r>
      <w:r w:rsidRPr="0031203C">
        <w:rPr>
          <w:rFonts w:asciiTheme="minorHAnsi" w:hAnsiTheme="minorHAnsi" w:cstheme="minorHAnsi"/>
          <w:lang w:val="en-GB"/>
        </w:rPr>
        <w:t xml:space="preserve"> campaign already brought some results with two new wells put into production, although further development is needed and underway in order to mitigate the natural production decline, something expected with the mature portfolio of INA. </w:t>
      </w:r>
    </w:p>
    <w:p w14:paraId="03EA89FA" w14:textId="77777777" w:rsidR="009A0CAF" w:rsidRDefault="009A0CAF" w:rsidP="00E90E60">
      <w:pPr>
        <w:pStyle w:val="Default"/>
        <w:jc w:val="both"/>
        <w:rPr>
          <w:rFonts w:asciiTheme="minorHAnsi" w:hAnsiTheme="minorHAnsi" w:cstheme="minorHAnsi"/>
          <w:lang w:val="en-GB"/>
        </w:rPr>
      </w:pPr>
    </w:p>
    <w:p w14:paraId="3F2B3F25" w14:textId="57BBDEF6" w:rsidR="000E409D" w:rsidRDefault="000E409D" w:rsidP="00E90E60">
      <w:pPr>
        <w:pStyle w:val="Default"/>
        <w:jc w:val="both"/>
        <w:rPr>
          <w:rFonts w:asciiTheme="minorHAnsi" w:hAnsiTheme="minorHAnsi" w:cstheme="minorHAnsi"/>
          <w:lang w:val="en-GB"/>
        </w:rPr>
      </w:pPr>
      <w:r w:rsidRPr="0031203C">
        <w:rPr>
          <w:rFonts w:asciiTheme="minorHAnsi" w:hAnsiTheme="minorHAnsi" w:cstheme="minorHAnsi"/>
          <w:lang w:val="en-GB"/>
        </w:rPr>
        <w:t xml:space="preserve">Compared to the same period last year, refining margins are greatly improved, which led to improved Refining and Marketing operations, despite the fact that increased energy prices also burden their result. Captive market sales also increased, with the results under pressure </w:t>
      </w:r>
      <w:r w:rsidRPr="0031203C">
        <w:rPr>
          <w:rFonts w:asciiTheme="minorHAnsi" w:hAnsiTheme="minorHAnsi" w:cstheme="minorHAnsi"/>
          <w:lang w:val="en-GB"/>
        </w:rPr>
        <w:lastRenderedPageBreak/>
        <w:t>with the various limitations on margins. Nevertheless, the safe supply of the market remains INA’s priority. Excellent tourist season and consumption assisted the growth of Retail volumes in fuel, with third quarter amounting to more than 40% of volumes in the first nine months 2022. Alongside with fuel</w:t>
      </w:r>
      <w:r w:rsidR="00876FC0" w:rsidRPr="0031203C">
        <w:rPr>
          <w:rFonts w:asciiTheme="minorHAnsi" w:hAnsiTheme="minorHAnsi" w:cstheme="minorHAnsi"/>
          <w:lang w:val="en-GB"/>
        </w:rPr>
        <w:t xml:space="preserve">, </w:t>
      </w:r>
      <w:r w:rsidR="00956DC8" w:rsidRPr="0031203C">
        <w:rPr>
          <w:rFonts w:asciiTheme="minorHAnsi" w:hAnsiTheme="minorHAnsi" w:cstheme="minorHAnsi"/>
          <w:lang w:val="en-GB"/>
        </w:rPr>
        <w:t>a</w:t>
      </w:r>
      <w:r w:rsidRPr="0031203C">
        <w:rPr>
          <w:rFonts w:asciiTheme="minorHAnsi" w:hAnsiTheme="minorHAnsi" w:cstheme="minorHAnsi"/>
          <w:lang w:val="en-GB"/>
        </w:rPr>
        <w:t xml:space="preserve"> non-fuel growth continued due to expansion of offer and improved sales. </w:t>
      </w:r>
    </w:p>
    <w:p w14:paraId="5D656479" w14:textId="77777777" w:rsidR="009A0CAF" w:rsidRPr="0031203C" w:rsidRDefault="009A0CAF" w:rsidP="00E90E60">
      <w:pPr>
        <w:pStyle w:val="Default"/>
        <w:jc w:val="both"/>
        <w:rPr>
          <w:rFonts w:asciiTheme="minorHAnsi" w:hAnsiTheme="minorHAnsi" w:cstheme="minorHAnsi"/>
          <w:lang w:val="en-GB"/>
        </w:rPr>
      </w:pPr>
    </w:p>
    <w:p w14:paraId="6C39F070" w14:textId="15CC5F62" w:rsidR="00006E61" w:rsidRDefault="00006E61" w:rsidP="00E90E60">
      <w:pPr>
        <w:jc w:val="both"/>
        <w:rPr>
          <w:rFonts w:asciiTheme="minorHAnsi" w:hAnsiTheme="minorHAnsi" w:cstheme="minorHAnsi"/>
          <w:lang w:val="en-GB"/>
        </w:rPr>
      </w:pPr>
      <w:r w:rsidRPr="009A0CAF">
        <w:rPr>
          <w:rFonts w:asciiTheme="minorHAnsi" w:hAnsiTheme="minorHAnsi" w:cstheme="minorHAnsi"/>
          <w:lang w:val="en-GB"/>
        </w:rPr>
        <w:t xml:space="preserve">Although the external environment of high hydrocarbon prices enabled us to increase our income, it is important to emphasize that a large part of INA's profit is returned to investments, so the period of strong investments continued. </w:t>
      </w:r>
      <w:r w:rsidR="00897BE7" w:rsidRPr="009A0CAF">
        <w:rPr>
          <w:rFonts w:asciiTheme="minorHAnsi" w:hAnsiTheme="minorHAnsi" w:cstheme="minorHAnsi"/>
          <w:lang w:val="en-GB"/>
        </w:rPr>
        <w:t>Our CAPEX more than doubled compar</w:t>
      </w:r>
      <w:r w:rsidRPr="009A0CAF">
        <w:rPr>
          <w:rFonts w:asciiTheme="minorHAnsi" w:hAnsiTheme="minorHAnsi" w:cstheme="minorHAnsi"/>
          <w:lang w:val="en-GB"/>
        </w:rPr>
        <w:t>ed to the first nine months of 2021. The Rijeka Refinery upgrade project continues as INA's largest investment in history, the goal of which is to ensure the long-term profitability of INA's refin</w:t>
      </w:r>
      <w:r w:rsidR="00EE7B8D" w:rsidRPr="009A0CAF">
        <w:rPr>
          <w:rFonts w:asciiTheme="minorHAnsi" w:hAnsiTheme="minorHAnsi" w:cstheme="minorHAnsi"/>
          <w:lang w:val="en-GB"/>
        </w:rPr>
        <w:t>ing</w:t>
      </w:r>
      <w:r w:rsidRPr="009A0CAF">
        <w:rPr>
          <w:rFonts w:asciiTheme="minorHAnsi" w:hAnsiTheme="minorHAnsi" w:cstheme="minorHAnsi"/>
          <w:lang w:val="en-GB"/>
        </w:rPr>
        <w:t xml:space="preserve">, </w:t>
      </w:r>
      <w:r w:rsidR="00EE7B8D" w:rsidRPr="009A0CAF">
        <w:rPr>
          <w:rFonts w:asciiTheme="minorHAnsi" w:hAnsiTheme="minorHAnsi" w:cstheme="minorHAnsi"/>
          <w:lang w:val="en-GB"/>
        </w:rPr>
        <w:t>on top of already ensured security of supply</w:t>
      </w:r>
      <w:r w:rsidRPr="009A0CAF">
        <w:rPr>
          <w:rFonts w:asciiTheme="minorHAnsi" w:hAnsiTheme="minorHAnsi" w:cstheme="minorHAnsi"/>
          <w:lang w:val="en-GB"/>
        </w:rPr>
        <w:t>. The aforementioned offshore drilling campaigns will ensure an increase in natural gas production.</w:t>
      </w:r>
    </w:p>
    <w:p w14:paraId="5C73FBE1" w14:textId="77777777" w:rsidR="009A0CAF" w:rsidRPr="00E108A5" w:rsidRDefault="009A0CAF" w:rsidP="00E90E60">
      <w:pPr>
        <w:jc w:val="both"/>
        <w:rPr>
          <w:rFonts w:asciiTheme="minorHAnsi" w:hAnsiTheme="minorHAnsi" w:cstheme="minorHAnsi"/>
          <w:lang w:val="en-GB"/>
        </w:rPr>
      </w:pPr>
    </w:p>
    <w:p w14:paraId="6F6CB31A" w14:textId="3625DDC9" w:rsidR="00A03B09" w:rsidRDefault="00347914" w:rsidP="00623A95">
      <w:pPr>
        <w:jc w:val="both"/>
        <w:rPr>
          <w:rFonts w:asciiTheme="minorHAnsi" w:hAnsiTheme="minorHAnsi" w:cstheme="minorHAnsi"/>
          <w:lang w:val="en-GB"/>
        </w:rPr>
      </w:pPr>
      <w:r w:rsidRPr="00347914">
        <w:rPr>
          <w:rFonts w:asciiTheme="minorHAnsi" w:hAnsiTheme="minorHAnsi" w:cstheme="minorHAnsi"/>
          <w:lang w:val="en-GB"/>
        </w:rPr>
        <w:t>It is ungrateful to predict what will the future bring since the volatile markets, the regulatory measures that are hard to foresee, the rising inflation and probable recession bring a higher level of uncertainty. Therefore, INA will continue to continuously improve its operations to strengthen its position for the years ahead.</w:t>
      </w:r>
      <w:r>
        <w:rPr>
          <w:rFonts w:asciiTheme="minorHAnsi" w:hAnsiTheme="minorHAnsi" w:cstheme="minorHAnsi"/>
          <w:lang w:val="en-GB"/>
        </w:rPr>
        <w:t>”</w:t>
      </w:r>
    </w:p>
    <w:p w14:paraId="65BA3C89" w14:textId="77777777" w:rsidR="00347914" w:rsidRPr="0031203C" w:rsidRDefault="00347914" w:rsidP="00623A95">
      <w:pPr>
        <w:jc w:val="both"/>
        <w:rPr>
          <w:rFonts w:asciiTheme="minorHAnsi" w:hAnsiTheme="minorHAnsi" w:cstheme="minorHAnsi"/>
          <w:lang w:val="en-GB"/>
        </w:rPr>
      </w:pPr>
    </w:p>
    <w:p w14:paraId="188B6E47" w14:textId="712339C8" w:rsidR="00A03B09" w:rsidRPr="0031203C" w:rsidRDefault="00A03B09" w:rsidP="00623A95">
      <w:pPr>
        <w:jc w:val="both"/>
        <w:rPr>
          <w:rFonts w:asciiTheme="minorHAnsi" w:hAnsiTheme="minorHAnsi" w:cstheme="minorHAnsi"/>
          <w:lang w:val="en-GB"/>
        </w:rPr>
        <w:sectPr w:rsidR="00A03B09" w:rsidRPr="0031203C">
          <w:headerReference w:type="default" r:id="rId14"/>
          <w:footerReference w:type="default" r:id="rId15"/>
          <w:pgSz w:w="11906" w:h="16838"/>
          <w:pgMar w:top="1417" w:right="1417" w:bottom="1417" w:left="1417" w:header="708" w:footer="708" w:gutter="0"/>
          <w:cols w:space="708"/>
          <w:docGrid w:linePitch="360"/>
        </w:sectPr>
      </w:pPr>
    </w:p>
    <w:p w14:paraId="2B367E09" w14:textId="08278C14" w:rsidR="00E050DE" w:rsidRPr="0031203C" w:rsidRDefault="00CF230A" w:rsidP="006A6D32">
      <w:pPr>
        <w:spacing w:line="360" w:lineRule="auto"/>
        <w:jc w:val="center"/>
        <w:rPr>
          <w:rFonts w:asciiTheme="minorHAnsi" w:hAnsiTheme="minorHAnsi" w:cstheme="minorHAnsi"/>
          <w:lang w:val="en-GB"/>
        </w:rPr>
      </w:pPr>
      <w:r w:rsidRPr="0031203C">
        <w:rPr>
          <w:rFonts w:asciiTheme="minorHAnsi" w:hAnsiTheme="minorHAnsi" w:cstheme="minorHAnsi"/>
          <w:noProof/>
          <w:lang w:val="en-GB"/>
        </w:rPr>
        <w:drawing>
          <wp:inline distT="0" distB="0" distL="0" distR="0" wp14:anchorId="26297B6F" wp14:editId="5E0840F1">
            <wp:extent cx="2457907" cy="1893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51" cy="1900346"/>
                    </a:xfrm>
                    <a:prstGeom prst="rect">
                      <a:avLst/>
                    </a:prstGeom>
                    <a:noFill/>
                  </pic:spPr>
                </pic:pic>
              </a:graphicData>
            </a:graphic>
          </wp:inline>
        </w:drawing>
      </w:r>
      <w:r w:rsidR="00F61D48" w:rsidRPr="0031203C">
        <w:rPr>
          <w:rFonts w:asciiTheme="minorHAnsi" w:hAnsiTheme="minorHAnsi" w:cstheme="minorHAnsi"/>
          <w:noProof/>
          <w:lang w:val="en-GB"/>
        </w:rPr>
        <w:drawing>
          <wp:inline distT="0" distB="0" distL="0" distR="0" wp14:anchorId="76BF91D8" wp14:editId="406EBF15">
            <wp:extent cx="2662732" cy="1883190"/>
            <wp:effectExtent l="0" t="0" r="444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976" cy="1886899"/>
                    </a:xfrm>
                    <a:prstGeom prst="rect">
                      <a:avLst/>
                    </a:prstGeom>
                    <a:noFill/>
                  </pic:spPr>
                </pic:pic>
              </a:graphicData>
            </a:graphic>
          </wp:inline>
        </w:drawing>
      </w:r>
    </w:p>
    <w:p w14:paraId="13F51E50" w14:textId="38C6481B" w:rsidR="00FF0C7C" w:rsidRPr="0031203C" w:rsidRDefault="00F61D48" w:rsidP="00C0068C">
      <w:pPr>
        <w:spacing w:line="360" w:lineRule="auto"/>
        <w:jc w:val="center"/>
        <w:rPr>
          <w:rFonts w:asciiTheme="minorHAnsi" w:hAnsiTheme="minorHAnsi" w:cstheme="minorHAnsi"/>
          <w:lang w:val="en-GB"/>
        </w:rPr>
      </w:pPr>
      <w:r w:rsidRPr="0031203C">
        <w:rPr>
          <w:rFonts w:asciiTheme="minorHAnsi" w:hAnsiTheme="minorHAnsi" w:cstheme="minorHAnsi"/>
          <w:noProof/>
          <w:lang w:val="en-GB"/>
        </w:rPr>
        <w:drawing>
          <wp:inline distT="0" distB="0" distL="0" distR="0" wp14:anchorId="69DC8675" wp14:editId="433E1DC5">
            <wp:extent cx="2720290" cy="1923897"/>
            <wp:effectExtent l="0" t="0" r="444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8179" cy="1929476"/>
                    </a:xfrm>
                    <a:prstGeom prst="rect">
                      <a:avLst/>
                    </a:prstGeom>
                    <a:noFill/>
                  </pic:spPr>
                </pic:pic>
              </a:graphicData>
            </a:graphic>
          </wp:inline>
        </w:drawing>
      </w:r>
    </w:p>
    <w:p w14:paraId="24076475" w14:textId="6191E62C" w:rsidR="008B13EE" w:rsidRPr="0031203C" w:rsidRDefault="00DE2426" w:rsidP="00C0068C">
      <w:pPr>
        <w:spacing w:line="360" w:lineRule="auto"/>
        <w:jc w:val="center"/>
        <w:rPr>
          <w:rFonts w:asciiTheme="minorHAnsi" w:hAnsiTheme="minorHAnsi" w:cstheme="minorHAnsi"/>
          <w:lang w:val="en-GB"/>
        </w:rPr>
      </w:pPr>
      <w:r w:rsidRPr="0031203C">
        <w:rPr>
          <w:rFonts w:asciiTheme="minorHAnsi" w:hAnsiTheme="minorHAnsi" w:cstheme="minorHAnsi"/>
          <w:noProof/>
          <w:lang w:val="en-GB"/>
        </w:rPr>
        <w:drawing>
          <wp:inline distT="0" distB="0" distL="0" distR="0" wp14:anchorId="4F587D85" wp14:editId="185E4F42">
            <wp:extent cx="2618842" cy="18521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9445" cy="1859648"/>
                    </a:xfrm>
                    <a:prstGeom prst="rect">
                      <a:avLst/>
                    </a:prstGeom>
                    <a:noFill/>
                  </pic:spPr>
                </pic:pic>
              </a:graphicData>
            </a:graphic>
          </wp:inline>
        </w:drawing>
      </w:r>
    </w:p>
    <w:p w14:paraId="3812664C" w14:textId="77777777" w:rsidR="00621EAF" w:rsidRPr="0031203C" w:rsidRDefault="00621EAF" w:rsidP="00C0068C">
      <w:pPr>
        <w:spacing w:line="360" w:lineRule="auto"/>
        <w:jc w:val="both"/>
        <w:rPr>
          <w:rFonts w:asciiTheme="minorHAnsi" w:hAnsiTheme="minorHAnsi" w:cstheme="minorHAnsi"/>
          <w:b/>
          <w:lang w:val="en-GB"/>
        </w:rPr>
        <w:sectPr w:rsidR="00621EAF" w:rsidRPr="0031203C" w:rsidSect="00621EAF">
          <w:type w:val="continuous"/>
          <w:pgSz w:w="11906" w:h="16838"/>
          <w:pgMar w:top="1417" w:right="1417" w:bottom="1417" w:left="1417" w:header="708" w:footer="708" w:gutter="0"/>
          <w:cols w:num="2" w:space="708"/>
          <w:docGrid w:linePitch="360"/>
        </w:sectPr>
      </w:pPr>
    </w:p>
    <w:p w14:paraId="273CB580" w14:textId="108EC64B" w:rsidR="00621EAF" w:rsidRPr="0031203C" w:rsidRDefault="00756EF3" w:rsidP="00C0068C">
      <w:pPr>
        <w:spacing w:line="360" w:lineRule="auto"/>
        <w:jc w:val="both"/>
        <w:rPr>
          <w:rFonts w:asciiTheme="minorHAnsi" w:hAnsiTheme="minorHAnsi" w:cstheme="minorHAnsi"/>
          <w:b/>
          <w:lang w:val="en-GB"/>
        </w:rPr>
      </w:pPr>
      <w:r w:rsidRPr="0031203C">
        <w:rPr>
          <w:rFonts w:asciiTheme="minorHAnsi" w:hAnsiTheme="minorHAnsi" w:cstheme="minorHAnsi"/>
          <w:b/>
          <w:lang w:val="en-GB"/>
        </w:rPr>
        <w:lastRenderedPageBreak/>
        <w:t>Exploration and Production</w:t>
      </w:r>
    </w:p>
    <w:p w14:paraId="7C95A27C" w14:textId="0D99D0B9" w:rsidR="00321CD9" w:rsidRPr="0031203C" w:rsidRDefault="00321CD9" w:rsidP="00321CD9">
      <w:pPr>
        <w:jc w:val="both"/>
        <w:rPr>
          <w:rFonts w:asciiTheme="minorHAnsi" w:hAnsiTheme="minorHAnsi" w:cstheme="minorHAnsi"/>
          <w:bCs/>
          <w:lang w:val="en-GB"/>
        </w:rPr>
      </w:pPr>
      <w:r w:rsidRPr="0031203C">
        <w:rPr>
          <w:rFonts w:asciiTheme="minorHAnsi" w:hAnsiTheme="minorHAnsi" w:cstheme="minorHAnsi"/>
          <w:bCs/>
          <w:lang w:val="en-GB"/>
        </w:rPr>
        <w:t xml:space="preserve">Higher prices impacted sales revenues positively by HRK 2.6 </w:t>
      </w:r>
      <w:r w:rsidR="00237922">
        <w:rPr>
          <w:rFonts w:asciiTheme="minorHAnsi" w:hAnsiTheme="minorHAnsi" w:cstheme="minorHAnsi"/>
          <w:bCs/>
          <w:lang w:val="en-GB"/>
        </w:rPr>
        <w:t>b</w:t>
      </w:r>
      <w:r w:rsidRPr="0031203C">
        <w:rPr>
          <w:rFonts w:asciiTheme="minorHAnsi" w:hAnsiTheme="minorHAnsi" w:cstheme="minorHAnsi"/>
          <w:bCs/>
          <w:lang w:val="en-GB"/>
        </w:rPr>
        <w:t xml:space="preserve">illion. Increased gas prices added HRK 1.7 </w:t>
      </w:r>
      <w:r w:rsidR="00237922">
        <w:rPr>
          <w:rFonts w:asciiTheme="minorHAnsi" w:hAnsiTheme="minorHAnsi" w:cstheme="minorHAnsi"/>
          <w:bCs/>
          <w:lang w:val="en-GB"/>
        </w:rPr>
        <w:t>b</w:t>
      </w:r>
      <w:r w:rsidRPr="0031203C">
        <w:rPr>
          <w:rFonts w:asciiTheme="minorHAnsi" w:hAnsiTheme="minorHAnsi" w:cstheme="minorHAnsi"/>
          <w:bCs/>
          <w:lang w:val="en-GB"/>
        </w:rPr>
        <w:t>illion positive effect, while 56% higher Brent price brought an additional HRK 7</w:t>
      </w:r>
      <w:r w:rsidR="00045B27">
        <w:rPr>
          <w:rFonts w:asciiTheme="minorHAnsi" w:hAnsiTheme="minorHAnsi" w:cstheme="minorHAnsi"/>
          <w:bCs/>
          <w:lang w:val="en-GB"/>
        </w:rPr>
        <w:t>18</w:t>
      </w:r>
      <w:r w:rsidRPr="0031203C">
        <w:rPr>
          <w:rFonts w:asciiTheme="minorHAnsi" w:hAnsiTheme="minorHAnsi" w:cstheme="minorHAnsi"/>
          <w:bCs/>
          <w:lang w:val="en-GB"/>
        </w:rPr>
        <w:t xml:space="preserve"> </w:t>
      </w:r>
      <w:r w:rsidR="00045B27">
        <w:rPr>
          <w:rFonts w:asciiTheme="minorHAnsi" w:hAnsiTheme="minorHAnsi" w:cstheme="minorHAnsi"/>
          <w:bCs/>
          <w:lang w:val="en-GB"/>
        </w:rPr>
        <w:t>m</w:t>
      </w:r>
      <w:r w:rsidRPr="0031203C">
        <w:rPr>
          <w:rFonts w:asciiTheme="minorHAnsi" w:hAnsiTheme="minorHAnsi" w:cstheme="minorHAnsi"/>
          <w:bCs/>
          <w:lang w:val="en-GB"/>
        </w:rPr>
        <w:t xml:space="preserve">illion crude oil and condensate sales revenues with other products positive impact on revenues in the amount of HRK 154 </w:t>
      </w:r>
      <w:r w:rsidRPr="009A0CAF">
        <w:rPr>
          <w:rFonts w:asciiTheme="minorHAnsi" w:hAnsiTheme="minorHAnsi" w:cstheme="minorHAnsi"/>
          <w:bCs/>
          <w:lang w:val="en-GB"/>
        </w:rPr>
        <w:t>million</w:t>
      </w:r>
      <w:r w:rsidR="00CF3AA7" w:rsidRPr="009A0CAF">
        <w:rPr>
          <w:rFonts w:asciiTheme="minorHAnsi" w:hAnsiTheme="minorHAnsi" w:cstheme="minorHAnsi"/>
          <w:bCs/>
          <w:lang w:val="en-GB"/>
        </w:rPr>
        <w:t>.</w:t>
      </w:r>
      <w:r w:rsidR="00172688" w:rsidRPr="009A0CAF">
        <w:rPr>
          <w:rFonts w:asciiTheme="minorHAnsi" w:hAnsiTheme="minorHAnsi" w:cstheme="minorHAnsi"/>
          <w:bCs/>
          <w:lang w:val="en-GB"/>
        </w:rPr>
        <w:t xml:space="preserve"> Related to gas sales towards HEP, regulated at fixed price, negative impact is expected from Q4 2022.</w:t>
      </w:r>
    </w:p>
    <w:p w14:paraId="6BA6B5B3" w14:textId="77777777" w:rsidR="00CF3AA7" w:rsidRPr="0031203C" w:rsidRDefault="00CF3AA7" w:rsidP="00321CD9">
      <w:pPr>
        <w:jc w:val="both"/>
        <w:rPr>
          <w:rFonts w:asciiTheme="minorHAnsi" w:hAnsiTheme="minorHAnsi" w:cstheme="minorHAnsi"/>
          <w:bCs/>
          <w:lang w:val="en-GB"/>
        </w:rPr>
      </w:pPr>
    </w:p>
    <w:p w14:paraId="2A95C564" w14:textId="2B5AC232" w:rsidR="002C38AC" w:rsidRDefault="00321CD9" w:rsidP="00C60277">
      <w:pPr>
        <w:jc w:val="both"/>
        <w:rPr>
          <w:rFonts w:asciiTheme="minorHAnsi" w:hAnsiTheme="minorHAnsi" w:cstheme="minorHAnsi"/>
          <w:bCs/>
          <w:lang w:val="en-GB"/>
        </w:rPr>
      </w:pPr>
      <w:r w:rsidRPr="0031203C">
        <w:rPr>
          <w:rFonts w:asciiTheme="minorHAnsi" w:hAnsiTheme="minorHAnsi" w:cstheme="minorHAnsi"/>
          <w:bCs/>
          <w:lang w:val="en-GB"/>
        </w:rPr>
        <w:t xml:space="preserve">Despite of successfully performed actions in the scope of Production optimization project and positive effect of putting into production two new Offshore </w:t>
      </w:r>
      <w:r w:rsidR="00991847" w:rsidRPr="0031203C">
        <w:rPr>
          <w:rFonts w:asciiTheme="minorHAnsi" w:hAnsiTheme="minorHAnsi" w:cstheme="minorHAnsi"/>
          <w:bCs/>
          <w:lang w:val="en-GB"/>
        </w:rPr>
        <w:t xml:space="preserve">gas </w:t>
      </w:r>
      <w:r w:rsidRPr="0031203C">
        <w:rPr>
          <w:rFonts w:asciiTheme="minorHAnsi" w:hAnsiTheme="minorHAnsi" w:cstheme="minorHAnsi"/>
          <w:bCs/>
          <w:lang w:val="en-GB"/>
        </w:rPr>
        <w:t>wells (Ika B &amp; Marica D), Croatian production decreased as a result of</w:t>
      </w:r>
      <w:r w:rsidR="00111447">
        <w:rPr>
          <w:rFonts w:asciiTheme="minorHAnsi" w:hAnsiTheme="minorHAnsi" w:cstheme="minorHAnsi"/>
          <w:bCs/>
          <w:lang w:val="en-GB"/>
        </w:rPr>
        <w:t xml:space="preserve"> the </w:t>
      </w:r>
      <w:r w:rsidRPr="0031203C">
        <w:rPr>
          <w:rFonts w:asciiTheme="minorHAnsi" w:hAnsiTheme="minorHAnsi" w:cstheme="minorHAnsi"/>
          <w:bCs/>
          <w:lang w:val="en-GB"/>
        </w:rPr>
        <w:t>natural decline on Onshore oil fields and higher water cut on major gas fields</w:t>
      </w:r>
      <w:r w:rsidR="00991847" w:rsidRPr="0031203C">
        <w:rPr>
          <w:rFonts w:asciiTheme="minorHAnsi" w:hAnsiTheme="minorHAnsi" w:cstheme="minorHAnsi"/>
          <w:bCs/>
          <w:lang w:val="en-GB"/>
        </w:rPr>
        <w:t>, and</w:t>
      </w:r>
      <w:r w:rsidR="00111447">
        <w:rPr>
          <w:rFonts w:asciiTheme="minorHAnsi" w:hAnsiTheme="minorHAnsi" w:cstheme="minorHAnsi"/>
          <w:bCs/>
          <w:lang w:val="en-GB"/>
        </w:rPr>
        <w:t xml:space="preserve"> the </w:t>
      </w:r>
      <w:r w:rsidRPr="0031203C">
        <w:rPr>
          <w:rFonts w:asciiTheme="minorHAnsi" w:hAnsiTheme="minorHAnsi" w:cstheme="minorHAnsi"/>
          <w:bCs/>
          <w:lang w:val="en-GB"/>
        </w:rPr>
        <w:t>natural decline on major gas condensate fields in Deep Podravina</w:t>
      </w:r>
      <w:r w:rsidR="00991847" w:rsidRPr="0031203C">
        <w:rPr>
          <w:rFonts w:asciiTheme="minorHAnsi" w:hAnsiTheme="minorHAnsi" w:cstheme="minorHAnsi"/>
          <w:bCs/>
          <w:lang w:val="en-GB"/>
        </w:rPr>
        <w:t>.</w:t>
      </w:r>
      <w:r w:rsidR="00826FF5">
        <w:rPr>
          <w:rFonts w:asciiTheme="minorHAnsi" w:hAnsiTheme="minorHAnsi" w:cstheme="minorHAnsi"/>
          <w:bCs/>
          <w:lang w:val="en-GB"/>
        </w:rPr>
        <w:t xml:space="preserve"> </w:t>
      </w:r>
      <w:r w:rsidR="00C60277">
        <w:rPr>
          <w:rFonts w:asciiTheme="minorHAnsi" w:hAnsiTheme="minorHAnsi" w:cstheme="minorHAnsi"/>
          <w:bCs/>
          <w:lang w:val="en-GB"/>
        </w:rPr>
        <w:t>In i</w:t>
      </w:r>
      <w:r w:rsidRPr="0031203C">
        <w:rPr>
          <w:rFonts w:asciiTheme="minorHAnsi" w:hAnsiTheme="minorHAnsi" w:cstheme="minorHAnsi"/>
          <w:bCs/>
          <w:lang w:val="en-GB"/>
        </w:rPr>
        <w:t>nternational crude oil production</w:t>
      </w:r>
      <w:r w:rsidR="00C60277">
        <w:rPr>
          <w:rFonts w:asciiTheme="minorHAnsi" w:hAnsiTheme="minorHAnsi" w:cstheme="minorHAnsi"/>
          <w:bCs/>
          <w:lang w:val="en-GB"/>
        </w:rPr>
        <w:t xml:space="preserve">, </w:t>
      </w:r>
      <w:r w:rsidRPr="0031203C">
        <w:rPr>
          <w:rFonts w:asciiTheme="minorHAnsi" w:hAnsiTheme="minorHAnsi" w:cstheme="minorHAnsi"/>
          <w:bCs/>
          <w:lang w:val="en-GB"/>
        </w:rPr>
        <w:t>Egypt</w:t>
      </w:r>
      <w:r w:rsidR="00C60277">
        <w:rPr>
          <w:rFonts w:asciiTheme="minorHAnsi" w:hAnsiTheme="minorHAnsi" w:cstheme="minorHAnsi"/>
          <w:bCs/>
          <w:lang w:val="en-GB"/>
        </w:rPr>
        <w:t xml:space="preserve"> per</w:t>
      </w:r>
      <w:r w:rsidR="006A3999">
        <w:rPr>
          <w:rFonts w:asciiTheme="minorHAnsi" w:hAnsiTheme="minorHAnsi" w:cstheme="minorHAnsi"/>
          <w:bCs/>
          <w:lang w:val="en-GB"/>
        </w:rPr>
        <w:t>f</w:t>
      </w:r>
      <w:r w:rsidR="00C60277">
        <w:rPr>
          <w:rFonts w:asciiTheme="minorHAnsi" w:hAnsiTheme="minorHAnsi" w:cstheme="minorHAnsi"/>
          <w:bCs/>
          <w:lang w:val="en-GB"/>
        </w:rPr>
        <w:t>ormed</w:t>
      </w:r>
      <w:r w:rsidRPr="0031203C">
        <w:rPr>
          <w:rFonts w:asciiTheme="minorHAnsi" w:hAnsiTheme="minorHAnsi" w:cstheme="minorHAnsi"/>
          <w:bCs/>
          <w:lang w:val="en-GB"/>
        </w:rPr>
        <w:t xml:space="preserve"> lower at all concessions</w:t>
      </w:r>
      <w:r w:rsidR="00C60277">
        <w:rPr>
          <w:rFonts w:asciiTheme="minorHAnsi" w:hAnsiTheme="minorHAnsi" w:cstheme="minorHAnsi"/>
          <w:bCs/>
          <w:lang w:val="en-GB"/>
        </w:rPr>
        <w:t xml:space="preserve">, while </w:t>
      </w:r>
      <w:r w:rsidRPr="0031203C">
        <w:rPr>
          <w:rFonts w:asciiTheme="minorHAnsi" w:hAnsiTheme="minorHAnsi" w:cstheme="minorHAnsi"/>
          <w:bCs/>
          <w:lang w:val="en-GB"/>
        </w:rPr>
        <w:t xml:space="preserve">Angola production </w:t>
      </w:r>
      <w:r w:rsidR="006A3999">
        <w:rPr>
          <w:rFonts w:asciiTheme="minorHAnsi" w:hAnsiTheme="minorHAnsi" w:cstheme="minorHAnsi"/>
          <w:bCs/>
          <w:lang w:val="en-GB"/>
        </w:rPr>
        <w:t>increased</w:t>
      </w:r>
      <w:r w:rsidRPr="0031203C">
        <w:rPr>
          <w:rFonts w:asciiTheme="minorHAnsi" w:hAnsiTheme="minorHAnsi" w:cstheme="minorHAnsi"/>
          <w:bCs/>
          <w:lang w:val="en-GB"/>
        </w:rPr>
        <w:t xml:space="preserve"> with the increase of INA share on Block 3/05 by 1.3% due to exit of the partner</w:t>
      </w:r>
      <w:r w:rsidR="006A3999">
        <w:rPr>
          <w:rFonts w:asciiTheme="minorHAnsi" w:hAnsiTheme="minorHAnsi" w:cstheme="minorHAnsi"/>
          <w:bCs/>
          <w:lang w:val="en-GB"/>
        </w:rPr>
        <w:t>.</w:t>
      </w:r>
    </w:p>
    <w:p w14:paraId="53D8C830" w14:textId="77777777" w:rsidR="00826FF5" w:rsidRPr="00826FF5" w:rsidRDefault="00826FF5" w:rsidP="00C60277">
      <w:pPr>
        <w:jc w:val="both"/>
        <w:rPr>
          <w:rFonts w:asciiTheme="minorHAnsi" w:hAnsiTheme="minorHAnsi" w:cstheme="minorHAnsi"/>
          <w:bCs/>
          <w:sz w:val="18"/>
          <w:szCs w:val="18"/>
          <w:lang w:val="en-GB"/>
        </w:rPr>
      </w:pPr>
    </w:p>
    <w:p w14:paraId="188D4E99" w14:textId="520CA2C4" w:rsidR="00D7628A" w:rsidRPr="0031203C" w:rsidRDefault="00D7628A" w:rsidP="00D7628A">
      <w:pPr>
        <w:pStyle w:val="NoSpacing"/>
        <w:contextualSpacing/>
        <w:rPr>
          <w:rFonts w:asciiTheme="minorHAnsi" w:hAnsiTheme="minorHAnsi" w:cstheme="minorHAnsi"/>
          <w:sz w:val="24"/>
        </w:rPr>
      </w:pPr>
      <w:bookmarkStart w:id="3" w:name="_Hlk116458703"/>
      <w:r w:rsidRPr="0031203C">
        <w:rPr>
          <w:rFonts w:asciiTheme="minorHAnsi" w:hAnsiTheme="minorHAnsi" w:cstheme="minorHAnsi"/>
          <w:sz w:val="24"/>
        </w:rPr>
        <w:t xml:space="preserve">CAPEX level </w:t>
      </w:r>
      <w:r w:rsidR="00E90E60" w:rsidRPr="0031203C">
        <w:rPr>
          <w:rFonts w:asciiTheme="minorHAnsi" w:hAnsiTheme="minorHAnsi" w:cstheme="minorHAnsi"/>
          <w:sz w:val="24"/>
        </w:rPr>
        <w:t xml:space="preserve">is higher </w:t>
      </w:r>
      <w:r w:rsidRPr="0031203C">
        <w:rPr>
          <w:rFonts w:asciiTheme="minorHAnsi" w:hAnsiTheme="minorHAnsi" w:cstheme="minorHAnsi"/>
          <w:sz w:val="24"/>
        </w:rPr>
        <w:t>compared to Q1-Q3 2021 mainly as a result of development activities on Croatia Offshore drilling campaign and on Croatia Onshore. Main activities in Q1-Q3 2022:</w:t>
      </w:r>
    </w:p>
    <w:p w14:paraId="5B01282D" w14:textId="77777777" w:rsidR="00D7628A" w:rsidRPr="0031203C" w:rsidRDefault="00D7628A" w:rsidP="000233FE">
      <w:pPr>
        <w:pStyle w:val="NoSpacing"/>
        <w:numPr>
          <w:ilvl w:val="0"/>
          <w:numId w:val="15"/>
        </w:numPr>
        <w:contextualSpacing/>
        <w:rPr>
          <w:rFonts w:asciiTheme="minorHAnsi" w:hAnsiTheme="minorHAnsi" w:cstheme="minorHAnsi"/>
          <w:sz w:val="24"/>
        </w:rPr>
      </w:pPr>
      <w:bookmarkStart w:id="4" w:name="_Hlk62200518"/>
      <w:r w:rsidRPr="0031203C">
        <w:rPr>
          <w:rFonts w:asciiTheme="minorHAnsi" w:hAnsiTheme="minorHAnsi" w:cstheme="minorHAnsi"/>
          <w:sz w:val="24"/>
        </w:rPr>
        <w:t>Croatia Development Offshore:</w:t>
      </w:r>
    </w:p>
    <w:p w14:paraId="566F3C95" w14:textId="5E20214C" w:rsidR="00D7628A" w:rsidRPr="00CC5891" w:rsidRDefault="00D7628A" w:rsidP="00D7628A">
      <w:pPr>
        <w:pStyle w:val="NoSpacing"/>
        <w:numPr>
          <w:ilvl w:val="1"/>
          <w:numId w:val="3"/>
        </w:numPr>
        <w:contextualSpacing/>
        <w:rPr>
          <w:rFonts w:asciiTheme="minorHAnsi" w:hAnsiTheme="minorHAnsi" w:cstheme="minorHAnsi"/>
          <w:sz w:val="24"/>
        </w:rPr>
      </w:pPr>
      <w:r w:rsidRPr="00CC5891">
        <w:rPr>
          <w:rFonts w:asciiTheme="minorHAnsi" w:hAnsiTheme="minorHAnsi" w:cstheme="minorHAnsi"/>
          <w:sz w:val="24"/>
        </w:rPr>
        <w:t>Ika B-1 R well: Initial production started on March 3, 2022</w:t>
      </w:r>
      <w:r w:rsidR="002C34F5">
        <w:rPr>
          <w:rFonts w:asciiTheme="minorHAnsi" w:hAnsiTheme="minorHAnsi" w:cstheme="minorHAnsi"/>
          <w:sz w:val="24"/>
        </w:rPr>
        <w:t>.</w:t>
      </w:r>
    </w:p>
    <w:p w14:paraId="04741219" w14:textId="04E43272" w:rsidR="00D7628A" w:rsidRPr="00CC5891" w:rsidRDefault="00D7628A" w:rsidP="00D7628A">
      <w:pPr>
        <w:pStyle w:val="NoSpacing"/>
        <w:numPr>
          <w:ilvl w:val="1"/>
          <w:numId w:val="3"/>
        </w:numPr>
        <w:contextualSpacing/>
        <w:rPr>
          <w:rFonts w:asciiTheme="minorHAnsi" w:hAnsiTheme="minorHAnsi" w:cstheme="minorHAnsi"/>
          <w:sz w:val="24"/>
        </w:rPr>
      </w:pPr>
      <w:r w:rsidRPr="00CC5891">
        <w:rPr>
          <w:rFonts w:asciiTheme="minorHAnsi" w:hAnsiTheme="minorHAnsi" w:cstheme="minorHAnsi"/>
          <w:sz w:val="24"/>
        </w:rPr>
        <w:t xml:space="preserve">Marica D Dir well: </w:t>
      </w:r>
      <w:r w:rsidRPr="00CC5891">
        <w:rPr>
          <w:rFonts w:asciiTheme="minorHAnsi" w:eastAsia="Times New Roman" w:hAnsiTheme="minorHAnsi" w:cstheme="minorHAnsi"/>
          <w:sz w:val="24"/>
        </w:rPr>
        <w:t>Hook up completed. Trial production started on May 26</w:t>
      </w:r>
      <w:r w:rsidR="00EC101E" w:rsidRPr="00CC5891">
        <w:rPr>
          <w:rFonts w:asciiTheme="minorHAnsi" w:eastAsia="Times New Roman" w:hAnsiTheme="minorHAnsi" w:cstheme="minorHAnsi"/>
          <w:sz w:val="24"/>
        </w:rPr>
        <w:t>,</w:t>
      </w:r>
      <w:r w:rsidRPr="00CC5891">
        <w:rPr>
          <w:rFonts w:asciiTheme="minorHAnsi" w:eastAsia="Times New Roman" w:hAnsiTheme="minorHAnsi" w:cstheme="minorHAnsi"/>
          <w:sz w:val="24"/>
        </w:rPr>
        <w:t xml:space="preserve"> 2022. </w:t>
      </w:r>
      <w:r w:rsidRPr="00CC5891">
        <w:rPr>
          <w:rFonts w:asciiTheme="minorHAnsi" w:hAnsiTheme="minorHAnsi" w:cstheme="minorHAnsi"/>
          <w:sz w:val="24"/>
        </w:rPr>
        <w:t>Preparation for authority technical inspection in progress</w:t>
      </w:r>
      <w:r w:rsidR="002C34F5">
        <w:rPr>
          <w:rFonts w:asciiTheme="minorHAnsi" w:hAnsiTheme="minorHAnsi" w:cstheme="minorHAnsi"/>
          <w:sz w:val="24"/>
        </w:rPr>
        <w:t>.</w:t>
      </w:r>
    </w:p>
    <w:p w14:paraId="73E7071F" w14:textId="416FE3D4" w:rsidR="00D7628A" w:rsidRPr="00CC5891" w:rsidRDefault="00D7628A" w:rsidP="00D7628A">
      <w:pPr>
        <w:pStyle w:val="NoSpacing"/>
        <w:numPr>
          <w:ilvl w:val="1"/>
          <w:numId w:val="3"/>
        </w:numPr>
        <w:contextualSpacing/>
        <w:rPr>
          <w:rFonts w:asciiTheme="minorHAnsi" w:hAnsiTheme="minorHAnsi" w:cstheme="minorHAnsi"/>
          <w:sz w:val="24"/>
        </w:rPr>
      </w:pPr>
      <w:r w:rsidRPr="00CC5891">
        <w:rPr>
          <w:rFonts w:asciiTheme="minorHAnsi" w:hAnsiTheme="minorHAnsi" w:cstheme="minorHAnsi"/>
          <w:sz w:val="24"/>
        </w:rPr>
        <w:t xml:space="preserve">Drilling and well testing of Ilena-2 finished, next to be drilled is Ida D-1 </w:t>
      </w:r>
      <w:r w:rsidR="002C34F5">
        <w:rPr>
          <w:rFonts w:asciiTheme="minorHAnsi" w:hAnsiTheme="minorHAnsi" w:cstheme="minorHAnsi"/>
          <w:sz w:val="24"/>
        </w:rPr>
        <w:t>.</w:t>
      </w:r>
    </w:p>
    <w:p w14:paraId="01091964" w14:textId="7C84207E" w:rsidR="00D7628A" w:rsidRPr="00CC5891" w:rsidRDefault="00D7628A" w:rsidP="00D7628A">
      <w:pPr>
        <w:pStyle w:val="NoSpacing"/>
        <w:numPr>
          <w:ilvl w:val="1"/>
          <w:numId w:val="3"/>
        </w:numPr>
        <w:contextualSpacing/>
        <w:rPr>
          <w:rFonts w:asciiTheme="minorHAnsi" w:hAnsiTheme="minorHAnsi" w:cstheme="minorHAnsi"/>
          <w:sz w:val="24"/>
        </w:rPr>
      </w:pPr>
      <w:r w:rsidRPr="00CC5891">
        <w:rPr>
          <w:rFonts w:asciiTheme="minorHAnsi" w:hAnsiTheme="minorHAnsi" w:cstheme="minorHAnsi"/>
          <w:sz w:val="24"/>
        </w:rPr>
        <w:t xml:space="preserve">Preparatory activities for drilling of Ira-1 </w:t>
      </w:r>
      <w:r w:rsidR="005C4F96" w:rsidRPr="00CC5891">
        <w:rPr>
          <w:rFonts w:asciiTheme="minorHAnsi" w:hAnsiTheme="minorHAnsi" w:cstheme="minorHAnsi"/>
          <w:sz w:val="24"/>
        </w:rPr>
        <w:t>D</w:t>
      </w:r>
      <w:r w:rsidRPr="00CC5891">
        <w:rPr>
          <w:rFonts w:asciiTheme="minorHAnsi" w:hAnsiTheme="minorHAnsi" w:cstheme="minorHAnsi"/>
          <w:sz w:val="24"/>
        </w:rPr>
        <w:t xml:space="preserve">ir </w:t>
      </w:r>
      <w:r w:rsidR="005C4F96" w:rsidRPr="00CC5891">
        <w:rPr>
          <w:rFonts w:asciiTheme="minorHAnsi" w:hAnsiTheme="minorHAnsi" w:cstheme="minorHAnsi"/>
          <w:sz w:val="24"/>
        </w:rPr>
        <w:t>and</w:t>
      </w:r>
      <w:r w:rsidRPr="00CC5891">
        <w:rPr>
          <w:rFonts w:asciiTheme="minorHAnsi" w:hAnsiTheme="minorHAnsi" w:cstheme="minorHAnsi"/>
          <w:sz w:val="24"/>
        </w:rPr>
        <w:t xml:space="preserve"> Ida D-2 ver in progress</w:t>
      </w:r>
      <w:r w:rsidR="002C34F5">
        <w:rPr>
          <w:rFonts w:asciiTheme="minorHAnsi" w:hAnsiTheme="minorHAnsi" w:cstheme="minorHAnsi"/>
          <w:sz w:val="24"/>
        </w:rPr>
        <w:t>.</w:t>
      </w:r>
      <w:r w:rsidRPr="00CC5891">
        <w:rPr>
          <w:rFonts w:asciiTheme="minorHAnsi" w:hAnsiTheme="minorHAnsi" w:cstheme="minorHAnsi"/>
          <w:sz w:val="24"/>
        </w:rPr>
        <w:t xml:space="preserve"> </w:t>
      </w:r>
    </w:p>
    <w:p w14:paraId="551FBECF" w14:textId="77777777" w:rsidR="00D7628A" w:rsidRPr="00CC5891" w:rsidRDefault="00D7628A" w:rsidP="00E90E60">
      <w:pPr>
        <w:pStyle w:val="NoSpacing"/>
        <w:numPr>
          <w:ilvl w:val="0"/>
          <w:numId w:val="12"/>
        </w:numPr>
        <w:contextualSpacing/>
        <w:rPr>
          <w:rFonts w:asciiTheme="minorHAnsi" w:hAnsiTheme="minorHAnsi" w:cstheme="minorHAnsi"/>
          <w:sz w:val="24"/>
        </w:rPr>
      </w:pPr>
      <w:r w:rsidRPr="00CC5891">
        <w:rPr>
          <w:rFonts w:asciiTheme="minorHAnsi" w:hAnsiTheme="minorHAnsi" w:cstheme="minorHAnsi"/>
          <w:sz w:val="24"/>
        </w:rPr>
        <w:t>Croatia Development Onshore:</w:t>
      </w:r>
    </w:p>
    <w:p w14:paraId="2935BF9E" w14:textId="73DF71DD" w:rsidR="00D7628A" w:rsidRPr="0031203C" w:rsidRDefault="00D7628A" w:rsidP="00D7628A">
      <w:pPr>
        <w:pStyle w:val="NoSpacing"/>
        <w:numPr>
          <w:ilvl w:val="1"/>
          <w:numId w:val="3"/>
        </w:numPr>
        <w:contextualSpacing/>
        <w:rPr>
          <w:rFonts w:asciiTheme="minorHAnsi" w:hAnsiTheme="minorHAnsi" w:cstheme="minorHAnsi"/>
          <w:sz w:val="24"/>
        </w:rPr>
      </w:pPr>
      <w:r w:rsidRPr="0031203C">
        <w:rPr>
          <w:rFonts w:asciiTheme="minorHAnsi" w:hAnsiTheme="minorHAnsi" w:cstheme="minorHAnsi"/>
          <w:sz w:val="24"/>
        </w:rPr>
        <w:t>EOR Šandrovac: CO</w:t>
      </w:r>
      <w:r w:rsidRPr="0031203C">
        <w:rPr>
          <w:rFonts w:asciiTheme="minorHAnsi" w:hAnsiTheme="minorHAnsi" w:cstheme="minorHAnsi"/>
          <w:sz w:val="24"/>
          <w:vertAlign w:val="subscript"/>
        </w:rPr>
        <w:t>2</w:t>
      </w:r>
      <w:r w:rsidRPr="0031203C">
        <w:rPr>
          <w:rFonts w:asciiTheme="minorHAnsi" w:hAnsiTheme="minorHAnsi" w:cstheme="minorHAnsi"/>
          <w:sz w:val="24"/>
        </w:rPr>
        <w:t xml:space="preserve"> injection phase finished; water injection phase started in </w:t>
      </w:r>
      <w:r w:rsidR="00CD76A6" w:rsidRPr="0031203C">
        <w:rPr>
          <w:rFonts w:asciiTheme="minorHAnsi" w:hAnsiTheme="minorHAnsi" w:cstheme="minorHAnsi"/>
          <w:sz w:val="24"/>
        </w:rPr>
        <w:t>April,</w:t>
      </w:r>
      <w:r w:rsidRPr="0031203C">
        <w:rPr>
          <w:rFonts w:asciiTheme="minorHAnsi" w:hAnsiTheme="minorHAnsi" w:cstheme="minorHAnsi"/>
          <w:sz w:val="24"/>
        </w:rPr>
        <w:t xml:space="preserve"> and it is ongoing</w:t>
      </w:r>
      <w:r w:rsidR="002C34F5">
        <w:rPr>
          <w:rFonts w:asciiTheme="minorHAnsi" w:hAnsiTheme="minorHAnsi" w:cstheme="minorHAnsi"/>
          <w:sz w:val="24"/>
        </w:rPr>
        <w:t>.</w:t>
      </w:r>
    </w:p>
    <w:bookmarkEnd w:id="3"/>
    <w:bookmarkEnd w:id="4"/>
    <w:p w14:paraId="63E43774" w14:textId="77777777" w:rsidR="000233FE" w:rsidRDefault="000233FE" w:rsidP="002C38AC">
      <w:pPr>
        <w:rPr>
          <w:rFonts w:asciiTheme="minorHAnsi" w:hAnsiTheme="minorHAnsi" w:cstheme="minorHAnsi"/>
          <w:b/>
          <w:lang w:val="en-GB"/>
        </w:rPr>
      </w:pPr>
    </w:p>
    <w:p w14:paraId="103931B8" w14:textId="102E8655" w:rsidR="000233FE" w:rsidRPr="0031203C" w:rsidRDefault="000233FE" w:rsidP="002C38AC">
      <w:pPr>
        <w:rPr>
          <w:rFonts w:asciiTheme="minorHAnsi" w:hAnsiTheme="minorHAnsi" w:cstheme="minorHAnsi"/>
          <w:b/>
          <w:lang w:val="en-GB"/>
        </w:rPr>
        <w:sectPr w:rsidR="000233FE" w:rsidRPr="0031203C" w:rsidSect="00621EAF">
          <w:type w:val="continuous"/>
          <w:pgSz w:w="11906" w:h="16838"/>
          <w:pgMar w:top="1417" w:right="1417" w:bottom="1417" w:left="1417" w:header="708" w:footer="708" w:gutter="0"/>
          <w:cols w:space="708"/>
          <w:docGrid w:linePitch="360"/>
        </w:sectPr>
      </w:pPr>
    </w:p>
    <w:p w14:paraId="079C25F9" w14:textId="228EAA61" w:rsidR="00ED7AA1" w:rsidRPr="0031203C" w:rsidRDefault="00EC5226" w:rsidP="003E0A2F">
      <w:pPr>
        <w:spacing w:line="360" w:lineRule="auto"/>
        <w:jc w:val="center"/>
        <w:rPr>
          <w:rFonts w:asciiTheme="minorHAnsi" w:hAnsiTheme="minorHAnsi" w:cstheme="minorHAnsi"/>
          <w:b/>
          <w:lang w:val="en-GB"/>
        </w:rPr>
      </w:pPr>
      <w:r w:rsidRPr="0031203C">
        <w:rPr>
          <w:rFonts w:asciiTheme="minorHAnsi" w:hAnsiTheme="minorHAnsi" w:cstheme="minorHAnsi"/>
          <w:b/>
          <w:noProof/>
          <w:lang w:val="en-GB"/>
        </w:rPr>
        <w:drawing>
          <wp:inline distT="0" distB="0" distL="0" distR="0" wp14:anchorId="4B08FF22" wp14:editId="5610468A">
            <wp:extent cx="2722729" cy="210256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5822" cy="2104953"/>
                    </a:xfrm>
                    <a:prstGeom prst="rect">
                      <a:avLst/>
                    </a:prstGeom>
                    <a:noFill/>
                  </pic:spPr>
                </pic:pic>
              </a:graphicData>
            </a:graphic>
          </wp:inline>
        </w:drawing>
      </w:r>
    </w:p>
    <w:p w14:paraId="4555C57F" w14:textId="33CFB9AD" w:rsidR="00ED7AA1" w:rsidRPr="0031203C" w:rsidRDefault="003C77A4" w:rsidP="003E0A2F">
      <w:pPr>
        <w:spacing w:line="360" w:lineRule="auto"/>
        <w:jc w:val="center"/>
        <w:rPr>
          <w:rFonts w:asciiTheme="minorHAnsi" w:hAnsiTheme="minorHAnsi" w:cstheme="minorHAnsi"/>
          <w:b/>
          <w:lang w:val="en-GB"/>
        </w:rPr>
      </w:pPr>
      <w:r w:rsidRPr="0031203C">
        <w:rPr>
          <w:rFonts w:asciiTheme="minorHAnsi" w:hAnsiTheme="minorHAnsi" w:cstheme="minorHAnsi"/>
          <w:b/>
          <w:noProof/>
          <w:lang w:val="en-GB"/>
        </w:rPr>
        <w:drawing>
          <wp:inline distT="0" distB="0" distL="0" distR="0" wp14:anchorId="022CC745" wp14:editId="1B0547A0">
            <wp:extent cx="2702257" cy="2092476"/>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6701" cy="2095917"/>
                    </a:xfrm>
                    <a:prstGeom prst="rect">
                      <a:avLst/>
                    </a:prstGeom>
                    <a:noFill/>
                  </pic:spPr>
                </pic:pic>
              </a:graphicData>
            </a:graphic>
          </wp:inline>
        </w:drawing>
      </w:r>
    </w:p>
    <w:p w14:paraId="7D352599" w14:textId="77777777" w:rsidR="00ED7AA1" w:rsidRPr="0031203C" w:rsidRDefault="00ED7AA1" w:rsidP="00DE61CC">
      <w:pPr>
        <w:spacing w:line="360" w:lineRule="auto"/>
        <w:jc w:val="both"/>
        <w:rPr>
          <w:rFonts w:asciiTheme="minorHAnsi" w:hAnsiTheme="minorHAnsi" w:cstheme="minorHAnsi"/>
          <w:lang w:val="en-GB"/>
        </w:rPr>
        <w:sectPr w:rsidR="00ED7AA1" w:rsidRPr="0031203C" w:rsidSect="00ED7AA1">
          <w:type w:val="continuous"/>
          <w:pgSz w:w="11906" w:h="16838"/>
          <w:pgMar w:top="1417" w:right="1417" w:bottom="1417" w:left="1417" w:header="708" w:footer="708" w:gutter="0"/>
          <w:cols w:num="2" w:space="708"/>
          <w:docGrid w:linePitch="360"/>
        </w:sectPr>
      </w:pPr>
    </w:p>
    <w:p w14:paraId="14A28E35" w14:textId="176E7E9A" w:rsidR="00ED7AA1" w:rsidRPr="0031203C" w:rsidRDefault="003C77A4" w:rsidP="00F77244">
      <w:pPr>
        <w:spacing w:line="360" w:lineRule="auto"/>
        <w:jc w:val="center"/>
        <w:rPr>
          <w:rFonts w:asciiTheme="minorHAnsi" w:hAnsiTheme="minorHAnsi" w:cstheme="minorHAnsi"/>
          <w:lang w:val="en-GB"/>
        </w:rPr>
      </w:pPr>
      <w:r w:rsidRPr="0031203C">
        <w:rPr>
          <w:rFonts w:asciiTheme="minorHAnsi" w:hAnsiTheme="minorHAnsi" w:cstheme="minorHAnsi"/>
          <w:noProof/>
          <w:lang w:val="en-GB"/>
        </w:rPr>
        <w:lastRenderedPageBreak/>
        <w:drawing>
          <wp:inline distT="0" distB="0" distL="0" distR="0" wp14:anchorId="6AF0F5C5" wp14:editId="4F73B00B">
            <wp:extent cx="2661366" cy="2060812"/>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3815" cy="2062708"/>
                    </a:xfrm>
                    <a:prstGeom prst="rect">
                      <a:avLst/>
                    </a:prstGeom>
                    <a:noFill/>
                  </pic:spPr>
                </pic:pic>
              </a:graphicData>
            </a:graphic>
          </wp:inline>
        </w:drawing>
      </w:r>
    </w:p>
    <w:p w14:paraId="3F2394D2" w14:textId="77777777" w:rsidR="00C0068C" w:rsidRPr="0031203C" w:rsidRDefault="00C0068C" w:rsidP="00C0068C">
      <w:pPr>
        <w:spacing w:line="360" w:lineRule="auto"/>
        <w:jc w:val="both"/>
        <w:rPr>
          <w:rFonts w:asciiTheme="minorHAnsi" w:hAnsiTheme="minorHAnsi" w:cstheme="minorHAnsi"/>
          <w:b/>
          <w:lang w:val="en-GB"/>
        </w:rPr>
      </w:pPr>
    </w:p>
    <w:p w14:paraId="1B1B1591" w14:textId="54592FDC" w:rsidR="003E0A2F" w:rsidRPr="0031203C" w:rsidRDefault="00C0068C" w:rsidP="001B7CDD">
      <w:pPr>
        <w:spacing w:line="360" w:lineRule="auto"/>
        <w:jc w:val="both"/>
        <w:rPr>
          <w:rFonts w:asciiTheme="minorHAnsi" w:hAnsiTheme="minorHAnsi" w:cstheme="minorHAnsi"/>
          <w:b/>
          <w:lang w:val="en-GB"/>
        </w:rPr>
      </w:pPr>
      <w:r w:rsidRPr="0031203C">
        <w:rPr>
          <w:rFonts w:asciiTheme="minorHAnsi" w:hAnsiTheme="minorHAnsi" w:cstheme="minorHAnsi"/>
          <w:b/>
          <w:lang w:val="en-GB"/>
        </w:rPr>
        <w:t>Refining and Marketing, including Consumer Services and Retail</w:t>
      </w:r>
    </w:p>
    <w:p w14:paraId="68DA9C58" w14:textId="68C98B28" w:rsidR="00BB05E1" w:rsidRDefault="001D4B04" w:rsidP="00BB05E1">
      <w:pPr>
        <w:spacing w:line="252" w:lineRule="auto"/>
        <w:jc w:val="both"/>
        <w:rPr>
          <w:rFonts w:asciiTheme="minorHAnsi" w:hAnsiTheme="minorHAnsi" w:cstheme="minorHAnsi"/>
          <w:lang w:val="en-GB"/>
        </w:rPr>
      </w:pPr>
      <w:bookmarkStart w:id="5" w:name="_Hlk63865526"/>
      <w:r>
        <w:rPr>
          <w:rFonts w:asciiTheme="minorHAnsi" w:hAnsiTheme="minorHAnsi" w:cstheme="minorHAnsi"/>
          <w:lang w:val="en-GB"/>
        </w:rPr>
        <w:t xml:space="preserve">Rijeka </w:t>
      </w:r>
      <w:r w:rsidR="005007A0" w:rsidRPr="0031203C">
        <w:rPr>
          <w:rFonts w:asciiTheme="minorHAnsi" w:hAnsiTheme="minorHAnsi" w:cstheme="minorHAnsi"/>
          <w:lang w:val="en-GB"/>
        </w:rPr>
        <w:t>Refinery operation</w:t>
      </w:r>
      <w:r>
        <w:rPr>
          <w:rFonts w:asciiTheme="minorHAnsi" w:hAnsiTheme="minorHAnsi" w:cstheme="minorHAnsi"/>
          <w:lang w:val="en-GB"/>
        </w:rPr>
        <w:t>s</w:t>
      </w:r>
      <w:r w:rsidR="005007A0" w:rsidRPr="0031203C">
        <w:rPr>
          <w:rFonts w:asciiTheme="minorHAnsi" w:hAnsiTheme="minorHAnsi" w:cstheme="minorHAnsi"/>
          <w:lang w:val="en-GB"/>
        </w:rPr>
        <w:t xml:space="preserve"> started end of March ensuring stable captive market supply in the upcoming months, mitigating risk of lower product availability on global market driven by Russia-Ukraine crisis. </w:t>
      </w:r>
      <w:r w:rsidR="005D3C0A" w:rsidRPr="0031203C">
        <w:rPr>
          <w:rFonts w:asciiTheme="minorHAnsi" w:hAnsiTheme="minorHAnsi" w:cstheme="minorHAnsi"/>
          <w:lang w:val="en-GB"/>
        </w:rPr>
        <w:t>Favourable</w:t>
      </w:r>
      <w:r w:rsidR="005007A0" w:rsidRPr="0031203C">
        <w:rPr>
          <w:rFonts w:asciiTheme="minorHAnsi" w:hAnsiTheme="minorHAnsi" w:cstheme="minorHAnsi"/>
          <w:lang w:val="en-GB"/>
        </w:rPr>
        <w:t xml:space="preserve"> macro environment with strong crack spreads supported refining contribution to the financial </w:t>
      </w:r>
      <w:r w:rsidR="005007A0" w:rsidRPr="005A1789">
        <w:rPr>
          <w:rFonts w:asciiTheme="minorHAnsi" w:hAnsiTheme="minorHAnsi" w:cstheme="minorHAnsi"/>
          <w:lang w:val="en-GB"/>
        </w:rPr>
        <w:t xml:space="preserve">result </w:t>
      </w:r>
      <w:r w:rsidR="00274E46">
        <w:rPr>
          <w:rFonts w:asciiTheme="minorHAnsi" w:hAnsiTheme="minorHAnsi" w:cstheme="minorHAnsi"/>
          <w:lang w:val="en-GB"/>
        </w:rPr>
        <w:t xml:space="preserve">mostly </w:t>
      </w:r>
      <w:r w:rsidR="005007A0" w:rsidRPr="005A1789">
        <w:rPr>
          <w:rFonts w:asciiTheme="minorHAnsi" w:hAnsiTheme="minorHAnsi" w:cstheme="minorHAnsi"/>
          <w:lang w:val="en-GB"/>
        </w:rPr>
        <w:t>in Q2, partially</w:t>
      </w:r>
      <w:r w:rsidR="005007A0" w:rsidRPr="0031203C">
        <w:rPr>
          <w:rFonts w:asciiTheme="minorHAnsi" w:hAnsiTheme="minorHAnsi" w:cstheme="minorHAnsi"/>
          <w:lang w:val="en-GB"/>
        </w:rPr>
        <w:t xml:space="preserve"> counterbalanced by high energy prices</w:t>
      </w:r>
      <w:r w:rsidR="00BB05E1">
        <w:rPr>
          <w:rFonts w:asciiTheme="minorHAnsi" w:hAnsiTheme="minorHAnsi" w:cstheme="minorHAnsi"/>
          <w:lang w:val="en-GB"/>
        </w:rPr>
        <w:t>.</w:t>
      </w:r>
      <w:bookmarkEnd w:id="5"/>
      <w:r w:rsidR="00BB05E1">
        <w:rPr>
          <w:rFonts w:asciiTheme="minorHAnsi" w:hAnsiTheme="minorHAnsi" w:cstheme="minorHAnsi"/>
          <w:lang w:val="en-GB"/>
        </w:rPr>
        <w:t xml:space="preserve"> </w:t>
      </w:r>
      <w:r w:rsidR="005007A0" w:rsidRPr="0031203C">
        <w:rPr>
          <w:rFonts w:asciiTheme="minorHAnsi" w:hAnsiTheme="minorHAnsi" w:cstheme="minorHAnsi"/>
          <w:lang w:val="en-GB"/>
        </w:rPr>
        <w:t xml:space="preserve">Captive market sales </w:t>
      </w:r>
      <w:r w:rsidR="005D3C0A">
        <w:rPr>
          <w:rFonts w:asciiTheme="minorHAnsi" w:hAnsiTheme="minorHAnsi" w:cstheme="minorHAnsi"/>
          <w:lang w:val="en-GB"/>
        </w:rPr>
        <w:t xml:space="preserve">was </w:t>
      </w:r>
      <w:r w:rsidR="005007A0" w:rsidRPr="0031203C">
        <w:rPr>
          <w:rFonts w:asciiTheme="minorHAnsi" w:hAnsiTheme="minorHAnsi" w:cstheme="minorHAnsi"/>
          <w:lang w:val="en-GB"/>
        </w:rPr>
        <w:t>higher, with commercial margins under pressure due to government price regulations on domestic market</w:t>
      </w:r>
      <w:r w:rsidR="00223745">
        <w:rPr>
          <w:rFonts w:asciiTheme="minorHAnsi" w:hAnsiTheme="minorHAnsi" w:cstheme="minorHAnsi"/>
          <w:lang w:val="en-GB"/>
        </w:rPr>
        <w:t>.</w:t>
      </w:r>
      <w:r w:rsidR="005007A0" w:rsidRPr="0031203C">
        <w:rPr>
          <w:rFonts w:asciiTheme="minorHAnsi" w:hAnsiTheme="minorHAnsi" w:cstheme="minorHAnsi"/>
          <w:lang w:val="en-GB"/>
        </w:rPr>
        <w:t xml:space="preserve"> </w:t>
      </w:r>
    </w:p>
    <w:p w14:paraId="71BB6A58" w14:textId="77777777" w:rsidR="00BB05E1" w:rsidRDefault="00BB05E1" w:rsidP="00BB05E1">
      <w:pPr>
        <w:spacing w:line="252" w:lineRule="auto"/>
        <w:jc w:val="both"/>
        <w:rPr>
          <w:rFonts w:asciiTheme="minorHAnsi" w:hAnsiTheme="minorHAnsi" w:cstheme="minorHAnsi"/>
          <w:lang w:val="en-GB"/>
        </w:rPr>
      </w:pPr>
    </w:p>
    <w:p w14:paraId="23B3D62C" w14:textId="6D81F08C" w:rsidR="005007A0" w:rsidRDefault="005007A0" w:rsidP="00BB05E1">
      <w:pPr>
        <w:spacing w:line="252" w:lineRule="auto"/>
        <w:jc w:val="both"/>
        <w:rPr>
          <w:rFonts w:asciiTheme="minorHAnsi" w:hAnsiTheme="minorHAnsi" w:cstheme="minorHAnsi"/>
          <w:lang w:val="en-GB"/>
        </w:rPr>
      </w:pPr>
      <w:r w:rsidRPr="0031203C">
        <w:rPr>
          <w:rFonts w:asciiTheme="minorHAnsi" w:hAnsiTheme="minorHAnsi" w:cstheme="minorHAnsi"/>
          <w:lang w:val="en-GB"/>
        </w:rPr>
        <w:t>Total Retail sales volumes amounted to 873 kt in Q1-Q3 2022 which is 8% above the same period of 2021, reflecting improved market conditions due to the COVID restrictions lifting and excellent tourist season and tourist consumption</w:t>
      </w:r>
      <w:r w:rsidR="00223745">
        <w:rPr>
          <w:rFonts w:asciiTheme="minorHAnsi" w:hAnsiTheme="minorHAnsi" w:cstheme="minorHAnsi"/>
          <w:lang w:val="en-GB"/>
        </w:rPr>
        <w:t xml:space="preserve">. </w:t>
      </w:r>
      <w:r w:rsidRPr="0031203C">
        <w:rPr>
          <w:rFonts w:asciiTheme="minorHAnsi" w:hAnsiTheme="minorHAnsi" w:cstheme="minorHAnsi"/>
          <w:lang w:val="en-GB"/>
        </w:rPr>
        <w:t xml:space="preserve">Non-fuel margin increased 17% driven by expanded non-fuel offer, Fresh Corner roll-out and improved sales activities. </w:t>
      </w:r>
      <w:r w:rsidR="00BB05E1">
        <w:rPr>
          <w:rFonts w:asciiTheme="minorHAnsi" w:hAnsiTheme="minorHAnsi" w:cstheme="minorHAnsi"/>
          <w:lang w:val="en-GB"/>
        </w:rPr>
        <w:t xml:space="preserve">INA </w:t>
      </w:r>
      <w:r w:rsidRPr="0031203C">
        <w:rPr>
          <w:rFonts w:asciiTheme="minorHAnsi" w:hAnsiTheme="minorHAnsi" w:cstheme="minorHAnsi"/>
          <w:lang w:val="en-GB"/>
        </w:rPr>
        <w:t>Loyalty program in Croatia surpassed 400</w:t>
      </w:r>
      <w:r w:rsidR="00717D51">
        <w:rPr>
          <w:rFonts w:asciiTheme="minorHAnsi" w:hAnsiTheme="minorHAnsi" w:cstheme="minorHAnsi"/>
          <w:lang w:val="en-GB"/>
        </w:rPr>
        <w:t>,000</w:t>
      </w:r>
      <w:r w:rsidRPr="0031203C">
        <w:rPr>
          <w:rFonts w:asciiTheme="minorHAnsi" w:hAnsiTheme="minorHAnsi" w:cstheme="minorHAnsi"/>
          <w:lang w:val="en-GB"/>
        </w:rPr>
        <w:t xml:space="preserve"> registered members</w:t>
      </w:r>
      <w:r w:rsidR="00BB05E1">
        <w:rPr>
          <w:rFonts w:asciiTheme="minorHAnsi" w:hAnsiTheme="minorHAnsi" w:cstheme="minorHAnsi"/>
          <w:lang w:val="en-GB"/>
        </w:rPr>
        <w:t>.</w:t>
      </w:r>
    </w:p>
    <w:p w14:paraId="61669743" w14:textId="77777777" w:rsidR="00BB05E1" w:rsidRPr="0031203C" w:rsidRDefault="00BB05E1" w:rsidP="00BB05E1">
      <w:pPr>
        <w:spacing w:line="252" w:lineRule="auto"/>
        <w:jc w:val="both"/>
        <w:rPr>
          <w:rFonts w:asciiTheme="minorHAnsi" w:hAnsiTheme="minorHAnsi" w:cstheme="minorHAnsi"/>
          <w:lang w:val="en-GB"/>
        </w:rPr>
      </w:pPr>
    </w:p>
    <w:p w14:paraId="475C6F8E" w14:textId="330C02C7" w:rsidR="005007A0" w:rsidRPr="000D2E38" w:rsidRDefault="005007A0" w:rsidP="00975056">
      <w:pPr>
        <w:spacing w:line="252" w:lineRule="auto"/>
        <w:jc w:val="both"/>
        <w:rPr>
          <w:rFonts w:asciiTheme="minorHAnsi" w:hAnsiTheme="minorHAnsi" w:cstheme="minorHAnsi"/>
          <w:b/>
          <w:bCs/>
          <w:lang w:val="en-GB"/>
        </w:rPr>
      </w:pPr>
      <w:r w:rsidRPr="000D2E38">
        <w:rPr>
          <w:rFonts w:asciiTheme="minorHAnsi" w:hAnsiTheme="minorHAnsi" w:cstheme="minorHAnsi"/>
          <w:b/>
          <w:bCs/>
          <w:lang w:val="en-GB"/>
        </w:rPr>
        <w:t>Refining and Marketing CAPEX amounted to HRK 1</w:t>
      </w:r>
      <w:r w:rsidR="008A04B2" w:rsidRPr="000D2E38">
        <w:rPr>
          <w:rFonts w:asciiTheme="minorHAnsi" w:hAnsiTheme="minorHAnsi" w:cstheme="minorHAnsi"/>
          <w:b/>
          <w:bCs/>
          <w:lang w:val="en-GB"/>
        </w:rPr>
        <w:t>.</w:t>
      </w:r>
      <w:r w:rsidRPr="000D2E38">
        <w:rPr>
          <w:rFonts w:asciiTheme="minorHAnsi" w:hAnsiTheme="minorHAnsi" w:cstheme="minorHAnsi"/>
          <w:b/>
          <w:bCs/>
          <w:lang w:val="en-GB"/>
        </w:rPr>
        <w:t xml:space="preserve">3 </w:t>
      </w:r>
      <w:r w:rsidR="008E16CD" w:rsidRPr="000D2E38">
        <w:rPr>
          <w:rFonts w:asciiTheme="minorHAnsi" w:hAnsiTheme="minorHAnsi" w:cstheme="minorHAnsi"/>
          <w:b/>
          <w:bCs/>
          <w:lang w:val="en-GB"/>
        </w:rPr>
        <w:t>b</w:t>
      </w:r>
      <w:r w:rsidRPr="000D2E38">
        <w:rPr>
          <w:rFonts w:asciiTheme="minorHAnsi" w:hAnsiTheme="minorHAnsi" w:cstheme="minorHAnsi"/>
          <w:b/>
          <w:bCs/>
          <w:lang w:val="en-GB"/>
        </w:rPr>
        <w:t xml:space="preserve">illion: </w:t>
      </w:r>
    </w:p>
    <w:p w14:paraId="403069EF" w14:textId="4ACBAFB3" w:rsidR="005007A0" w:rsidRPr="0031203C" w:rsidRDefault="005007A0" w:rsidP="006106CE">
      <w:pPr>
        <w:pStyle w:val="ListParagraph"/>
        <w:numPr>
          <w:ilvl w:val="1"/>
          <w:numId w:val="16"/>
        </w:numPr>
        <w:contextualSpacing w:val="0"/>
        <w:jc w:val="both"/>
        <w:rPr>
          <w:rFonts w:asciiTheme="minorHAnsi" w:hAnsiTheme="minorHAnsi" w:cstheme="minorHAnsi"/>
          <w:lang w:val="en-GB"/>
        </w:rPr>
      </w:pPr>
      <w:r w:rsidRPr="0031203C">
        <w:rPr>
          <w:rFonts w:asciiTheme="minorHAnsi" w:hAnsiTheme="minorHAnsi" w:cstheme="minorHAnsi"/>
          <w:lang w:val="en-GB"/>
        </w:rPr>
        <w:t xml:space="preserve">Rijeka Refinery Upgrade Project - all equipment ordered and main subcontractors signed. Equipment and Long Lead Items are delivered in line with construction needs. Heavy equipment lifted on Coke Drum Structure, works on DCU continued with focus on Coke Pit and </w:t>
      </w:r>
      <w:bookmarkStart w:id="6" w:name="_Hlk116484985"/>
      <w:r w:rsidRPr="0031203C">
        <w:rPr>
          <w:rFonts w:asciiTheme="minorHAnsi" w:hAnsiTheme="minorHAnsi" w:cstheme="minorHAnsi"/>
          <w:lang w:val="en-GB"/>
        </w:rPr>
        <w:t>Steel Structures lifting</w:t>
      </w:r>
      <w:bookmarkEnd w:id="6"/>
      <w:r w:rsidRPr="0031203C">
        <w:rPr>
          <w:rFonts w:asciiTheme="minorHAnsi" w:hAnsiTheme="minorHAnsi" w:cstheme="minorHAnsi"/>
          <w:lang w:val="en-GB"/>
        </w:rPr>
        <w:t xml:space="preserve">. Coke Port connected with the land. Hydrocracker revamp, new Sulphur Recovery </w:t>
      </w:r>
      <w:r w:rsidR="00A475B0" w:rsidRPr="0031203C">
        <w:rPr>
          <w:rFonts w:asciiTheme="minorHAnsi" w:hAnsiTheme="minorHAnsi" w:cstheme="minorHAnsi"/>
          <w:lang w:val="en-GB"/>
        </w:rPr>
        <w:t>Unit,</w:t>
      </w:r>
      <w:r w:rsidRPr="0031203C">
        <w:rPr>
          <w:rFonts w:asciiTheme="minorHAnsi" w:hAnsiTheme="minorHAnsi" w:cstheme="minorHAnsi"/>
          <w:lang w:val="en-GB"/>
        </w:rPr>
        <w:t xml:space="preserve"> and pipeline connection points in focus to be ready for Refinery Shutdown in 2023. The 110kV powerline and substation in test works</w:t>
      </w:r>
      <w:r w:rsidR="00D733A7">
        <w:rPr>
          <w:rFonts w:asciiTheme="minorHAnsi" w:hAnsiTheme="minorHAnsi" w:cstheme="minorHAnsi"/>
          <w:lang w:val="en-GB"/>
        </w:rPr>
        <w:t>.</w:t>
      </w:r>
      <w:r w:rsidRPr="0031203C">
        <w:rPr>
          <w:rFonts w:asciiTheme="minorHAnsi" w:hAnsiTheme="minorHAnsi" w:cstheme="minorHAnsi"/>
          <w:lang w:val="en-GB"/>
        </w:rPr>
        <w:t xml:space="preserve"> </w:t>
      </w:r>
    </w:p>
    <w:p w14:paraId="31A586C4" w14:textId="176A77B5" w:rsidR="005007A0" w:rsidRPr="0031203C" w:rsidRDefault="005007A0" w:rsidP="006106CE">
      <w:pPr>
        <w:pStyle w:val="ListParagraph"/>
        <w:numPr>
          <w:ilvl w:val="1"/>
          <w:numId w:val="16"/>
        </w:numPr>
        <w:spacing w:line="252" w:lineRule="auto"/>
        <w:contextualSpacing w:val="0"/>
        <w:jc w:val="both"/>
        <w:rPr>
          <w:rFonts w:asciiTheme="minorHAnsi" w:hAnsiTheme="minorHAnsi" w:cstheme="minorHAnsi"/>
          <w:lang w:val="en-GB"/>
        </w:rPr>
      </w:pPr>
      <w:r w:rsidRPr="0031203C">
        <w:rPr>
          <w:rFonts w:asciiTheme="minorHAnsi" w:hAnsiTheme="minorHAnsi" w:cstheme="minorHAnsi"/>
          <w:lang w:val="en-GB"/>
        </w:rPr>
        <w:t xml:space="preserve">CDU energy efficiency upgrade project - Main design completed and submitted for obtaining Building permit. </w:t>
      </w:r>
    </w:p>
    <w:p w14:paraId="4F19BC29" w14:textId="77777777" w:rsidR="00C1594F" w:rsidRDefault="00C1594F" w:rsidP="000233FE">
      <w:pPr>
        <w:spacing w:line="252" w:lineRule="auto"/>
        <w:jc w:val="both"/>
        <w:rPr>
          <w:rFonts w:asciiTheme="minorHAnsi" w:hAnsiTheme="minorHAnsi" w:cstheme="minorHAnsi"/>
          <w:lang w:val="en-GB"/>
        </w:rPr>
      </w:pPr>
    </w:p>
    <w:p w14:paraId="240E4597" w14:textId="77777777" w:rsidR="00C1594F" w:rsidRDefault="00C1594F" w:rsidP="000233FE">
      <w:pPr>
        <w:spacing w:line="252" w:lineRule="auto"/>
        <w:jc w:val="both"/>
        <w:rPr>
          <w:rFonts w:asciiTheme="minorHAnsi" w:hAnsiTheme="minorHAnsi" w:cstheme="minorHAnsi"/>
          <w:lang w:val="en-GB"/>
        </w:rPr>
      </w:pPr>
    </w:p>
    <w:p w14:paraId="3D50222F" w14:textId="1B9B1A96" w:rsidR="00761DC2" w:rsidRPr="0031203C" w:rsidRDefault="005007A0" w:rsidP="000233FE">
      <w:pPr>
        <w:spacing w:line="252" w:lineRule="auto"/>
        <w:jc w:val="both"/>
        <w:rPr>
          <w:rFonts w:asciiTheme="minorHAnsi" w:hAnsiTheme="minorHAnsi" w:cstheme="minorHAnsi"/>
          <w:b/>
          <w:lang w:val="en-GB"/>
        </w:rPr>
      </w:pPr>
      <w:r w:rsidRPr="0031203C">
        <w:rPr>
          <w:rFonts w:asciiTheme="minorHAnsi" w:hAnsiTheme="minorHAnsi" w:cstheme="minorHAnsi"/>
          <w:lang w:val="en-GB"/>
        </w:rPr>
        <w:lastRenderedPageBreak/>
        <w:t xml:space="preserve">Consumer Services and Retail capital investments amounted to HRK 66.2 million in Q1-Q3 2022 with focus on service station modernization and continued roll-out of Fresh Corner concept, which is present at 132 </w:t>
      </w:r>
      <w:r w:rsidR="006D001E">
        <w:rPr>
          <w:rFonts w:asciiTheme="minorHAnsi" w:hAnsiTheme="minorHAnsi" w:cstheme="minorHAnsi"/>
          <w:lang w:val="en-GB"/>
        </w:rPr>
        <w:t xml:space="preserve">INA Group </w:t>
      </w:r>
      <w:r w:rsidRPr="0031203C">
        <w:rPr>
          <w:rFonts w:asciiTheme="minorHAnsi" w:hAnsiTheme="minorHAnsi" w:cstheme="minorHAnsi"/>
          <w:lang w:val="en-GB"/>
        </w:rPr>
        <w:t>service stations</w:t>
      </w:r>
      <w:r w:rsidR="00B720CE">
        <w:rPr>
          <w:rFonts w:asciiTheme="minorHAnsi" w:hAnsiTheme="minorHAnsi" w:cstheme="minorHAnsi"/>
          <w:lang w:val="en-GB"/>
        </w:rPr>
        <w:t>.</w:t>
      </w:r>
    </w:p>
    <w:p w14:paraId="0FF065B4" w14:textId="77777777" w:rsidR="006D62BF" w:rsidRDefault="006D62BF" w:rsidP="001B7CDD">
      <w:pPr>
        <w:spacing w:line="360" w:lineRule="auto"/>
        <w:jc w:val="both"/>
        <w:rPr>
          <w:rFonts w:asciiTheme="minorHAnsi" w:hAnsiTheme="minorHAnsi" w:cstheme="minorHAnsi"/>
          <w:lang w:val="en-GB"/>
        </w:rPr>
      </w:pPr>
    </w:p>
    <w:p w14:paraId="2FE57887" w14:textId="434A2EC0" w:rsidR="007521DD" w:rsidRPr="007521DD" w:rsidRDefault="007521DD" w:rsidP="001B7CDD">
      <w:pPr>
        <w:spacing w:line="360" w:lineRule="auto"/>
        <w:jc w:val="both"/>
        <w:rPr>
          <w:rFonts w:asciiTheme="minorHAnsi" w:hAnsiTheme="minorHAnsi" w:cstheme="minorHAnsi"/>
          <w:sz w:val="18"/>
          <w:szCs w:val="18"/>
          <w:lang w:val="en-GB"/>
        </w:rPr>
        <w:sectPr w:rsidR="007521DD" w:rsidRPr="007521DD" w:rsidSect="00621EAF">
          <w:type w:val="continuous"/>
          <w:pgSz w:w="11906" w:h="16838"/>
          <w:pgMar w:top="1417" w:right="1417" w:bottom="1417" w:left="1417" w:header="708" w:footer="708" w:gutter="0"/>
          <w:cols w:space="708"/>
          <w:docGrid w:linePitch="360"/>
        </w:sectPr>
      </w:pPr>
    </w:p>
    <w:p w14:paraId="093C2856" w14:textId="0AC124FD" w:rsidR="003E0A2F" w:rsidRPr="00A53014" w:rsidRDefault="00EA3FEA" w:rsidP="001B7CDD">
      <w:pPr>
        <w:spacing w:line="360" w:lineRule="auto"/>
        <w:jc w:val="both"/>
        <w:rPr>
          <w:rFonts w:asciiTheme="minorHAnsi" w:hAnsiTheme="minorHAnsi" w:cstheme="minorHAnsi"/>
          <w:sz w:val="12"/>
          <w:szCs w:val="12"/>
          <w:lang w:val="en-GB"/>
        </w:rPr>
      </w:pPr>
      <w:r>
        <w:rPr>
          <w:rFonts w:asciiTheme="minorHAnsi" w:hAnsiTheme="minorHAnsi" w:cstheme="minorHAnsi"/>
          <w:noProof/>
          <w:sz w:val="12"/>
          <w:szCs w:val="12"/>
          <w:lang w:val="en-GB"/>
        </w:rPr>
        <w:drawing>
          <wp:inline distT="0" distB="0" distL="0" distR="0" wp14:anchorId="5BB18098" wp14:editId="3E212757">
            <wp:extent cx="2347415" cy="1812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3059" cy="1824818"/>
                    </a:xfrm>
                    <a:prstGeom prst="rect">
                      <a:avLst/>
                    </a:prstGeom>
                    <a:noFill/>
                  </pic:spPr>
                </pic:pic>
              </a:graphicData>
            </a:graphic>
          </wp:inline>
        </w:drawing>
      </w:r>
      <w:r w:rsidR="003D2D55">
        <w:rPr>
          <w:rFonts w:asciiTheme="minorHAnsi" w:hAnsiTheme="minorHAnsi" w:cstheme="minorHAnsi"/>
          <w:noProof/>
          <w:lang w:val="en-GB"/>
        </w:rPr>
        <w:drawing>
          <wp:inline distT="0" distB="0" distL="0" distR="0" wp14:anchorId="32382EA5" wp14:editId="178EA522">
            <wp:extent cx="2487130" cy="1931159"/>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5581" cy="1937721"/>
                    </a:xfrm>
                    <a:prstGeom prst="rect">
                      <a:avLst/>
                    </a:prstGeom>
                    <a:noFill/>
                  </pic:spPr>
                </pic:pic>
              </a:graphicData>
            </a:graphic>
          </wp:inline>
        </w:drawing>
      </w:r>
    </w:p>
    <w:p w14:paraId="0E35FD98" w14:textId="5224D12E" w:rsidR="002837F5" w:rsidRPr="0031203C" w:rsidRDefault="0057609B" w:rsidP="001B7CDD">
      <w:pPr>
        <w:spacing w:line="360" w:lineRule="auto"/>
        <w:jc w:val="both"/>
        <w:rPr>
          <w:rFonts w:asciiTheme="minorHAnsi" w:hAnsiTheme="minorHAnsi" w:cstheme="minorHAnsi"/>
          <w:lang w:val="en-GB"/>
        </w:rPr>
      </w:pPr>
      <w:r>
        <w:rPr>
          <w:rFonts w:asciiTheme="minorHAnsi" w:hAnsiTheme="minorHAnsi" w:cstheme="minorHAnsi"/>
          <w:noProof/>
          <w:lang w:val="en-GB"/>
        </w:rPr>
        <w:drawing>
          <wp:inline distT="0" distB="0" distL="0" distR="0" wp14:anchorId="2BE0066A" wp14:editId="75A7FEE5">
            <wp:extent cx="2531072" cy="196527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7752" cy="1970464"/>
                    </a:xfrm>
                    <a:prstGeom prst="rect">
                      <a:avLst/>
                    </a:prstGeom>
                    <a:noFill/>
                  </pic:spPr>
                </pic:pic>
              </a:graphicData>
            </a:graphic>
          </wp:inline>
        </w:drawing>
      </w:r>
      <w:r w:rsidR="003D2D55">
        <w:rPr>
          <w:rFonts w:asciiTheme="minorHAnsi" w:hAnsiTheme="minorHAnsi" w:cstheme="minorHAnsi"/>
          <w:noProof/>
          <w:lang w:val="en-GB"/>
        </w:rPr>
        <w:drawing>
          <wp:inline distT="0" distB="0" distL="0" distR="0" wp14:anchorId="79B59942" wp14:editId="1F3DD00F">
            <wp:extent cx="2210937" cy="171670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5613" cy="1735864"/>
                    </a:xfrm>
                    <a:prstGeom prst="rect">
                      <a:avLst/>
                    </a:prstGeom>
                    <a:noFill/>
                  </pic:spPr>
                </pic:pic>
              </a:graphicData>
            </a:graphic>
          </wp:inline>
        </w:drawing>
      </w:r>
    </w:p>
    <w:p w14:paraId="4859BD1C" w14:textId="3682BD7C" w:rsidR="00F02807" w:rsidRPr="0031203C" w:rsidRDefault="00F02807" w:rsidP="00C0068C">
      <w:pPr>
        <w:spacing w:line="360" w:lineRule="auto"/>
        <w:jc w:val="center"/>
        <w:rPr>
          <w:rFonts w:asciiTheme="minorHAnsi" w:hAnsiTheme="minorHAnsi" w:cstheme="minorHAnsi"/>
          <w:lang w:val="en-GB"/>
        </w:rPr>
      </w:pPr>
    </w:p>
    <w:p w14:paraId="114DAB63" w14:textId="77777777" w:rsidR="008C6D6F" w:rsidRPr="00A53014" w:rsidRDefault="008C6D6F" w:rsidP="000233FE">
      <w:pPr>
        <w:spacing w:line="360" w:lineRule="auto"/>
        <w:rPr>
          <w:rFonts w:asciiTheme="minorHAnsi" w:hAnsiTheme="minorHAnsi" w:cstheme="minorHAnsi"/>
          <w:sz w:val="12"/>
          <w:szCs w:val="12"/>
          <w:lang w:val="en-GB"/>
        </w:rPr>
        <w:sectPr w:rsidR="008C6D6F" w:rsidRPr="00A53014" w:rsidSect="008C6D6F">
          <w:type w:val="continuous"/>
          <w:pgSz w:w="11906" w:h="16838"/>
          <w:pgMar w:top="1417" w:right="1417" w:bottom="1417" w:left="1417" w:header="708" w:footer="708" w:gutter="0"/>
          <w:cols w:num="2" w:space="708"/>
          <w:docGrid w:linePitch="360"/>
        </w:sectPr>
      </w:pPr>
    </w:p>
    <w:bookmarkEnd w:id="1"/>
    <w:p w14:paraId="2FFA9BE7" w14:textId="3B170656" w:rsidR="008C6D6F" w:rsidRDefault="00453C86" w:rsidP="00C324EC">
      <w:pPr>
        <w:jc w:val="both"/>
        <w:rPr>
          <w:rFonts w:asciiTheme="minorHAnsi" w:hAnsiTheme="minorHAnsi" w:cstheme="minorHAnsi"/>
          <w:lang w:val="en-GB"/>
        </w:rPr>
      </w:pPr>
      <w:r w:rsidRPr="0031203C">
        <w:rPr>
          <w:rFonts w:asciiTheme="minorHAnsi" w:hAnsiTheme="minorHAnsi" w:cstheme="minorHAnsi"/>
          <w:lang w:val="en-GB"/>
        </w:rPr>
        <w:t xml:space="preserve">INA Group </w:t>
      </w:r>
      <w:r w:rsidR="00E55F85" w:rsidRPr="0031203C">
        <w:rPr>
          <w:rFonts w:asciiTheme="minorHAnsi" w:hAnsiTheme="minorHAnsi" w:cstheme="minorHAnsi"/>
          <w:lang w:val="en-GB"/>
        </w:rPr>
        <w:t>n</w:t>
      </w:r>
      <w:r w:rsidR="007711E3" w:rsidRPr="0031203C">
        <w:rPr>
          <w:rFonts w:asciiTheme="minorHAnsi" w:hAnsiTheme="minorHAnsi" w:cstheme="minorHAnsi"/>
          <w:lang w:val="en-GB"/>
        </w:rPr>
        <w:t xml:space="preserve">et gearing amounted to </w:t>
      </w:r>
      <w:r w:rsidR="00E80D63" w:rsidRPr="0031203C">
        <w:rPr>
          <w:rFonts w:asciiTheme="minorHAnsi" w:hAnsiTheme="minorHAnsi" w:cstheme="minorHAnsi"/>
          <w:lang w:val="en-GB"/>
        </w:rPr>
        <w:t>1</w:t>
      </w:r>
      <w:r w:rsidR="00221EC5">
        <w:rPr>
          <w:rFonts w:asciiTheme="minorHAnsi" w:hAnsiTheme="minorHAnsi" w:cstheme="minorHAnsi"/>
          <w:lang w:val="en-GB"/>
        </w:rPr>
        <w:t>3</w:t>
      </w:r>
      <w:r w:rsidR="007711E3" w:rsidRPr="0031203C">
        <w:rPr>
          <w:rFonts w:asciiTheme="minorHAnsi" w:hAnsiTheme="minorHAnsi" w:cstheme="minorHAnsi"/>
          <w:lang w:val="en-GB"/>
        </w:rPr>
        <w:t>.</w:t>
      </w:r>
      <w:r w:rsidR="00221EC5">
        <w:rPr>
          <w:rFonts w:asciiTheme="minorHAnsi" w:hAnsiTheme="minorHAnsi" w:cstheme="minorHAnsi"/>
          <w:lang w:val="en-GB"/>
        </w:rPr>
        <w:t>1</w:t>
      </w:r>
      <w:r w:rsidR="007711E3" w:rsidRPr="0031203C">
        <w:rPr>
          <w:rFonts w:asciiTheme="minorHAnsi" w:hAnsiTheme="minorHAnsi" w:cstheme="minorHAnsi"/>
          <w:lang w:val="en-GB"/>
        </w:rPr>
        <w:t xml:space="preserve">%, whilst net debt </w:t>
      </w:r>
      <w:r w:rsidR="00E80D63" w:rsidRPr="0031203C">
        <w:rPr>
          <w:rFonts w:asciiTheme="minorHAnsi" w:hAnsiTheme="minorHAnsi" w:cstheme="minorHAnsi"/>
          <w:lang w:val="en-GB"/>
        </w:rPr>
        <w:t>in</w:t>
      </w:r>
      <w:r w:rsidR="00A223F1" w:rsidRPr="0031203C">
        <w:rPr>
          <w:rFonts w:asciiTheme="minorHAnsi" w:hAnsiTheme="minorHAnsi" w:cstheme="minorHAnsi"/>
          <w:lang w:val="en-GB"/>
        </w:rPr>
        <w:t>creased to</w:t>
      </w:r>
      <w:r w:rsidR="007711E3" w:rsidRPr="0031203C">
        <w:rPr>
          <w:rFonts w:asciiTheme="minorHAnsi" w:hAnsiTheme="minorHAnsi" w:cstheme="minorHAnsi"/>
          <w:lang w:val="en-GB"/>
        </w:rPr>
        <w:t xml:space="preserve"> HRK </w:t>
      </w:r>
      <w:r w:rsidR="00C324EC">
        <w:rPr>
          <w:rFonts w:asciiTheme="minorHAnsi" w:hAnsiTheme="minorHAnsi" w:cstheme="minorHAnsi"/>
          <w:lang w:val="en-GB"/>
        </w:rPr>
        <w:t>1</w:t>
      </w:r>
      <w:r w:rsidR="00BC24F7" w:rsidRPr="0031203C">
        <w:rPr>
          <w:rFonts w:asciiTheme="minorHAnsi" w:hAnsiTheme="minorHAnsi" w:cstheme="minorHAnsi"/>
          <w:lang w:val="en-GB"/>
        </w:rPr>
        <w:t>.</w:t>
      </w:r>
      <w:r w:rsidR="00C324EC">
        <w:rPr>
          <w:rFonts w:asciiTheme="minorHAnsi" w:hAnsiTheme="minorHAnsi" w:cstheme="minorHAnsi"/>
          <w:lang w:val="en-GB"/>
        </w:rPr>
        <w:t>9</w:t>
      </w:r>
      <w:r w:rsidR="007711E3" w:rsidRPr="0031203C">
        <w:rPr>
          <w:rFonts w:asciiTheme="minorHAnsi" w:hAnsiTheme="minorHAnsi" w:cstheme="minorHAnsi"/>
          <w:lang w:val="en-GB"/>
        </w:rPr>
        <w:t xml:space="preserve"> </w:t>
      </w:r>
      <w:r w:rsidR="00BC24F7" w:rsidRPr="0031203C">
        <w:rPr>
          <w:rFonts w:asciiTheme="minorHAnsi" w:hAnsiTheme="minorHAnsi" w:cstheme="minorHAnsi"/>
          <w:lang w:val="en-GB"/>
        </w:rPr>
        <w:t>b</w:t>
      </w:r>
      <w:r w:rsidR="007711E3" w:rsidRPr="0031203C">
        <w:rPr>
          <w:rFonts w:asciiTheme="minorHAnsi" w:hAnsiTheme="minorHAnsi" w:cstheme="minorHAnsi"/>
          <w:lang w:val="en-GB"/>
        </w:rPr>
        <w:t>illion</w:t>
      </w:r>
      <w:r w:rsidR="00C324EC">
        <w:rPr>
          <w:rFonts w:asciiTheme="minorHAnsi" w:hAnsiTheme="minorHAnsi" w:cstheme="minorHAnsi"/>
          <w:lang w:val="en-GB"/>
        </w:rPr>
        <w:t xml:space="preserve"> compared to the same period last year</w:t>
      </w:r>
      <w:r w:rsidR="007711E3" w:rsidRPr="0031203C">
        <w:rPr>
          <w:rFonts w:asciiTheme="minorHAnsi" w:hAnsiTheme="minorHAnsi" w:cstheme="minorHAnsi"/>
          <w:lang w:val="en-GB"/>
        </w:rPr>
        <w:t>.</w:t>
      </w:r>
    </w:p>
    <w:p w14:paraId="16EBD45D" w14:textId="3C3BA710" w:rsidR="001A7C4A" w:rsidRPr="0031203C" w:rsidRDefault="001A7C4A" w:rsidP="00286848">
      <w:pPr>
        <w:spacing w:line="360" w:lineRule="auto"/>
        <w:jc w:val="both"/>
        <w:rPr>
          <w:rFonts w:asciiTheme="minorHAnsi" w:hAnsiTheme="minorHAnsi" w:cstheme="minorHAnsi"/>
          <w:lang w:val="en-GB"/>
        </w:rPr>
        <w:sectPr w:rsidR="001A7C4A" w:rsidRPr="0031203C" w:rsidSect="00621EAF">
          <w:type w:val="continuous"/>
          <w:pgSz w:w="11906" w:h="16838"/>
          <w:pgMar w:top="1417" w:right="1417" w:bottom="1417" w:left="1417" w:header="708" w:footer="708" w:gutter="0"/>
          <w:cols w:space="708"/>
          <w:docGrid w:linePitch="360"/>
        </w:sectPr>
      </w:pPr>
    </w:p>
    <w:p w14:paraId="31FBF9ED" w14:textId="1643DB7C" w:rsidR="002837F5" w:rsidRPr="00A53014" w:rsidRDefault="00E73AF4" w:rsidP="00C0068C">
      <w:pPr>
        <w:spacing w:line="360" w:lineRule="auto"/>
        <w:jc w:val="center"/>
        <w:rPr>
          <w:rFonts w:asciiTheme="minorHAnsi" w:hAnsiTheme="minorHAnsi" w:cstheme="minorHAnsi"/>
          <w:noProof/>
          <w:sz w:val="12"/>
          <w:szCs w:val="12"/>
          <w:lang w:val="en-GB" w:eastAsia="hr-HR"/>
        </w:rPr>
      </w:pPr>
      <w:r>
        <w:rPr>
          <w:rFonts w:asciiTheme="minorHAnsi" w:hAnsiTheme="minorHAnsi" w:cstheme="minorHAnsi"/>
          <w:noProof/>
          <w:lang w:val="en-GB" w:eastAsia="hr-HR"/>
        </w:rPr>
        <w:drawing>
          <wp:inline distT="0" distB="0" distL="0" distR="0" wp14:anchorId="2F1B66F0" wp14:editId="471A2F44">
            <wp:extent cx="2408830" cy="185557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7916" cy="1870275"/>
                    </a:xfrm>
                    <a:prstGeom prst="rect">
                      <a:avLst/>
                    </a:prstGeom>
                    <a:noFill/>
                  </pic:spPr>
                </pic:pic>
              </a:graphicData>
            </a:graphic>
          </wp:inline>
        </w:drawing>
      </w:r>
    </w:p>
    <w:p w14:paraId="2AFC750A" w14:textId="2FC8829B" w:rsidR="00130434" w:rsidRPr="0031203C" w:rsidRDefault="00130434" w:rsidP="00C0068C">
      <w:pPr>
        <w:spacing w:line="360" w:lineRule="auto"/>
        <w:jc w:val="center"/>
        <w:rPr>
          <w:rFonts w:asciiTheme="minorHAnsi" w:hAnsiTheme="minorHAnsi" w:cstheme="minorHAnsi"/>
          <w:noProof/>
          <w:sz w:val="8"/>
          <w:szCs w:val="8"/>
          <w:lang w:val="en-GB" w:eastAsia="hr-HR"/>
        </w:rPr>
      </w:pPr>
    </w:p>
    <w:p w14:paraId="703EAFA6" w14:textId="6B178544" w:rsidR="008C6D6F" w:rsidRPr="0031203C" w:rsidRDefault="00E73AF4" w:rsidP="00286848">
      <w:pPr>
        <w:spacing w:line="360" w:lineRule="auto"/>
        <w:jc w:val="center"/>
        <w:rPr>
          <w:rFonts w:asciiTheme="minorHAnsi" w:hAnsiTheme="minorHAnsi" w:cstheme="minorHAnsi"/>
          <w:noProof/>
          <w:lang w:val="en-GB" w:eastAsia="hr-HR"/>
        </w:rPr>
        <w:sectPr w:rsidR="008C6D6F" w:rsidRPr="0031203C" w:rsidSect="008C6D6F">
          <w:type w:val="continuous"/>
          <w:pgSz w:w="11906" w:h="16838"/>
          <w:pgMar w:top="1417" w:right="1417" w:bottom="1417" w:left="1417" w:header="708" w:footer="708" w:gutter="0"/>
          <w:cols w:num="2" w:space="708"/>
          <w:docGrid w:linePitch="360"/>
        </w:sectPr>
      </w:pPr>
      <w:r>
        <w:rPr>
          <w:rFonts w:asciiTheme="minorHAnsi" w:hAnsiTheme="minorHAnsi" w:cstheme="minorHAnsi"/>
          <w:noProof/>
          <w:lang w:val="en-GB" w:eastAsia="hr-HR"/>
        </w:rPr>
        <w:drawing>
          <wp:inline distT="0" distB="0" distL="0" distR="0" wp14:anchorId="1A6038E9" wp14:editId="145F89B7">
            <wp:extent cx="2231409" cy="17231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5093" cy="1741444"/>
                    </a:xfrm>
                    <a:prstGeom prst="rect">
                      <a:avLst/>
                    </a:prstGeom>
                    <a:noFill/>
                  </pic:spPr>
                </pic:pic>
              </a:graphicData>
            </a:graphic>
          </wp:inline>
        </w:drawing>
      </w:r>
    </w:p>
    <w:p w14:paraId="6B395DDF" w14:textId="77777777" w:rsidR="0051395B" w:rsidRPr="0031203C" w:rsidRDefault="0051395B" w:rsidP="00A53014">
      <w:pPr>
        <w:rPr>
          <w:lang w:val="en-GB"/>
        </w:rPr>
      </w:pPr>
    </w:p>
    <w:sectPr w:rsidR="0051395B" w:rsidRPr="0031203C" w:rsidSect="00621EA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B131" w14:textId="77777777" w:rsidR="0088215D" w:rsidRDefault="0088215D" w:rsidP="00A07306">
      <w:r>
        <w:separator/>
      </w:r>
    </w:p>
  </w:endnote>
  <w:endnote w:type="continuationSeparator" w:id="0">
    <w:p w14:paraId="1C7CE2B8" w14:textId="77777777" w:rsidR="0088215D" w:rsidRDefault="0088215D" w:rsidP="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gridCol w:w="222"/>
      <w:gridCol w:w="222"/>
      <w:gridCol w:w="222"/>
      <w:gridCol w:w="222"/>
    </w:tblGrid>
    <w:tr w:rsidR="003E20D9" w:rsidRPr="002B598A" w14:paraId="6A9EE73E" w14:textId="77777777" w:rsidTr="0098776B">
      <w:trPr>
        <w:cantSplit/>
        <w:trHeight w:val="181"/>
      </w:trPr>
      <w:tc>
        <w:tcPr>
          <w:tcW w:w="1998" w:type="dxa"/>
          <w:vMerge w:val="restart"/>
          <w:tcBorders>
            <w:top w:val="single" w:sz="4" w:space="0" w:color="auto"/>
            <w:left w:val="nil"/>
            <w:right w:val="nil"/>
          </w:tcBorders>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F216F2" w:rsidRPr="00713B78" w14:paraId="392E5BE3" w14:textId="77777777" w:rsidTr="00D50296">
            <w:trPr>
              <w:cantSplit/>
              <w:trHeight w:val="181"/>
            </w:trPr>
            <w:tc>
              <w:tcPr>
                <w:tcW w:w="1701" w:type="dxa"/>
                <w:vMerge w:val="restart"/>
                <w:tcBorders>
                  <w:top w:val="single" w:sz="4" w:space="0" w:color="auto"/>
                  <w:left w:val="nil"/>
                  <w:right w:val="nil"/>
                </w:tcBorders>
              </w:tcPr>
              <w:p w14:paraId="50B83C17" w14:textId="77777777" w:rsidR="00F216F2" w:rsidRDefault="00F216F2" w:rsidP="00F216F2">
                <w:pPr>
                  <w:pStyle w:val="Footer"/>
                  <w:spacing w:before="20" w:after="20"/>
                  <w:rPr>
                    <w:rFonts w:cs="Arial"/>
                    <w:b/>
                    <w:bCs/>
                    <w:sz w:val="14"/>
                    <w:szCs w:val="14"/>
                  </w:rPr>
                </w:pPr>
              </w:p>
              <w:p w14:paraId="46E61C8A" w14:textId="77777777" w:rsidR="00F216F2" w:rsidRPr="002B598A" w:rsidRDefault="00F216F2" w:rsidP="00F216F2">
                <w:pPr>
                  <w:pStyle w:val="Footer"/>
                  <w:spacing w:before="20" w:after="20"/>
                  <w:rPr>
                    <w:rFonts w:cs="Arial"/>
                    <w:b/>
                    <w:bCs/>
                    <w:sz w:val="14"/>
                    <w:szCs w:val="14"/>
                  </w:rPr>
                </w:pPr>
                <w:r w:rsidRPr="002B598A">
                  <w:rPr>
                    <w:rFonts w:cs="Arial"/>
                    <w:b/>
                    <w:bCs/>
                    <w:sz w:val="14"/>
                    <w:szCs w:val="14"/>
                  </w:rPr>
                  <w:t>INA, d.d.</w:t>
                </w:r>
              </w:p>
              <w:p w14:paraId="04E1C057" w14:textId="77777777" w:rsidR="00F216F2" w:rsidRPr="002B598A" w:rsidRDefault="00F216F2" w:rsidP="00F216F2">
                <w:pPr>
                  <w:pStyle w:val="Footer"/>
                  <w:rPr>
                    <w:rFonts w:cs="Arial"/>
                    <w:sz w:val="11"/>
                    <w:szCs w:val="11"/>
                  </w:rPr>
                </w:pPr>
                <w:r w:rsidRPr="002B598A">
                  <w:rPr>
                    <w:rFonts w:cs="Arial"/>
                    <w:sz w:val="11"/>
                    <w:szCs w:val="11"/>
                  </w:rPr>
                  <w:t xml:space="preserve">Avenija Većeslava Holjevca 10 </w:t>
                </w:r>
              </w:p>
              <w:p w14:paraId="639C73CA" w14:textId="77777777" w:rsidR="00F216F2" w:rsidRPr="002B598A" w:rsidRDefault="00F216F2" w:rsidP="00F216F2">
                <w:pPr>
                  <w:pStyle w:val="Footer"/>
                  <w:rPr>
                    <w:rFonts w:cs="Arial"/>
                    <w:sz w:val="11"/>
                    <w:szCs w:val="11"/>
                  </w:rPr>
                </w:pPr>
                <w:r w:rsidRPr="002B598A">
                  <w:rPr>
                    <w:rFonts w:cs="Arial"/>
                    <w:sz w:val="11"/>
                    <w:szCs w:val="11"/>
                  </w:rPr>
                  <w:t>10 002 Zagreb    p.p. 555</w:t>
                </w:r>
              </w:p>
              <w:p w14:paraId="0412F057" w14:textId="77777777" w:rsidR="00F216F2" w:rsidRDefault="00F216F2" w:rsidP="00F216F2">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659AF8EB" w14:textId="77777777" w:rsidR="00F216F2" w:rsidRPr="00B871AD" w:rsidRDefault="00F216F2" w:rsidP="00F216F2">
                <w:pPr>
                  <w:pStyle w:val="Footer"/>
                  <w:rPr>
                    <w:rFonts w:cs="Arial"/>
                    <w:sz w:val="11"/>
                    <w:szCs w:val="11"/>
                  </w:rPr>
                </w:pPr>
                <w:r w:rsidRPr="00B871AD">
                  <w:rPr>
                    <w:sz w:val="11"/>
                    <w:szCs w:val="11"/>
                  </w:rPr>
                  <w:t>BIC (SWIFT): INAHHR22</w:t>
                </w:r>
              </w:p>
              <w:p w14:paraId="054C3BDF" w14:textId="77777777" w:rsidR="00F216F2" w:rsidRPr="002B598A" w:rsidRDefault="00F216F2" w:rsidP="00F216F2">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proofErr w:type="spellStart"/>
                <w:r w:rsidRPr="002B598A">
                  <w:rPr>
                    <w:rFonts w:cs="Arial"/>
                    <w:i/>
                    <w:iCs/>
                    <w:sz w:val="11"/>
                    <w:szCs w:val="11"/>
                  </w:rPr>
                  <w:t>Telephone</w:t>
                </w:r>
                <w:proofErr w:type="spellEnd"/>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58A18E16" w14:textId="77777777" w:rsidR="00F216F2" w:rsidRDefault="00F216F2" w:rsidP="00F216F2">
                <w:pPr>
                  <w:pStyle w:val="Footer"/>
                  <w:ind w:left="-108"/>
                  <w:rPr>
                    <w:rFonts w:cs="Arial"/>
                    <w:sz w:val="11"/>
                    <w:szCs w:val="11"/>
                  </w:rPr>
                </w:pPr>
              </w:p>
              <w:p w14:paraId="48D4C50C" w14:textId="77777777" w:rsidR="00F216F2" w:rsidRPr="00713B78" w:rsidRDefault="00F216F2" w:rsidP="00F216F2">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25983C25" w14:textId="77777777" w:rsidR="00F216F2" w:rsidRPr="00713B78" w:rsidRDefault="00F216F2" w:rsidP="00F216F2">
                <w:pPr>
                  <w:pStyle w:val="Footer"/>
                  <w:ind w:left="-108"/>
                  <w:rPr>
                    <w:rFonts w:cs="Arial"/>
                    <w:sz w:val="11"/>
                    <w:szCs w:val="11"/>
                  </w:rPr>
                </w:pPr>
              </w:p>
              <w:p w14:paraId="5C4828AA" w14:textId="77777777" w:rsidR="00F216F2" w:rsidRPr="00713B78" w:rsidRDefault="00F216F2" w:rsidP="00F216F2">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574CD7B3" w14:textId="77777777" w:rsidR="00F216F2" w:rsidRPr="00713B78" w:rsidRDefault="00F216F2" w:rsidP="00F216F2">
                <w:pPr>
                  <w:pStyle w:val="Footer"/>
                  <w:ind w:left="-108" w:right="-108"/>
                  <w:rPr>
                    <w:rFonts w:cs="Arial"/>
                    <w:sz w:val="11"/>
                    <w:szCs w:val="11"/>
                  </w:rPr>
                </w:pPr>
              </w:p>
              <w:p w14:paraId="39FBD4FB" w14:textId="77777777" w:rsidR="00F216F2" w:rsidRPr="00713B78" w:rsidRDefault="00F216F2" w:rsidP="00F216F2">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D266AB1" w14:textId="77777777" w:rsidR="00F216F2" w:rsidRPr="00713B78" w:rsidRDefault="00F216F2" w:rsidP="00F216F2">
                <w:pPr>
                  <w:pStyle w:val="Footer"/>
                  <w:spacing w:before="40"/>
                  <w:rPr>
                    <w:rFonts w:cs="Arial"/>
                    <w:sz w:val="11"/>
                    <w:szCs w:val="11"/>
                  </w:rPr>
                </w:pPr>
              </w:p>
              <w:p w14:paraId="15D7C30C" w14:textId="77777777" w:rsidR="00F216F2" w:rsidRPr="00713B78" w:rsidRDefault="00F216F2" w:rsidP="00F216F2">
                <w:pPr>
                  <w:pStyle w:val="Footer"/>
                  <w:spacing w:before="40"/>
                  <w:rPr>
                    <w:rFonts w:cs="Arial"/>
                    <w:sz w:val="11"/>
                    <w:szCs w:val="11"/>
                  </w:rPr>
                </w:pPr>
                <w:r w:rsidRPr="00713B78">
                  <w:rPr>
                    <w:rFonts w:cs="Arial"/>
                    <w:sz w:val="11"/>
                    <w:szCs w:val="11"/>
                  </w:rPr>
                  <w:t>Trgovački sud u Zagrebu</w:t>
                </w:r>
              </w:p>
              <w:p w14:paraId="1162666C" w14:textId="77777777" w:rsidR="00F216F2" w:rsidRPr="00713B78" w:rsidRDefault="00F216F2" w:rsidP="00F216F2">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07000685" w14:textId="77777777" w:rsidR="00F216F2" w:rsidRPr="00713B78" w:rsidRDefault="00F216F2" w:rsidP="00F216F2">
                <w:pPr>
                  <w:pStyle w:val="Footer"/>
                  <w:rPr>
                    <w:rFonts w:cs="Arial"/>
                    <w:sz w:val="11"/>
                    <w:szCs w:val="11"/>
                  </w:rPr>
                </w:pPr>
                <w:r w:rsidRPr="00713B78">
                  <w:rPr>
                    <w:rFonts w:cs="Arial"/>
                    <w:sz w:val="11"/>
                    <w:szCs w:val="11"/>
                  </w:rPr>
                  <w:t>MBS: 080000604</w:t>
                </w:r>
              </w:p>
              <w:p w14:paraId="2706C228" w14:textId="77777777" w:rsidR="00F216F2" w:rsidRPr="00713B78" w:rsidRDefault="00F216F2" w:rsidP="00F216F2">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495347F4" w14:textId="77777777" w:rsidR="00F216F2" w:rsidRPr="00713B78" w:rsidRDefault="00F216F2" w:rsidP="00F216F2">
                <w:pPr>
                  <w:pStyle w:val="Footer"/>
                  <w:rPr>
                    <w:rFonts w:cs="Arial"/>
                    <w:sz w:val="11"/>
                    <w:szCs w:val="11"/>
                  </w:rPr>
                </w:pPr>
                <w:r w:rsidRPr="00713B78">
                  <w:rPr>
                    <w:rFonts w:cs="Arial"/>
                    <w:sz w:val="11"/>
                    <w:szCs w:val="11"/>
                  </w:rPr>
                  <w:t xml:space="preserve">9.000.000.000,00 kn - HRK </w:t>
                </w:r>
              </w:p>
              <w:p w14:paraId="1AFC4A2A" w14:textId="77777777" w:rsidR="00F216F2" w:rsidRPr="00713B78" w:rsidRDefault="00F216F2" w:rsidP="00F216F2">
                <w:pPr>
                  <w:pStyle w:val="Footer"/>
                  <w:rPr>
                    <w:rFonts w:cs="Arial"/>
                    <w:sz w:val="11"/>
                    <w:szCs w:val="11"/>
                  </w:rPr>
                </w:pPr>
                <w:r w:rsidRPr="00713B78">
                  <w:rPr>
                    <w:rFonts w:cs="Arial"/>
                    <w:sz w:val="11"/>
                    <w:szCs w:val="11"/>
                  </w:rPr>
                  <w:t>Broj izdanih dionica / Nominalna vrijednost</w:t>
                </w:r>
              </w:p>
              <w:p w14:paraId="5BB5DDA9" w14:textId="77777777" w:rsidR="00F216F2" w:rsidRPr="00713B78" w:rsidRDefault="00F216F2" w:rsidP="00F216F2">
                <w:pPr>
                  <w:pStyle w:val="Footer"/>
                  <w:rPr>
                    <w:rFonts w:cs="Arial"/>
                    <w:i/>
                    <w:iCs/>
                    <w:sz w:val="11"/>
                    <w:szCs w:val="11"/>
                    <w:lang w:val="en-US"/>
                  </w:rPr>
                </w:pPr>
                <w:r w:rsidRPr="00713B78">
                  <w:rPr>
                    <w:rFonts w:cs="Arial"/>
                    <w:i/>
                    <w:iCs/>
                    <w:sz w:val="11"/>
                    <w:szCs w:val="11"/>
                    <w:lang w:val="en-US"/>
                  </w:rPr>
                  <w:t>No. of issued shares / Nominal value</w:t>
                </w:r>
              </w:p>
              <w:p w14:paraId="6B058345" w14:textId="77777777" w:rsidR="00F216F2" w:rsidRPr="00713B78" w:rsidRDefault="00F216F2" w:rsidP="00F216F2">
                <w:pPr>
                  <w:pStyle w:val="Footer"/>
                  <w:rPr>
                    <w:rFonts w:cs="Arial"/>
                    <w:sz w:val="11"/>
                    <w:szCs w:val="11"/>
                  </w:rPr>
                </w:pPr>
                <w:r w:rsidRPr="00713B78">
                  <w:rPr>
                    <w:rFonts w:cs="Arial"/>
                    <w:sz w:val="11"/>
                    <w:szCs w:val="11"/>
                  </w:rPr>
                  <w:t xml:space="preserve">10.000.000 / 900,00 kn - HRK </w:t>
                </w:r>
              </w:p>
              <w:p w14:paraId="4D89D6F7" w14:textId="77777777" w:rsidR="00F216F2" w:rsidRPr="00713B78" w:rsidRDefault="00F216F2" w:rsidP="00F216F2">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3C08A6F6" w14:textId="77777777" w:rsidR="00F216F2" w:rsidRPr="00713B78" w:rsidRDefault="00F216F2" w:rsidP="00F216F2">
                <w:pPr>
                  <w:pStyle w:val="Footer"/>
                  <w:rPr>
                    <w:rFonts w:cs="Arial"/>
                    <w:sz w:val="11"/>
                    <w:szCs w:val="11"/>
                  </w:rPr>
                </w:pPr>
                <w:r w:rsidRPr="00713B78">
                  <w:rPr>
                    <w:rFonts w:cs="Arial"/>
                    <w:sz w:val="11"/>
                    <w:szCs w:val="11"/>
                  </w:rPr>
                  <w:t>OIB – 27759560625</w:t>
                </w:r>
              </w:p>
              <w:p w14:paraId="32F9EE0E" w14:textId="77777777" w:rsidR="00F216F2" w:rsidRPr="00713B78" w:rsidRDefault="00F216F2" w:rsidP="00F216F2">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F216F2" w:rsidRPr="002B598A" w14:paraId="28A0C989" w14:textId="77777777" w:rsidTr="00D50296">
            <w:trPr>
              <w:cantSplit/>
              <w:trHeight w:val="1304"/>
            </w:trPr>
            <w:tc>
              <w:tcPr>
                <w:tcW w:w="1701" w:type="dxa"/>
                <w:vMerge/>
                <w:tcBorders>
                  <w:left w:val="nil"/>
                  <w:bottom w:val="nil"/>
                  <w:right w:val="nil"/>
                </w:tcBorders>
              </w:tcPr>
              <w:p w14:paraId="4287F446" w14:textId="77777777" w:rsidR="00F216F2" w:rsidRPr="002B598A" w:rsidRDefault="00F216F2" w:rsidP="00F216F2">
                <w:pPr>
                  <w:pStyle w:val="Footer"/>
                  <w:rPr>
                    <w:rFonts w:cs="Arial"/>
                    <w:b/>
                    <w:bCs/>
                    <w:sz w:val="11"/>
                    <w:szCs w:val="11"/>
                  </w:rPr>
                </w:pPr>
              </w:p>
            </w:tc>
            <w:tc>
              <w:tcPr>
                <w:tcW w:w="1701" w:type="dxa"/>
                <w:tcBorders>
                  <w:top w:val="nil"/>
                  <w:left w:val="nil"/>
                  <w:bottom w:val="nil"/>
                  <w:right w:val="nil"/>
                </w:tcBorders>
              </w:tcPr>
              <w:p w14:paraId="74B2EEFA"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Privredna banka Zagreb d.d.</w:t>
                </w:r>
              </w:p>
              <w:p w14:paraId="0F86ECF3"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Raiffeisenbank</w:t>
                </w:r>
                <w:proofErr w:type="spellEnd"/>
                <w:r w:rsidRPr="00713B78">
                  <w:rPr>
                    <w:rFonts w:cs="Arial"/>
                    <w:sz w:val="11"/>
                    <w:szCs w:val="11"/>
                  </w:rPr>
                  <w:t xml:space="preserve"> </w:t>
                </w:r>
                <w:proofErr w:type="spellStart"/>
                <w:r w:rsidRPr="00713B78">
                  <w:rPr>
                    <w:rFonts w:cs="Arial"/>
                    <w:sz w:val="11"/>
                    <w:szCs w:val="11"/>
                  </w:rPr>
                  <w:t>Austria</w:t>
                </w:r>
                <w:proofErr w:type="spellEnd"/>
                <w:r w:rsidRPr="00713B78">
                  <w:rPr>
                    <w:rFonts w:cs="Arial"/>
                    <w:sz w:val="11"/>
                    <w:szCs w:val="11"/>
                  </w:rPr>
                  <w:t xml:space="preserve"> d.d. </w:t>
                </w:r>
              </w:p>
              <w:p w14:paraId="463CF121"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Zagrebačka banka d.d.</w:t>
                </w:r>
              </w:p>
              <w:p w14:paraId="2AFB6A70"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OTP banka d.d.</w:t>
                </w:r>
              </w:p>
              <w:p w14:paraId="0A2F104D" w14:textId="77777777" w:rsidR="00F216F2" w:rsidRPr="00713B78" w:rsidRDefault="00F216F2" w:rsidP="00F216F2">
                <w:pPr>
                  <w:pStyle w:val="Footer"/>
                  <w:spacing w:line="216" w:lineRule="auto"/>
                  <w:ind w:left="-108"/>
                  <w:rPr>
                    <w:rFonts w:cs="Arial"/>
                    <w:sz w:val="11"/>
                    <w:szCs w:val="11"/>
                  </w:rPr>
                </w:pPr>
                <w:proofErr w:type="spellStart"/>
                <w:r w:rsidRPr="00713B78">
                  <w:rPr>
                    <w:sz w:val="11"/>
                    <w:szCs w:val="11"/>
                  </w:rPr>
                  <w:t>Erste&amp;Steiermärkische</w:t>
                </w:r>
                <w:proofErr w:type="spellEnd"/>
                <w:r w:rsidRPr="00713B78">
                  <w:rPr>
                    <w:sz w:val="11"/>
                    <w:szCs w:val="11"/>
                  </w:rPr>
                  <w:t xml:space="preserve"> Bank </w:t>
                </w:r>
                <w:r w:rsidRPr="00713B78">
                  <w:rPr>
                    <w:rFonts w:cs="Arial"/>
                    <w:sz w:val="11"/>
                    <w:szCs w:val="11"/>
                  </w:rPr>
                  <w:t xml:space="preserve">d.d. </w:t>
                </w:r>
              </w:p>
              <w:p w14:paraId="4A9103A2"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BANCA POPOLARE DI SONDRIO</w:t>
                </w:r>
              </w:p>
              <w:p w14:paraId="38453764" w14:textId="77777777" w:rsidR="00F216F2" w:rsidRDefault="00F216F2" w:rsidP="00F216F2">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526AD37D" w14:textId="77777777" w:rsidR="00F216F2" w:rsidRPr="00713B78" w:rsidRDefault="00F216F2" w:rsidP="00F216F2">
                <w:pPr>
                  <w:pStyle w:val="Footer"/>
                  <w:spacing w:line="216" w:lineRule="auto"/>
                  <w:ind w:left="-108"/>
                  <w:rPr>
                    <w:sz w:val="11"/>
                    <w:szCs w:val="11"/>
                    <w:lang w:bidi="ta-IN"/>
                  </w:rPr>
                </w:pPr>
                <w:r w:rsidRPr="00713B78">
                  <w:rPr>
                    <w:sz w:val="11"/>
                    <w:szCs w:val="11"/>
                    <w:lang w:bidi="ta-IN"/>
                  </w:rPr>
                  <w:t xml:space="preserve">UniCredit Bank </w:t>
                </w:r>
                <w:proofErr w:type="spellStart"/>
                <w:r w:rsidRPr="00713B78">
                  <w:rPr>
                    <w:sz w:val="11"/>
                    <w:szCs w:val="11"/>
                    <w:lang w:bidi="ta-IN"/>
                  </w:rPr>
                  <w:t>Austria</w:t>
                </w:r>
                <w:proofErr w:type="spellEnd"/>
                <w:r w:rsidRPr="00713B78">
                  <w:rPr>
                    <w:sz w:val="11"/>
                    <w:szCs w:val="11"/>
                    <w:lang w:bidi="ta-IN"/>
                  </w:rPr>
                  <w:t xml:space="preserve"> AG</w:t>
                </w:r>
              </w:p>
              <w:p w14:paraId="67404C48" w14:textId="77777777" w:rsidR="00F216F2" w:rsidRDefault="00F216F2" w:rsidP="00F216F2">
                <w:pPr>
                  <w:pStyle w:val="Footer"/>
                  <w:spacing w:line="216" w:lineRule="auto"/>
                  <w:ind w:left="-108"/>
                  <w:rPr>
                    <w:sz w:val="11"/>
                    <w:szCs w:val="11"/>
                    <w:lang w:bidi="ta-IN"/>
                  </w:rPr>
                </w:pPr>
              </w:p>
              <w:p w14:paraId="28BB593F" w14:textId="77777777" w:rsidR="00F216F2" w:rsidRPr="00713B78" w:rsidRDefault="00F216F2" w:rsidP="00F216F2">
                <w:pPr>
                  <w:pStyle w:val="Footer"/>
                  <w:spacing w:line="216" w:lineRule="auto"/>
                  <w:ind w:left="-108"/>
                  <w:rPr>
                    <w:sz w:val="11"/>
                    <w:szCs w:val="11"/>
                    <w:lang w:bidi="ta-IN"/>
                  </w:rPr>
                </w:pPr>
              </w:p>
              <w:p w14:paraId="365B9FBA" w14:textId="77777777" w:rsidR="00F216F2" w:rsidRPr="00713B78" w:rsidRDefault="00F216F2" w:rsidP="00F216F2">
                <w:pPr>
                  <w:pStyle w:val="Footer"/>
                  <w:spacing w:line="216" w:lineRule="auto"/>
                  <w:ind w:left="-108"/>
                  <w:rPr>
                    <w:sz w:val="11"/>
                    <w:szCs w:val="11"/>
                    <w:lang w:bidi="ta-IN"/>
                  </w:rPr>
                </w:pPr>
              </w:p>
            </w:tc>
            <w:tc>
              <w:tcPr>
                <w:tcW w:w="1985" w:type="dxa"/>
                <w:tcBorders>
                  <w:top w:val="nil"/>
                  <w:left w:val="nil"/>
                  <w:bottom w:val="nil"/>
                  <w:right w:val="nil"/>
                </w:tcBorders>
              </w:tcPr>
              <w:p w14:paraId="740B743D"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Radnička cesta 50, 10000 Zagreb</w:t>
                </w:r>
              </w:p>
              <w:p w14:paraId="767747E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Magazinska cesta 69, 10000 Zagreb</w:t>
                </w:r>
              </w:p>
              <w:p w14:paraId="590EAA4F"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Trg bana Josipa Jelačića 10, 10000 Zagreb</w:t>
                </w:r>
              </w:p>
              <w:p w14:paraId="22A86B7F"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Domovinskog rata 61, 21000 Split</w:t>
                </w:r>
              </w:p>
              <w:p w14:paraId="3230B5F6"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Jadranski trg 3a, 51000 Rijeka</w:t>
                </w:r>
              </w:p>
              <w:p w14:paraId="11C17B82"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Viale</w:t>
                </w:r>
                <w:proofErr w:type="spellEnd"/>
                <w:r w:rsidRPr="00713B78">
                  <w:rPr>
                    <w:rFonts w:cs="Arial"/>
                    <w:sz w:val="11"/>
                    <w:szCs w:val="11"/>
                  </w:rPr>
                  <w:t xml:space="preserve"> </w:t>
                </w:r>
                <w:proofErr w:type="spellStart"/>
                <w:r w:rsidRPr="00713B78">
                  <w:rPr>
                    <w:rFonts w:cs="Arial"/>
                    <w:sz w:val="11"/>
                    <w:szCs w:val="11"/>
                  </w:rPr>
                  <w:t>Innocenzo</w:t>
                </w:r>
                <w:proofErr w:type="spellEnd"/>
                <w:r w:rsidRPr="00713B78">
                  <w:rPr>
                    <w:rFonts w:cs="Arial"/>
                    <w:sz w:val="11"/>
                    <w:szCs w:val="11"/>
                  </w:rPr>
                  <w:t xml:space="preserve"> XI n.71, 22100 COMO</w:t>
                </w:r>
              </w:p>
              <w:p w14:paraId="46ABD53C" w14:textId="77777777" w:rsidR="00F216F2" w:rsidRPr="00713B78" w:rsidRDefault="00F216F2" w:rsidP="00F216F2">
                <w:pPr>
                  <w:pStyle w:val="Footer"/>
                  <w:spacing w:line="216" w:lineRule="auto"/>
                  <w:ind w:left="-108" w:right="-66"/>
                  <w:rPr>
                    <w:sz w:val="11"/>
                    <w:szCs w:val="11"/>
                    <w:lang w:bidi="ta-IN"/>
                  </w:rPr>
                </w:pPr>
                <w:proofErr w:type="spellStart"/>
                <w:r w:rsidRPr="00C03313">
                  <w:rPr>
                    <w:sz w:val="11"/>
                    <w:szCs w:val="11"/>
                    <w:lang w:bidi="ta-IN"/>
                  </w:rPr>
                  <w:t>Jurišićeva</w:t>
                </w:r>
                <w:proofErr w:type="spellEnd"/>
                <w:r w:rsidRPr="00C03313">
                  <w:rPr>
                    <w:sz w:val="11"/>
                    <w:szCs w:val="11"/>
                    <w:lang w:bidi="ta-IN"/>
                  </w:rPr>
                  <w:t xml:space="preserve"> ulica 4, 10000 Zagreb</w:t>
                </w:r>
              </w:p>
              <w:p w14:paraId="492042AD" w14:textId="77777777" w:rsidR="00F216F2" w:rsidRPr="00713B78" w:rsidRDefault="00F216F2" w:rsidP="00F216F2">
                <w:pPr>
                  <w:pStyle w:val="Footer"/>
                  <w:spacing w:line="216" w:lineRule="auto"/>
                  <w:ind w:left="-108" w:right="-66"/>
                  <w:rPr>
                    <w:sz w:val="11"/>
                    <w:szCs w:val="11"/>
                    <w:lang w:bidi="ta-IN"/>
                  </w:rPr>
                </w:pPr>
                <w:proofErr w:type="spellStart"/>
                <w:r w:rsidRPr="00713B78">
                  <w:rPr>
                    <w:sz w:val="11"/>
                    <w:szCs w:val="11"/>
                    <w:lang w:bidi="ta-IN"/>
                  </w:rPr>
                  <w:t>Schottengasse</w:t>
                </w:r>
                <w:proofErr w:type="spellEnd"/>
                <w:r w:rsidRPr="00713B78">
                  <w:rPr>
                    <w:sz w:val="11"/>
                    <w:szCs w:val="11"/>
                    <w:lang w:bidi="ta-IN"/>
                  </w:rPr>
                  <w:t xml:space="preserve"> 6-8, A-1010 </w:t>
                </w:r>
                <w:proofErr w:type="spellStart"/>
                <w:r w:rsidRPr="00713B78">
                  <w:rPr>
                    <w:sz w:val="11"/>
                    <w:szCs w:val="11"/>
                    <w:lang w:bidi="ta-IN"/>
                  </w:rPr>
                  <w:t>Wien</w:t>
                </w:r>
                <w:proofErr w:type="spellEnd"/>
              </w:p>
              <w:p w14:paraId="75AAC58E" w14:textId="77777777" w:rsidR="00F216F2" w:rsidRPr="00713B78" w:rsidRDefault="00F216F2" w:rsidP="00F216F2">
                <w:pPr>
                  <w:pStyle w:val="Footer"/>
                  <w:spacing w:line="216" w:lineRule="auto"/>
                  <w:ind w:left="-108" w:right="-66"/>
                  <w:rPr>
                    <w:sz w:val="11"/>
                    <w:szCs w:val="11"/>
                    <w:lang w:bidi="ta-IN"/>
                  </w:rPr>
                </w:pPr>
              </w:p>
              <w:p w14:paraId="3369C934" w14:textId="77777777" w:rsidR="00F216F2" w:rsidRPr="00713B78" w:rsidRDefault="00F216F2" w:rsidP="00F216F2">
                <w:pPr>
                  <w:pStyle w:val="Footer"/>
                  <w:spacing w:line="216" w:lineRule="auto"/>
                  <w:ind w:right="-66"/>
                  <w:rPr>
                    <w:rFonts w:cs="Arial"/>
                    <w:sz w:val="11"/>
                    <w:szCs w:val="11"/>
                  </w:rPr>
                </w:pPr>
              </w:p>
            </w:tc>
            <w:tc>
              <w:tcPr>
                <w:tcW w:w="2126" w:type="dxa"/>
                <w:tcBorders>
                  <w:top w:val="nil"/>
                  <w:left w:val="nil"/>
                  <w:bottom w:val="nil"/>
                  <w:right w:val="nil"/>
                </w:tcBorders>
              </w:tcPr>
              <w:p w14:paraId="7C58AA07"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HR92 2340 0091 1000 2290 2</w:t>
                </w:r>
              </w:p>
              <w:p w14:paraId="707FBC16"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HR70 2484 0081 1006 1948 3</w:t>
                </w:r>
              </w:p>
              <w:p w14:paraId="6F5F8768"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HR62 2360 0001 1013 0359 5</w:t>
                </w:r>
              </w:p>
              <w:p w14:paraId="3EDAA4E1"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HR96 2407 0001 1001 5214 9 </w:t>
                </w:r>
              </w:p>
              <w:p w14:paraId="64F42E91"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06AB60EC"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IT41 N056 9610 900E DCEU 0817 340 (EUR)</w:t>
                </w:r>
              </w:p>
              <w:p w14:paraId="77B1F4F4" w14:textId="77777777" w:rsidR="00F216F2" w:rsidRDefault="00F216F2" w:rsidP="00F216F2">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010F2FD4"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 xml:space="preserve">AT21 1200 0528 4400 3466     (EUR) </w:t>
                </w:r>
              </w:p>
              <w:p w14:paraId="3EAA7CCE"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AT91 1200 0528 4400 3467     (USD)</w:t>
                </w:r>
              </w:p>
              <w:p w14:paraId="2D82CBCC" w14:textId="77777777" w:rsidR="00F216F2" w:rsidRPr="00713B78" w:rsidRDefault="00F216F2" w:rsidP="00F216F2">
                <w:pPr>
                  <w:pStyle w:val="Footer"/>
                  <w:spacing w:line="216" w:lineRule="auto"/>
                  <w:ind w:left="-108" w:right="-108"/>
                  <w:rPr>
                    <w:sz w:val="11"/>
                    <w:szCs w:val="11"/>
                    <w:lang w:bidi="ta-IN"/>
                  </w:rPr>
                </w:pPr>
              </w:p>
            </w:tc>
            <w:tc>
              <w:tcPr>
                <w:tcW w:w="2126" w:type="dxa"/>
                <w:vMerge/>
                <w:tcBorders>
                  <w:left w:val="nil"/>
                  <w:bottom w:val="nil"/>
                  <w:right w:val="nil"/>
                </w:tcBorders>
              </w:tcPr>
              <w:p w14:paraId="0DD111B3" w14:textId="77777777" w:rsidR="00F216F2" w:rsidRPr="002B598A" w:rsidRDefault="00F216F2" w:rsidP="00F216F2">
                <w:pPr>
                  <w:pStyle w:val="Footer"/>
                  <w:rPr>
                    <w:rFonts w:cs="Arial"/>
                    <w:sz w:val="11"/>
                    <w:szCs w:val="11"/>
                  </w:rPr>
                </w:pPr>
              </w:p>
            </w:tc>
          </w:tr>
          <w:tr w:rsidR="00F216F2" w:rsidRPr="002B598A" w14:paraId="661975BD" w14:textId="77777777" w:rsidTr="00D50296">
            <w:trPr>
              <w:cantSplit/>
              <w:trHeight w:val="300"/>
            </w:trPr>
            <w:tc>
              <w:tcPr>
                <w:tcW w:w="7513" w:type="dxa"/>
                <w:gridSpan w:val="4"/>
                <w:tcBorders>
                  <w:top w:val="nil"/>
                  <w:left w:val="nil"/>
                  <w:bottom w:val="single" w:sz="4" w:space="0" w:color="auto"/>
                  <w:right w:val="nil"/>
                </w:tcBorders>
                <w:vAlign w:val="bottom"/>
              </w:tcPr>
              <w:p w14:paraId="3B604784" w14:textId="77777777" w:rsidR="00F216F2" w:rsidRPr="002B598A" w:rsidRDefault="00F216F2" w:rsidP="00F216F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77A45603" w14:textId="77777777" w:rsidR="00F216F2" w:rsidRPr="002B598A" w:rsidRDefault="00F216F2" w:rsidP="00F216F2">
                <w:pPr>
                  <w:pStyle w:val="Footer"/>
                  <w:spacing w:line="216" w:lineRule="auto"/>
                  <w:ind w:right="-108"/>
                  <w:rPr>
                    <w:rFonts w:cs="Arial"/>
                    <w:sz w:val="4"/>
                    <w:szCs w:val="4"/>
                  </w:rPr>
                </w:pPr>
                <w:r w:rsidRPr="00847E16">
                  <w:rPr>
                    <w:sz w:val="11"/>
                    <w:szCs w:val="11"/>
                  </w:rPr>
                  <w:t xml:space="preserve">Péter </w:t>
                </w:r>
                <w:proofErr w:type="spellStart"/>
                <w:r w:rsidRPr="00847E16">
                  <w:rPr>
                    <w:sz w:val="11"/>
                    <w:szCs w:val="11"/>
                  </w:rPr>
                  <w:t>Ratatics</w:t>
                </w:r>
                <w:proofErr w:type="spellEnd"/>
                <w:r w:rsidRPr="00847E16">
                  <w:rPr>
                    <w:sz w:val="11"/>
                    <w:szCs w:val="11"/>
                  </w:rPr>
                  <w:t xml:space="preserve">, Berislav Gašo, Krisztián </w:t>
                </w:r>
                <w:proofErr w:type="spellStart"/>
                <w:r w:rsidRPr="00847E16">
                  <w:rPr>
                    <w:sz w:val="11"/>
                    <w:szCs w:val="11"/>
                  </w:rPr>
                  <w:t>Pulay</w:t>
                </w:r>
                <w:proofErr w:type="spellEnd"/>
                <w:r w:rsidRPr="00847E16">
                  <w:rPr>
                    <w:sz w:val="11"/>
                    <w:szCs w:val="11"/>
                  </w:rPr>
                  <w:t xml:space="preserve">, Miroslav </w:t>
                </w:r>
                <w:proofErr w:type="spellStart"/>
                <w:r w:rsidRPr="00847E16">
                  <w:rPr>
                    <w:sz w:val="11"/>
                    <w:szCs w:val="11"/>
                  </w:rPr>
                  <w:t>Skalicki</w:t>
                </w:r>
                <w:proofErr w:type="spellEnd"/>
                <w:r w:rsidRPr="00847E16">
                  <w:rPr>
                    <w:sz w:val="11"/>
                    <w:szCs w:val="11"/>
                  </w:rPr>
                  <w:t xml:space="preserve">, Hrvoje </w:t>
                </w:r>
                <w:proofErr w:type="spellStart"/>
                <w:r w:rsidRPr="00847E16">
                  <w:rPr>
                    <w:sz w:val="11"/>
                    <w:szCs w:val="11"/>
                  </w:rPr>
                  <w:t>Šimović</w:t>
                </w:r>
                <w:proofErr w:type="spellEnd"/>
                <w:r w:rsidRPr="00847E16">
                  <w:rPr>
                    <w:sz w:val="11"/>
                    <w:szCs w:val="11"/>
                  </w:rPr>
                  <w:t>, Marin Zovko</w:t>
                </w:r>
              </w:p>
              <w:p w14:paraId="7684A0BB" w14:textId="77777777" w:rsidR="00F216F2" w:rsidRPr="002B598A" w:rsidRDefault="00F216F2" w:rsidP="00F216F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 xml:space="preserve">Damir </w:t>
                </w:r>
                <w:proofErr w:type="spellStart"/>
                <w:r>
                  <w:rPr>
                    <w:rFonts w:cs="Arial"/>
                    <w:sz w:val="11"/>
                    <w:szCs w:val="11"/>
                  </w:rPr>
                  <w:t>Mikuljan</w:t>
                </w:r>
                <w:proofErr w:type="spellEnd"/>
              </w:p>
            </w:tc>
            <w:tc>
              <w:tcPr>
                <w:tcW w:w="2126" w:type="dxa"/>
                <w:vMerge/>
                <w:tcBorders>
                  <w:top w:val="nil"/>
                  <w:left w:val="nil"/>
                  <w:bottom w:val="single" w:sz="4" w:space="0" w:color="auto"/>
                  <w:right w:val="nil"/>
                </w:tcBorders>
              </w:tcPr>
              <w:p w14:paraId="591718A6" w14:textId="77777777" w:rsidR="00F216F2" w:rsidRPr="002B598A" w:rsidRDefault="00F216F2" w:rsidP="00F216F2">
                <w:pPr>
                  <w:pStyle w:val="Footer"/>
                  <w:rPr>
                    <w:rFonts w:cs="Arial"/>
                    <w:sz w:val="11"/>
                    <w:szCs w:val="11"/>
                  </w:rPr>
                </w:pPr>
              </w:p>
            </w:tc>
          </w:tr>
          <w:tr w:rsidR="00F216F2" w:rsidRPr="002B598A" w14:paraId="24A76822" w14:textId="77777777" w:rsidTr="00D50296">
            <w:trPr>
              <w:cantSplit/>
              <w:trHeight w:val="170"/>
            </w:trPr>
            <w:tc>
              <w:tcPr>
                <w:tcW w:w="7513" w:type="dxa"/>
                <w:gridSpan w:val="4"/>
                <w:tcBorders>
                  <w:top w:val="single" w:sz="4" w:space="0" w:color="auto"/>
                  <w:left w:val="nil"/>
                  <w:bottom w:val="nil"/>
                  <w:right w:val="nil"/>
                </w:tcBorders>
                <w:vAlign w:val="bottom"/>
              </w:tcPr>
              <w:p w14:paraId="79C6C0E7" w14:textId="77777777" w:rsidR="00F216F2" w:rsidRDefault="00F216F2" w:rsidP="00F216F2">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58E357AD" w14:textId="77777777" w:rsidR="00F216F2" w:rsidRPr="002B598A" w:rsidRDefault="00F216F2" w:rsidP="00F216F2">
                <w:pPr>
                  <w:pStyle w:val="Footer"/>
                  <w:rPr>
                    <w:rFonts w:cs="Arial"/>
                    <w:sz w:val="11"/>
                    <w:szCs w:val="11"/>
                  </w:rPr>
                </w:pPr>
              </w:p>
            </w:tc>
          </w:tr>
        </w:tbl>
        <w:p w14:paraId="0F95AA6A" w14:textId="17F9FAC2" w:rsidR="003E20D9" w:rsidRPr="00D0792C" w:rsidRDefault="003E20D9" w:rsidP="003E20D9">
          <w:pPr>
            <w:pStyle w:val="Footer"/>
            <w:ind w:right="-72"/>
            <w:rPr>
              <w:rFonts w:cs="Arial"/>
              <w:sz w:val="11"/>
              <w:szCs w:val="11"/>
            </w:rPr>
          </w:pPr>
        </w:p>
      </w:tc>
      <w:tc>
        <w:tcPr>
          <w:tcW w:w="1554" w:type="dxa"/>
          <w:tcBorders>
            <w:top w:val="single" w:sz="4" w:space="0" w:color="auto"/>
            <w:left w:val="nil"/>
            <w:bottom w:val="nil"/>
            <w:right w:val="nil"/>
          </w:tcBorders>
          <w:vAlign w:val="center"/>
        </w:tcPr>
        <w:p w14:paraId="7BB75236" w14:textId="73A18F0E" w:rsidR="003E20D9" w:rsidRPr="002B598A" w:rsidRDefault="003E20D9" w:rsidP="003E20D9">
          <w:pPr>
            <w:pStyle w:val="Footer"/>
            <w:ind w:left="-108"/>
            <w:rPr>
              <w:sz w:val="10"/>
              <w:szCs w:val="10"/>
            </w:rPr>
          </w:pPr>
        </w:p>
      </w:tc>
      <w:tc>
        <w:tcPr>
          <w:tcW w:w="1908" w:type="dxa"/>
          <w:tcBorders>
            <w:top w:val="single" w:sz="4" w:space="0" w:color="auto"/>
            <w:left w:val="nil"/>
            <w:bottom w:val="nil"/>
            <w:right w:val="nil"/>
          </w:tcBorders>
          <w:vAlign w:val="center"/>
        </w:tcPr>
        <w:p w14:paraId="42D9DA2D" w14:textId="698021E7" w:rsidR="003E20D9" w:rsidRPr="002B598A" w:rsidRDefault="003E20D9" w:rsidP="003E20D9">
          <w:pPr>
            <w:pStyle w:val="Footer"/>
            <w:ind w:left="-108"/>
            <w:rPr>
              <w:rFonts w:cs="Arial"/>
              <w:sz w:val="10"/>
              <w:szCs w:val="10"/>
            </w:rPr>
          </w:pPr>
        </w:p>
      </w:tc>
      <w:tc>
        <w:tcPr>
          <w:tcW w:w="1845" w:type="dxa"/>
          <w:tcBorders>
            <w:top w:val="single" w:sz="4" w:space="0" w:color="auto"/>
            <w:left w:val="nil"/>
            <w:bottom w:val="nil"/>
            <w:right w:val="nil"/>
          </w:tcBorders>
          <w:vAlign w:val="center"/>
        </w:tcPr>
        <w:p w14:paraId="3A93D43A" w14:textId="4EF6B4BA" w:rsidR="003E20D9" w:rsidRPr="002B598A" w:rsidRDefault="003E20D9" w:rsidP="003E20D9">
          <w:pPr>
            <w:pStyle w:val="Footer"/>
            <w:ind w:left="-108" w:right="-108"/>
            <w:rPr>
              <w:rFonts w:cs="Arial"/>
              <w:sz w:val="10"/>
              <w:szCs w:val="10"/>
            </w:rPr>
          </w:pPr>
        </w:p>
      </w:tc>
      <w:tc>
        <w:tcPr>
          <w:tcW w:w="2159" w:type="dxa"/>
          <w:vMerge w:val="restart"/>
          <w:tcBorders>
            <w:top w:val="single" w:sz="4" w:space="0" w:color="auto"/>
            <w:left w:val="nil"/>
            <w:right w:val="nil"/>
          </w:tcBorders>
          <w:tcMar>
            <w:left w:w="57" w:type="dxa"/>
            <w:right w:w="57" w:type="dxa"/>
          </w:tcMar>
        </w:tcPr>
        <w:p w14:paraId="19AF06A7" w14:textId="7BA39E24" w:rsidR="003E20D9" w:rsidRPr="002B598A" w:rsidRDefault="003E20D9" w:rsidP="003E20D9">
          <w:pPr>
            <w:pStyle w:val="Footer"/>
            <w:rPr>
              <w:sz w:val="11"/>
              <w:szCs w:val="11"/>
            </w:rPr>
          </w:pPr>
        </w:p>
      </w:tc>
    </w:tr>
    <w:tr w:rsidR="003E20D9" w:rsidRPr="002B598A" w14:paraId="595490DD" w14:textId="77777777" w:rsidTr="0098776B">
      <w:trPr>
        <w:cantSplit/>
        <w:trHeight w:val="1304"/>
      </w:trPr>
      <w:tc>
        <w:tcPr>
          <w:tcW w:w="1998" w:type="dxa"/>
          <w:vMerge/>
          <w:tcBorders>
            <w:left w:val="nil"/>
            <w:bottom w:val="nil"/>
            <w:right w:val="nil"/>
          </w:tcBorders>
        </w:tcPr>
        <w:p w14:paraId="6D1A26AA" w14:textId="77777777" w:rsidR="003E20D9" w:rsidRPr="002B598A" w:rsidRDefault="003E20D9" w:rsidP="003E20D9">
          <w:pPr>
            <w:pStyle w:val="Footer"/>
            <w:rPr>
              <w:rFonts w:cs="Arial"/>
              <w:b/>
              <w:bCs/>
              <w:sz w:val="11"/>
              <w:szCs w:val="11"/>
            </w:rPr>
          </w:pPr>
        </w:p>
      </w:tc>
      <w:tc>
        <w:tcPr>
          <w:tcW w:w="1554" w:type="dxa"/>
          <w:tcBorders>
            <w:top w:val="nil"/>
            <w:left w:val="nil"/>
            <w:bottom w:val="nil"/>
            <w:right w:val="nil"/>
          </w:tcBorders>
        </w:tcPr>
        <w:p w14:paraId="541FD54D" w14:textId="77777777" w:rsidR="003E20D9" w:rsidRPr="00342211" w:rsidRDefault="003E20D9" w:rsidP="003E20D9">
          <w:pPr>
            <w:pStyle w:val="Footer"/>
            <w:spacing w:line="216" w:lineRule="auto"/>
            <w:ind w:left="-108"/>
            <w:rPr>
              <w:rFonts w:ascii="Arial Narrow" w:hAnsi="Arial Narrow"/>
              <w:sz w:val="10"/>
              <w:szCs w:val="10"/>
              <w:lang w:bidi="ta-IN"/>
            </w:rPr>
          </w:pPr>
        </w:p>
      </w:tc>
      <w:tc>
        <w:tcPr>
          <w:tcW w:w="1908" w:type="dxa"/>
          <w:tcBorders>
            <w:top w:val="nil"/>
            <w:left w:val="nil"/>
            <w:bottom w:val="nil"/>
            <w:right w:val="nil"/>
          </w:tcBorders>
        </w:tcPr>
        <w:p w14:paraId="4E32536A" w14:textId="77777777" w:rsidR="003E20D9" w:rsidRPr="00342211" w:rsidRDefault="003E20D9" w:rsidP="003E20D9">
          <w:pPr>
            <w:pStyle w:val="Footer"/>
            <w:spacing w:line="216" w:lineRule="auto"/>
            <w:ind w:right="-66"/>
            <w:rPr>
              <w:rFonts w:ascii="Arial Narrow" w:hAnsi="Arial Narrow" w:cs="Arial"/>
              <w:sz w:val="10"/>
              <w:szCs w:val="10"/>
            </w:rPr>
          </w:pPr>
        </w:p>
      </w:tc>
      <w:tc>
        <w:tcPr>
          <w:tcW w:w="1845" w:type="dxa"/>
          <w:tcBorders>
            <w:top w:val="nil"/>
            <w:left w:val="nil"/>
            <w:bottom w:val="nil"/>
            <w:right w:val="nil"/>
          </w:tcBorders>
        </w:tcPr>
        <w:p w14:paraId="2143FA1F" w14:textId="77777777" w:rsidR="003E20D9" w:rsidRPr="00342211" w:rsidRDefault="003E20D9" w:rsidP="003E20D9">
          <w:pPr>
            <w:pStyle w:val="Footer"/>
            <w:spacing w:line="216" w:lineRule="auto"/>
            <w:ind w:left="-108" w:right="-108"/>
            <w:rPr>
              <w:sz w:val="6"/>
              <w:szCs w:val="6"/>
              <w:lang w:bidi="ta-IN"/>
            </w:rPr>
          </w:pPr>
        </w:p>
      </w:tc>
      <w:tc>
        <w:tcPr>
          <w:tcW w:w="2159" w:type="dxa"/>
          <w:vMerge/>
          <w:tcBorders>
            <w:left w:val="nil"/>
            <w:bottom w:val="nil"/>
            <w:right w:val="nil"/>
          </w:tcBorders>
        </w:tcPr>
        <w:p w14:paraId="47DF372D" w14:textId="77777777" w:rsidR="003E20D9" w:rsidRPr="002B598A" w:rsidRDefault="003E20D9" w:rsidP="003E20D9">
          <w:pPr>
            <w:pStyle w:val="Footer"/>
            <w:rPr>
              <w:rFonts w:cs="Arial"/>
              <w:sz w:val="11"/>
              <w:szCs w:val="11"/>
            </w:rPr>
          </w:pPr>
        </w:p>
      </w:tc>
    </w:tr>
    <w:tr w:rsidR="003E20D9" w:rsidRPr="002B598A" w14:paraId="6D192324" w14:textId="77777777" w:rsidTr="0098776B">
      <w:trPr>
        <w:cantSplit/>
        <w:trHeight w:val="300"/>
      </w:trPr>
      <w:tc>
        <w:tcPr>
          <w:tcW w:w="7305" w:type="dxa"/>
          <w:gridSpan w:val="4"/>
          <w:tcBorders>
            <w:top w:val="nil"/>
            <w:left w:val="nil"/>
            <w:bottom w:val="single" w:sz="4" w:space="0" w:color="auto"/>
            <w:right w:val="nil"/>
          </w:tcBorders>
          <w:vAlign w:val="bottom"/>
        </w:tcPr>
        <w:p w14:paraId="461EB472" w14:textId="6C15A2E4" w:rsidR="003E20D9" w:rsidRPr="002B598A" w:rsidRDefault="003E20D9" w:rsidP="003E20D9">
          <w:pPr>
            <w:pStyle w:val="Footer"/>
            <w:spacing w:line="216" w:lineRule="auto"/>
            <w:ind w:right="-108"/>
            <w:rPr>
              <w:rFonts w:cs="Arial"/>
              <w:sz w:val="11"/>
              <w:szCs w:val="11"/>
            </w:rPr>
          </w:pPr>
        </w:p>
      </w:tc>
      <w:tc>
        <w:tcPr>
          <w:tcW w:w="2159" w:type="dxa"/>
          <w:vMerge/>
          <w:tcBorders>
            <w:top w:val="nil"/>
            <w:left w:val="nil"/>
            <w:bottom w:val="single" w:sz="4" w:space="0" w:color="auto"/>
            <w:right w:val="nil"/>
          </w:tcBorders>
        </w:tcPr>
        <w:p w14:paraId="22FD5E58" w14:textId="77777777" w:rsidR="003E20D9" w:rsidRPr="002B598A" w:rsidRDefault="003E20D9" w:rsidP="003E20D9">
          <w:pPr>
            <w:pStyle w:val="Footer"/>
            <w:rPr>
              <w:rFonts w:cs="Arial"/>
              <w:sz w:val="11"/>
              <w:szCs w:val="11"/>
            </w:rPr>
          </w:pPr>
        </w:p>
      </w:tc>
    </w:tr>
    <w:tr w:rsidR="003E20D9" w:rsidRPr="002B598A" w14:paraId="1343D053" w14:textId="77777777" w:rsidTr="0098776B">
      <w:trPr>
        <w:cantSplit/>
        <w:trHeight w:val="170"/>
      </w:trPr>
      <w:tc>
        <w:tcPr>
          <w:tcW w:w="7305" w:type="dxa"/>
          <w:gridSpan w:val="4"/>
          <w:tcBorders>
            <w:top w:val="single" w:sz="4" w:space="0" w:color="auto"/>
            <w:left w:val="nil"/>
            <w:bottom w:val="nil"/>
            <w:right w:val="nil"/>
          </w:tcBorders>
          <w:vAlign w:val="bottom"/>
        </w:tcPr>
        <w:p w14:paraId="78661FB9" w14:textId="1516EA6F" w:rsidR="003E20D9" w:rsidRDefault="003E20D9" w:rsidP="003E20D9">
          <w:pPr>
            <w:pStyle w:val="Footer"/>
            <w:spacing w:line="216" w:lineRule="auto"/>
            <w:ind w:right="-108"/>
            <w:rPr>
              <w:rFonts w:cs="Arial"/>
              <w:sz w:val="11"/>
              <w:szCs w:val="11"/>
            </w:rPr>
          </w:pPr>
        </w:p>
      </w:tc>
      <w:tc>
        <w:tcPr>
          <w:tcW w:w="2159" w:type="dxa"/>
          <w:tcBorders>
            <w:top w:val="single" w:sz="4" w:space="0" w:color="auto"/>
            <w:left w:val="nil"/>
            <w:bottom w:val="nil"/>
            <w:right w:val="nil"/>
          </w:tcBorders>
        </w:tcPr>
        <w:p w14:paraId="00DC01F5" w14:textId="77777777" w:rsidR="003E20D9" w:rsidRPr="002B598A" w:rsidRDefault="003E20D9" w:rsidP="003E20D9">
          <w:pPr>
            <w:pStyle w:val="Footer"/>
            <w:rPr>
              <w:rFonts w:cs="Arial"/>
              <w:sz w:val="11"/>
              <w:szCs w:val="11"/>
            </w:rPr>
          </w:pPr>
        </w:p>
      </w:tc>
    </w:tr>
  </w:tbl>
  <w:p w14:paraId="2B9BBC19" w14:textId="77777777" w:rsidR="003E20D9" w:rsidRPr="00095236" w:rsidRDefault="003E20D9" w:rsidP="003E20D9">
    <w:pPr>
      <w:pStyle w:val="Footer"/>
      <w:jc w:val="right"/>
    </w:pPr>
    <w:r>
      <w:rPr>
        <w:rFonts w:cs="Arial"/>
        <w:sz w:val="11"/>
        <w:szCs w:val="11"/>
      </w:rPr>
      <w:tab/>
    </w:r>
    <w:r w:rsidRPr="003F5049">
      <w:rPr>
        <w:rFonts w:cs="Arial"/>
        <w:sz w:val="11"/>
        <w:szCs w:val="11"/>
      </w:rPr>
      <w:t xml:space="preserve">str. - </w:t>
    </w:r>
    <w:proofErr w:type="spellStart"/>
    <w:r w:rsidRPr="003F5049">
      <w:rPr>
        <w:rFonts w:cs="Arial"/>
        <w:i/>
        <w:sz w:val="11"/>
        <w:szCs w:val="11"/>
      </w:rPr>
      <w:t>page</w:t>
    </w:r>
    <w:proofErr w:type="spellEnd"/>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p w14:paraId="108BD60D" w14:textId="77777777" w:rsidR="003E20D9" w:rsidRDefault="003E20D9" w:rsidP="003E20D9"/>
  <w:p w14:paraId="6C8E22B2" w14:textId="77777777" w:rsidR="00C0068C" w:rsidRPr="003E20D9" w:rsidRDefault="00C0068C" w:rsidP="003E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1B0" w14:textId="77777777" w:rsidR="00A07306" w:rsidRDefault="00A07306">
    <w:pPr>
      <w:pStyle w:val="Foo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F216F2" w:rsidRPr="00713B78" w14:paraId="15751774" w14:textId="77777777" w:rsidTr="00D50296">
      <w:trPr>
        <w:cantSplit/>
        <w:trHeight w:val="181"/>
      </w:trPr>
      <w:tc>
        <w:tcPr>
          <w:tcW w:w="1701" w:type="dxa"/>
          <w:vMerge w:val="restart"/>
          <w:tcBorders>
            <w:top w:val="single" w:sz="4" w:space="0" w:color="auto"/>
            <w:left w:val="nil"/>
            <w:right w:val="nil"/>
          </w:tcBorders>
        </w:tcPr>
        <w:p w14:paraId="58E78B16" w14:textId="77777777" w:rsidR="00F216F2" w:rsidRDefault="00F216F2" w:rsidP="00F216F2">
          <w:pPr>
            <w:pStyle w:val="Footer"/>
            <w:spacing w:before="20" w:after="20"/>
            <w:rPr>
              <w:rFonts w:cs="Arial"/>
              <w:b/>
              <w:bCs/>
              <w:sz w:val="14"/>
              <w:szCs w:val="14"/>
            </w:rPr>
          </w:pPr>
        </w:p>
        <w:p w14:paraId="45CFAB33" w14:textId="77777777" w:rsidR="00F216F2" w:rsidRPr="002B598A" w:rsidRDefault="00F216F2" w:rsidP="00F216F2">
          <w:pPr>
            <w:pStyle w:val="Footer"/>
            <w:spacing w:before="20" w:after="20"/>
            <w:rPr>
              <w:rFonts w:cs="Arial"/>
              <w:b/>
              <w:bCs/>
              <w:sz w:val="14"/>
              <w:szCs w:val="14"/>
            </w:rPr>
          </w:pPr>
          <w:r w:rsidRPr="002B598A">
            <w:rPr>
              <w:rFonts w:cs="Arial"/>
              <w:b/>
              <w:bCs/>
              <w:sz w:val="14"/>
              <w:szCs w:val="14"/>
            </w:rPr>
            <w:t>INA, d.d.</w:t>
          </w:r>
        </w:p>
        <w:p w14:paraId="4AE7A60F" w14:textId="77777777" w:rsidR="00F216F2" w:rsidRPr="002B598A" w:rsidRDefault="00F216F2" w:rsidP="00F216F2">
          <w:pPr>
            <w:pStyle w:val="Footer"/>
            <w:rPr>
              <w:rFonts w:cs="Arial"/>
              <w:sz w:val="11"/>
              <w:szCs w:val="11"/>
            </w:rPr>
          </w:pPr>
          <w:r w:rsidRPr="002B598A">
            <w:rPr>
              <w:rFonts w:cs="Arial"/>
              <w:sz w:val="11"/>
              <w:szCs w:val="11"/>
            </w:rPr>
            <w:t xml:space="preserve">Avenija Većeslava Holjevca 10 </w:t>
          </w:r>
        </w:p>
        <w:p w14:paraId="33DA61D2" w14:textId="77777777" w:rsidR="00F216F2" w:rsidRPr="002B598A" w:rsidRDefault="00F216F2" w:rsidP="00F216F2">
          <w:pPr>
            <w:pStyle w:val="Footer"/>
            <w:rPr>
              <w:rFonts w:cs="Arial"/>
              <w:sz w:val="11"/>
              <w:szCs w:val="11"/>
            </w:rPr>
          </w:pPr>
          <w:r w:rsidRPr="002B598A">
            <w:rPr>
              <w:rFonts w:cs="Arial"/>
              <w:sz w:val="11"/>
              <w:szCs w:val="11"/>
            </w:rPr>
            <w:t>10 002 Zagreb    p.p. 555</w:t>
          </w:r>
        </w:p>
        <w:p w14:paraId="5BE77CFE" w14:textId="77777777" w:rsidR="00F216F2" w:rsidRDefault="00F216F2" w:rsidP="00F216F2">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5AB315F5" w14:textId="77777777" w:rsidR="00F216F2" w:rsidRPr="00B871AD" w:rsidRDefault="00F216F2" w:rsidP="00F216F2">
          <w:pPr>
            <w:pStyle w:val="Footer"/>
            <w:rPr>
              <w:rFonts w:cs="Arial"/>
              <w:sz w:val="11"/>
              <w:szCs w:val="11"/>
            </w:rPr>
          </w:pPr>
          <w:r w:rsidRPr="00B871AD">
            <w:rPr>
              <w:sz w:val="11"/>
              <w:szCs w:val="11"/>
            </w:rPr>
            <w:t>BIC (SWIFT): INAHHR22</w:t>
          </w:r>
        </w:p>
        <w:p w14:paraId="235E313F" w14:textId="77777777" w:rsidR="00F216F2" w:rsidRPr="002B598A" w:rsidRDefault="00F216F2" w:rsidP="00F216F2">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proofErr w:type="spellStart"/>
          <w:r w:rsidRPr="002B598A">
            <w:rPr>
              <w:rFonts w:cs="Arial"/>
              <w:i/>
              <w:iCs/>
              <w:sz w:val="11"/>
              <w:szCs w:val="11"/>
            </w:rPr>
            <w:t>Telephone</w:t>
          </w:r>
          <w:proofErr w:type="spellEnd"/>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6F93FE2C" w14:textId="77777777" w:rsidR="00F216F2" w:rsidRDefault="00F216F2" w:rsidP="00F216F2">
          <w:pPr>
            <w:pStyle w:val="Footer"/>
            <w:ind w:left="-108"/>
            <w:rPr>
              <w:rFonts w:cs="Arial"/>
              <w:sz w:val="11"/>
              <w:szCs w:val="11"/>
            </w:rPr>
          </w:pPr>
        </w:p>
        <w:p w14:paraId="1B8AD858" w14:textId="77777777" w:rsidR="00F216F2" w:rsidRPr="00713B78" w:rsidRDefault="00F216F2" w:rsidP="00F216F2">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389A7346" w14:textId="77777777" w:rsidR="00F216F2" w:rsidRPr="00713B78" w:rsidRDefault="00F216F2" w:rsidP="00F216F2">
          <w:pPr>
            <w:pStyle w:val="Footer"/>
            <w:ind w:left="-108"/>
            <w:rPr>
              <w:rFonts w:cs="Arial"/>
              <w:sz w:val="11"/>
              <w:szCs w:val="11"/>
            </w:rPr>
          </w:pPr>
        </w:p>
        <w:p w14:paraId="18450CF7" w14:textId="77777777" w:rsidR="00F216F2" w:rsidRPr="00713B78" w:rsidRDefault="00F216F2" w:rsidP="00F216F2">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2C0F0C9D" w14:textId="77777777" w:rsidR="00F216F2" w:rsidRPr="00713B78" w:rsidRDefault="00F216F2" w:rsidP="00F216F2">
          <w:pPr>
            <w:pStyle w:val="Footer"/>
            <w:ind w:left="-108" w:right="-108"/>
            <w:rPr>
              <w:rFonts w:cs="Arial"/>
              <w:sz w:val="11"/>
              <w:szCs w:val="11"/>
            </w:rPr>
          </w:pPr>
        </w:p>
        <w:p w14:paraId="5863B54E" w14:textId="77777777" w:rsidR="00F216F2" w:rsidRPr="00713B78" w:rsidRDefault="00F216F2" w:rsidP="00F216F2">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42F5C1D" w14:textId="77777777" w:rsidR="00F216F2" w:rsidRPr="00713B78" w:rsidRDefault="00F216F2" w:rsidP="00F216F2">
          <w:pPr>
            <w:pStyle w:val="Footer"/>
            <w:spacing w:before="40"/>
            <w:rPr>
              <w:rFonts w:cs="Arial"/>
              <w:sz w:val="11"/>
              <w:szCs w:val="11"/>
            </w:rPr>
          </w:pPr>
        </w:p>
        <w:p w14:paraId="27ED71CB" w14:textId="77777777" w:rsidR="00F216F2" w:rsidRPr="00713B78" w:rsidRDefault="00F216F2" w:rsidP="00F216F2">
          <w:pPr>
            <w:pStyle w:val="Footer"/>
            <w:spacing w:before="40"/>
            <w:rPr>
              <w:rFonts w:cs="Arial"/>
              <w:sz w:val="11"/>
              <w:szCs w:val="11"/>
            </w:rPr>
          </w:pPr>
          <w:r w:rsidRPr="00713B78">
            <w:rPr>
              <w:rFonts w:cs="Arial"/>
              <w:sz w:val="11"/>
              <w:szCs w:val="11"/>
            </w:rPr>
            <w:t>Trgovački sud u Zagrebu</w:t>
          </w:r>
        </w:p>
        <w:p w14:paraId="5B33477F" w14:textId="77777777" w:rsidR="00F216F2" w:rsidRPr="00713B78" w:rsidRDefault="00F216F2" w:rsidP="00F216F2">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594AA94E" w14:textId="77777777" w:rsidR="00F216F2" w:rsidRPr="00713B78" w:rsidRDefault="00F216F2" w:rsidP="00F216F2">
          <w:pPr>
            <w:pStyle w:val="Footer"/>
            <w:rPr>
              <w:rFonts w:cs="Arial"/>
              <w:sz w:val="11"/>
              <w:szCs w:val="11"/>
            </w:rPr>
          </w:pPr>
          <w:r w:rsidRPr="00713B78">
            <w:rPr>
              <w:rFonts w:cs="Arial"/>
              <w:sz w:val="11"/>
              <w:szCs w:val="11"/>
            </w:rPr>
            <w:t>MBS: 080000604</w:t>
          </w:r>
        </w:p>
        <w:p w14:paraId="204DEAD5" w14:textId="77777777" w:rsidR="00F216F2" w:rsidRPr="00713B78" w:rsidRDefault="00F216F2" w:rsidP="00F216F2">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6836AA85" w14:textId="77777777" w:rsidR="00F216F2" w:rsidRPr="00713B78" w:rsidRDefault="00F216F2" w:rsidP="00F216F2">
          <w:pPr>
            <w:pStyle w:val="Footer"/>
            <w:rPr>
              <w:rFonts w:cs="Arial"/>
              <w:sz w:val="11"/>
              <w:szCs w:val="11"/>
            </w:rPr>
          </w:pPr>
          <w:r w:rsidRPr="00713B78">
            <w:rPr>
              <w:rFonts w:cs="Arial"/>
              <w:sz w:val="11"/>
              <w:szCs w:val="11"/>
            </w:rPr>
            <w:t xml:space="preserve">9.000.000.000,00 kn - HRK </w:t>
          </w:r>
        </w:p>
        <w:p w14:paraId="1438928D" w14:textId="77777777" w:rsidR="00F216F2" w:rsidRPr="00713B78" w:rsidRDefault="00F216F2" w:rsidP="00F216F2">
          <w:pPr>
            <w:pStyle w:val="Footer"/>
            <w:rPr>
              <w:rFonts w:cs="Arial"/>
              <w:sz w:val="11"/>
              <w:szCs w:val="11"/>
            </w:rPr>
          </w:pPr>
          <w:r w:rsidRPr="00713B78">
            <w:rPr>
              <w:rFonts w:cs="Arial"/>
              <w:sz w:val="11"/>
              <w:szCs w:val="11"/>
            </w:rPr>
            <w:t>Broj izdanih dionica / Nominalna vrijednost</w:t>
          </w:r>
        </w:p>
        <w:p w14:paraId="595AE3B8" w14:textId="77777777" w:rsidR="00F216F2" w:rsidRPr="00713B78" w:rsidRDefault="00F216F2" w:rsidP="00F216F2">
          <w:pPr>
            <w:pStyle w:val="Footer"/>
            <w:rPr>
              <w:rFonts w:cs="Arial"/>
              <w:i/>
              <w:iCs/>
              <w:sz w:val="11"/>
              <w:szCs w:val="11"/>
              <w:lang w:val="en-US"/>
            </w:rPr>
          </w:pPr>
          <w:r w:rsidRPr="00713B78">
            <w:rPr>
              <w:rFonts w:cs="Arial"/>
              <w:i/>
              <w:iCs/>
              <w:sz w:val="11"/>
              <w:szCs w:val="11"/>
              <w:lang w:val="en-US"/>
            </w:rPr>
            <w:t>No. of issued shares / Nominal value</w:t>
          </w:r>
        </w:p>
        <w:p w14:paraId="0EDEE20A" w14:textId="77777777" w:rsidR="00F216F2" w:rsidRPr="00713B78" w:rsidRDefault="00F216F2" w:rsidP="00F216F2">
          <w:pPr>
            <w:pStyle w:val="Footer"/>
            <w:rPr>
              <w:rFonts w:cs="Arial"/>
              <w:sz w:val="11"/>
              <w:szCs w:val="11"/>
            </w:rPr>
          </w:pPr>
          <w:r w:rsidRPr="00713B78">
            <w:rPr>
              <w:rFonts w:cs="Arial"/>
              <w:sz w:val="11"/>
              <w:szCs w:val="11"/>
            </w:rPr>
            <w:t xml:space="preserve">10.000.000 / 900,00 kn - HRK </w:t>
          </w:r>
        </w:p>
        <w:p w14:paraId="17924518" w14:textId="77777777" w:rsidR="00F216F2" w:rsidRPr="00713B78" w:rsidRDefault="00F216F2" w:rsidP="00F216F2">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61716AAE" w14:textId="77777777" w:rsidR="00F216F2" w:rsidRPr="00713B78" w:rsidRDefault="00F216F2" w:rsidP="00F216F2">
          <w:pPr>
            <w:pStyle w:val="Footer"/>
            <w:rPr>
              <w:rFonts w:cs="Arial"/>
              <w:sz w:val="11"/>
              <w:szCs w:val="11"/>
            </w:rPr>
          </w:pPr>
          <w:r w:rsidRPr="00713B78">
            <w:rPr>
              <w:rFonts w:cs="Arial"/>
              <w:sz w:val="11"/>
              <w:szCs w:val="11"/>
            </w:rPr>
            <w:t>OIB – 27759560625</w:t>
          </w:r>
        </w:p>
        <w:p w14:paraId="5716818E" w14:textId="77777777" w:rsidR="00F216F2" w:rsidRPr="00713B78" w:rsidRDefault="00F216F2" w:rsidP="00F216F2">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F216F2" w:rsidRPr="002B598A" w14:paraId="584BB207" w14:textId="77777777" w:rsidTr="00D50296">
      <w:trPr>
        <w:cantSplit/>
        <w:trHeight w:val="1304"/>
      </w:trPr>
      <w:tc>
        <w:tcPr>
          <w:tcW w:w="1701" w:type="dxa"/>
          <w:vMerge/>
          <w:tcBorders>
            <w:left w:val="nil"/>
            <w:bottom w:val="nil"/>
            <w:right w:val="nil"/>
          </w:tcBorders>
        </w:tcPr>
        <w:p w14:paraId="48118213" w14:textId="77777777" w:rsidR="00F216F2" w:rsidRPr="002B598A" w:rsidRDefault="00F216F2" w:rsidP="00F216F2">
          <w:pPr>
            <w:pStyle w:val="Footer"/>
            <w:rPr>
              <w:rFonts w:cs="Arial"/>
              <w:b/>
              <w:bCs/>
              <w:sz w:val="11"/>
              <w:szCs w:val="11"/>
            </w:rPr>
          </w:pPr>
        </w:p>
      </w:tc>
      <w:tc>
        <w:tcPr>
          <w:tcW w:w="1701" w:type="dxa"/>
          <w:tcBorders>
            <w:top w:val="nil"/>
            <w:left w:val="nil"/>
            <w:bottom w:val="nil"/>
            <w:right w:val="nil"/>
          </w:tcBorders>
        </w:tcPr>
        <w:p w14:paraId="62B7F0F0"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Privredna banka Zagreb d.d.</w:t>
          </w:r>
        </w:p>
        <w:p w14:paraId="45A2FF74"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Raiffeisenbank</w:t>
          </w:r>
          <w:proofErr w:type="spellEnd"/>
          <w:r w:rsidRPr="00713B78">
            <w:rPr>
              <w:rFonts w:cs="Arial"/>
              <w:sz w:val="11"/>
              <w:szCs w:val="11"/>
            </w:rPr>
            <w:t xml:space="preserve"> </w:t>
          </w:r>
          <w:proofErr w:type="spellStart"/>
          <w:r w:rsidRPr="00713B78">
            <w:rPr>
              <w:rFonts w:cs="Arial"/>
              <w:sz w:val="11"/>
              <w:szCs w:val="11"/>
            </w:rPr>
            <w:t>Austria</w:t>
          </w:r>
          <w:proofErr w:type="spellEnd"/>
          <w:r w:rsidRPr="00713B78">
            <w:rPr>
              <w:rFonts w:cs="Arial"/>
              <w:sz w:val="11"/>
              <w:szCs w:val="11"/>
            </w:rPr>
            <w:t xml:space="preserve"> d.d. </w:t>
          </w:r>
        </w:p>
        <w:p w14:paraId="192EDDEF"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Zagrebačka banka d.d.</w:t>
          </w:r>
        </w:p>
        <w:p w14:paraId="3604D6AB"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OTP banka d.d.</w:t>
          </w:r>
        </w:p>
        <w:p w14:paraId="72AC247A" w14:textId="77777777" w:rsidR="00F216F2" w:rsidRPr="00713B78" w:rsidRDefault="00F216F2" w:rsidP="00F216F2">
          <w:pPr>
            <w:pStyle w:val="Footer"/>
            <w:spacing w:line="216" w:lineRule="auto"/>
            <w:ind w:left="-108"/>
            <w:rPr>
              <w:rFonts w:cs="Arial"/>
              <w:sz w:val="11"/>
              <w:szCs w:val="11"/>
            </w:rPr>
          </w:pPr>
          <w:proofErr w:type="spellStart"/>
          <w:r w:rsidRPr="00713B78">
            <w:rPr>
              <w:sz w:val="11"/>
              <w:szCs w:val="11"/>
            </w:rPr>
            <w:t>Erste&amp;Steiermärkische</w:t>
          </w:r>
          <w:proofErr w:type="spellEnd"/>
          <w:r w:rsidRPr="00713B78">
            <w:rPr>
              <w:sz w:val="11"/>
              <w:szCs w:val="11"/>
            </w:rPr>
            <w:t xml:space="preserve"> Bank </w:t>
          </w:r>
          <w:r w:rsidRPr="00713B78">
            <w:rPr>
              <w:rFonts w:cs="Arial"/>
              <w:sz w:val="11"/>
              <w:szCs w:val="11"/>
            </w:rPr>
            <w:t xml:space="preserve">d.d. </w:t>
          </w:r>
        </w:p>
        <w:p w14:paraId="51004BAA"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BANCA POPOLARE DI SONDRIO</w:t>
          </w:r>
        </w:p>
        <w:p w14:paraId="13638F9A" w14:textId="77777777" w:rsidR="00F216F2" w:rsidRDefault="00F216F2" w:rsidP="00F216F2">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6D88CE6D" w14:textId="77777777" w:rsidR="00F216F2" w:rsidRPr="00713B78" w:rsidRDefault="00F216F2" w:rsidP="00F216F2">
          <w:pPr>
            <w:pStyle w:val="Footer"/>
            <w:spacing w:line="216" w:lineRule="auto"/>
            <w:ind w:left="-108"/>
            <w:rPr>
              <w:sz w:val="11"/>
              <w:szCs w:val="11"/>
              <w:lang w:bidi="ta-IN"/>
            </w:rPr>
          </w:pPr>
          <w:r w:rsidRPr="00713B78">
            <w:rPr>
              <w:sz w:val="11"/>
              <w:szCs w:val="11"/>
              <w:lang w:bidi="ta-IN"/>
            </w:rPr>
            <w:t xml:space="preserve">UniCredit Bank </w:t>
          </w:r>
          <w:proofErr w:type="spellStart"/>
          <w:r w:rsidRPr="00713B78">
            <w:rPr>
              <w:sz w:val="11"/>
              <w:szCs w:val="11"/>
              <w:lang w:bidi="ta-IN"/>
            </w:rPr>
            <w:t>Austria</w:t>
          </w:r>
          <w:proofErr w:type="spellEnd"/>
          <w:r w:rsidRPr="00713B78">
            <w:rPr>
              <w:sz w:val="11"/>
              <w:szCs w:val="11"/>
              <w:lang w:bidi="ta-IN"/>
            </w:rPr>
            <w:t xml:space="preserve"> AG</w:t>
          </w:r>
        </w:p>
        <w:p w14:paraId="34641061" w14:textId="77777777" w:rsidR="00F216F2" w:rsidRDefault="00F216F2" w:rsidP="00F216F2">
          <w:pPr>
            <w:pStyle w:val="Footer"/>
            <w:spacing w:line="216" w:lineRule="auto"/>
            <w:ind w:left="-108"/>
            <w:rPr>
              <w:sz w:val="11"/>
              <w:szCs w:val="11"/>
              <w:lang w:bidi="ta-IN"/>
            </w:rPr>
          </w:pPr>
        </w:p>
        <w:p w14:paraId="7DD5188D" w14:textId="77777777" w:rsidR="00F216F2" w:rsidRPr="00713B78" w:rsidRDefault="00F216F2" w:rsidP="00F216F2">
          <w:pPr>
            <w:pStyle w:val="Footer"/>
            <w:spacing w:line="216" w:lineRule="auto"/>
            <w:ind w:left="-108"/>
            <w:rPr>
              <w:sz w:val="11"/>
              <w:szCs w:val="11"/>
              <w:lang w:bidi="ta-IN"/>
            </w:rPr>
          </w:pPr>
        </w:p>
        <w:p w14:paraId="731BC5B7" w14:textId="77777777" w:rsidR="00F216F2" w:rsidRPr="00713B78" w:rsidRDefault="00F216F2" w:rsidP="00F216F2">
          <w:pPr>
            <w:pStyle w:val="Footer"/>
            <w:spacing w:line="216" w:lineRule="auto"/>
            <w:ind w:left="-108"/>
            <w:rPr>
              <w:sz w:val="11"/>
              <w:szCs w:val="11"/>
              <w:lang w:bidi="ta-IN"/>
            </w:rPr>
          </w:pPr>
        </w:p>
      </w:tc>
      <w:tc>
        <w:tcPr>
          <w:tcW w:w="1985" w:type="dxa"/>
          <w:tcBorders>
            <w:top w:val="nil"/>
            <w:left w:val="nil"/>
            <w:bottom w:val="nil"/>
            <w:right w:val="nil"/>
          </w:tcBorders>
        </w:tcPr>
        <w:p w14:paraId="0B7CFE4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Radnička cesta 50, 10000 Zagreb</w:t>
          </w:r>
        </w:p>
        <w:p w14:paraId="5533F34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Magazinska cesta 69, 10000 Zagreb</w:t>
          </w:r>
        </w:p>
        <w:p w14:paraId="45091D46"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Trg bana Josipa Jelačića 10, 10000 Zagreb</w:t>
          </w:r>
        </w:p>
        <w:p w14:paraId="09B4D38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Domovinskog rata 61, 21000 Split</w:t>
          </w:r>
        </w:p>
        <w:p w14:paraId="7923DEB8"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Jadranski trg 3a, 51000 Rijeka</w:t>
          </w:r>
        </w:p>
        <w:p w14:paraId="702442A2"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Viale</w:t>
          </w:r>
          <w:proofErr w:type="spellEnd"/>
          <w:r w:rsidRPr="00713B78">
            <w:rPr>
              <w:rFonts w:cs="Arial"/>
              <w:sz w:val="11"/>
              <w:szCs w:val="11"/>
            </w:rPr>
            <w:t xml:space="preserve"> </w:t>
          </w:r>
          <w:proofErr w:type="spellStart"/>
          <w:r w:rsidRPr="00713B78">
            <w:rPr>
              <w:rFonts w:cs="Arial"/>
              <w:sz w:val="11"/>
              <w:szCs w:val="11"/>
            </w:rPr>
            <w:t>Innocenzo</w:t>
          </w:r>
          <w:proofErr w:type="spellEnd"/>
          <w:r w:rsidRPr="00713B78">
            <w:rPr>
              <w:rFonts w:cs="Arial"/>
              <w:sz w:val="11"/>
              <w:szCs w:val="11"/>
            </w:rPr>
            <w:t xml:space="preserve"> XI n.71, 22100 COMO</w:t>
          </w:r>
        </w:p>
        <w:p w14:paraId="3A1D428E" w14:textId="77777777" w:rsidR="00F216F2" w:rsidRPr="00713B78" w:rsidRDefault="00F216F2" w:rsidP="00F216F2">
          <w:pPr>
            <w:pStyle w:val="Footer"/>
            <w:spacing w:line="216" w:lineRule="auto"/>
            <w:ind w:left="-108" w:right="-66"/>
            <w:rPr>
              <w:sz w:val="11"/>
              <w:szCs w:val="11"/>
              <w:lang w:bidi="ta-IN"/>
            </w:rPr>
          </w:pPr>
          <w:proofErr w:type="spellStart"/>
          <w:r w:rsidRPr="00C03313">
            <w:rPr>
              <w:sz w:val="11"/>
              <w:szCs w:val="11"/>
              <w:lang w:bidi="ta-IN"/>
            </w:rPr>
            <w:t>Jurišićeva</w:t>
          </w:r>
          <w:proofErr w:type="spellEnd"/>
          <w:r w:rsidRPr="00C03313">
            <w:rPr>
              <w:sz w:val="11"/>
              <w:szCs w:val="11"/>
              <w:lang w:bidi="ta-IN"/>
            </w:rPr>
            <w:t xml:space="preserve"> ulica 4, 10000 Zagreb</w:t>
          </w:r>
        </w:p>
        <w:p w14:paraId="0F8F0540" w14:textId="77777777" w:rsidR="00F216F2" w:rsidRPr="00713B78" w:rsidRDefault="00F216F2" w:rsidP="00F216F2">
          <w:pPr>
            <w:pStyle w:val="Footer"/>
            <w:spacing w:line="216" w:lineRule="auto"/>
            <w:ind w:left="-108" w:right="-66"/>
            <w:rPr>
              <w:sz w:val="11"/>
              <w:szCs w:val="11"/>
              <w:lang w:bidi="ta-IN"/>
            </w:rPr>
          </w:pPr>
          <w:proofErr w:type="spellStart"/>
          <w:r w:rsidRPr="00713B78">
            <w:rPr>
              <w:sz w:val="11"/>
              <w:szCs w:val="11"/>
              <w:lang w:bidi="ta-IN"/>
            </w:rPr>
            <w:t>Schottengasse</w:t>
          </w:r>
          <w:proofErr w:type="spellEnd"/>
          <w:r w:rsidRPr="00713B78">
            <w:rPr>
              <w:sz w:val="11"/>
              <w:szCs w:val="11"/>
              <w:lang w:bidi="ta-IN"/>
            </w:rPr>
            <w:t xml:space="preserve"> 6-8, A-1010 </w:t>
          </w:r>
          <w:proofErr w:type="spellStart"/>
          <w:r w:rsidRPr="00713B78">
            <w:rPr>
              <w:sz w:val="11"/>
              <w:szCs w:val="11"/>
              <w:lang w:bidi="ta-IN"/>
            </w:rPr>
            <w:t>Wien</w:t>
          </w:r>
          <w:proofErr w:type="spellEnd"/>
        </w:p>
        <w:p w14:paraId="7CC91C8C" w14:textId="77777777" w:rsidR="00F216F2" w:rsidRPr="00713B78" w:rsidRDefault="00F216F2" w:rsidP="00F216F2">
          <w:pPr>
            <w:pStyle w:val="Footer"/>
            <w:spacing w:line="216" w:lineRule="auto"/>
            <w:ind w:left="-108" w:right="-66"/>
            <w:rPr>
              <w:sz w:val="11"/>
              <w:szCs w:val="11"/>
              <w:lang w:bidi="ta-IN"/>
            </w:rPr>
          </w:pPr>
        </w:p>
        <w:p w14:paraId="4A591ED2" w14:textId="77777777" w:rsidR="00F216F2" w:rsidRPr="00713B78" w:rsidRDefault="00F216F2" w:rsidP="00F216F2">
          <w:pPr>
            <w:pStyle w:val="Footer"/>
            <w:spacing w:line="216" w:lineRule="auto"/>
            <w:ind w:right="-66"/>
            <w:rPr>
              <w:rFonts w:cs="Arial"/>
              <w:sz w:val="11"/>
              <w:szCs w:val="11"/>
            </w:rPr>
          </w:pPr>
        </w:p>
      </w:tc>
      <w:tc>
        <w:tcPr>
          <w:tcW w:w="2126" w:type="dxa"/>
          <w:tcBorders>
            <w:top w:val="nil"/>
            <w:left w:val="nil"/>
            <w:bottom w:val="nil"/>
            <w:right w:val="nil"/>
          </w:tcBorders>
        </w:tcPr>
        <w:p w14:paraId="580030C9"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HR92 2340 0091 1000 2290 2</w:t>
          </w:r>
        </w:p>
        <w:p w14:paraId="1A5C6856"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HR70 2484 0081 1006 1948 3</w:t>
          </w:r>
        </w:p>
        <w:p w14:paraId="661B727F"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HR62 2360 0001 1013 0359 5</w:t>
          </w:r>
        </w:p>
        <w:p w14:paraId="46046860"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HR96 2407 0001 1001 5214 9 </w:t>
          </w:r>
        </w:p>
        <w:p w14:paraId="3224F67B"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4F108AB9"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IT41 N056 9610 900E DCEU 0817 340 (EUR)</w:t>
          </w:r>
        </w:p>
        <w:p w14:paraId="48A6C455" w14:textId="77777777" w:rsidR="00F216F2" w:rsidRDefault="00F216F2" w:rsidP="00F216F2">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40C6C4A6"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 xml:space="preserve">AT21 1200 0528 4400 3466     (EUR) </w:t>
          </w:r>
        </w:p>
        <w:p w14:paraId="2472F0FE"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AT91 1200 0528 4400 3467     (USD)</w:t>
          </w:r>
        </w:p>
        <w:p w14:paraId="68940E32" w14:textId="77777777" w:rsidR="00F216F2" w:rsidRPr="00713B78" w:rsidRDefault="00F216F2" w:rsidP="00F216F2">
          <w:pPr>
            <w:pStyle w:val="Footer"/>
            <w:spacing w:line="216" w:lineRule="auto"/>
            <w:ind w:left="-108" w:right="-108"/>
            <w:rPr>
              <w:sz w:val="11"/>
              <w:szCs w:val="11"/>
              <w:lang w:bidi="ta-IN"/>
            </w:rPr>
          </w:pPr>
        </w:p>
      </w:tc>
      <w:tc>
        <w:tcPr>
          <w:tcW w:w="2126" w:type="dxa"/>
          <w:vMerge/>
          <w:tcBorders>
            <w:left w:val="nil"/>
            <w:bottom w:val="nil"/>
            <w:right w:val="nil"/>
          </w:tcBorders>
        </w:tcPr>
        <w:p w14:paraId="12F190C6" w14:textId="77777777" w:rsidR="00F216F2" w:rsidRPr="002B598A" w:rsidRDefault="00F216F2" w:rsidP="00F216F2">
          <w:pPr>
            <w:pStyle w:val="Footer"/>
            <w:rPr>
              <w:rFonts w:cs="Arial"/>
              <w:sz w:val="11"/>
              <w:szCs w:val="11"/>
            </w:rPr>
          </w:pPr>
        </w:p>
      </w:tc>
    </w:tr>
    <w:tr w:rsidR="00F216F2" w:rsidRPr="002B598A" w14:paraId="36E8DE03" w14:textId="77777777" w:rsidTr="00D50296">
      <w:trPr>
        <w:cantSplit/>
        <w:trHeight w:val="300"/>
      </w:trPr>
      <w:tc>
        <w:tcPr>
          <w:tcW w:w="7513" w:type="dxa"/>
          <w:gridSpan w:val="4"/>
          <w:tcBorders>
            <w:top w:val="nil"/>
            <w:left w:val="nil"/>
            <w:bottom w:val="single" w:sz="4" w:space="0" w:color="auto"/>
            <w:right w:val="nil"/>
          </w:tcBorders>
          <w:vAlign w:val="bottom"/>
        </w:tcPr>
        <w:p w14:paraId="6AF995ED" w14:textId="77777777" w:rsidR="00F216F2" w:rsidRPr="002B598A" w:rsidRDefault="00F216F2" w:rsidP="00F216F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03F987B5" w14:textId="77777777" w:rsidR="00F216F2" w:rsidRPr="002B598A" w:rsidRDefault="00F216F2" w:rsidP="00F216F2">
          <w:pPr>
            <w:pStyle w:val="Footer"/>
            <w:spacing w:line="216" w:lineRule="auto"/>
            <w:ind w:right="-108"/>
            <w:rPr>
              <w:rFonts w:cs="Arial"/>
              <w:sz w:val="4"/>
              <w:szCs w:val="4"/>
            </w:rPr>
          </w:pPr>
          <w:r w:rsidRPr="00847E16">
            <w:rPr>
              <w:sz w:val="11"/>
              <w:szCs w:val="11"/>
            </w:rPr>
            <w:t xml:space="preserve">Péter </w:t>
          </w:r>
          <w:proofErr w:type="spellStart"/>
          <w:r w:rsidRPr="00847E16">
            <w:rPr>
              <w:sz w:val="11"/>
              <w:szCs w:val="11"/>
            </w:rPr>
            <w:t>Ratatics</w:t>
          </w:r>
          <w:proofErr w:type="spellEnd"/>
          <w:r w:rsidRPr="00847E16">
            <w:rPr>
              <w:sz w:val="11"/>
              <w:szCs w:val="11"/>
            </w:rPr>
            <w:t xml:space="preserve">, Berislav Gašo, Krisztián </w:t>
          </w:r>
          <w:proofErr w:type="spellStart"/>
          <w:r w:rsidRPr="00847E16">
            <w:rPr>
              <w:sz w:val="11"/>
              <w:szCs w:val="11"/>
            </w:rPr>
            <w:t>Pulay</w:t>
          </w:r>
          <w:proofErr w:type="spellEnd"/>
          <w:r w:rsidRPr="00847E16">
            <w:rPr>
              <w:sz w:val="11"/>
              <w:szCs w:val="11"/>
            </w:rPr>
            <w:t xml:space="preserve">, Miroslav </w:t>
          </w:r>
          <w:proofErr w:type="spellStart"/>
          <w:r w:rsidRPr="00847E16">
            <w:rPr>
              <w:sz w:val="11"/>
              <w:szCs w:val="11"/>
            </w:rPr>
            <w:t>Skalicki</w:t>
          </w:r>
          <w:proofErr w:type="spellEnd"/>
          <w:r w:rsidRPr="00847E16">
            <w:rPr>
              <w:sz w:val="11"/>
              <w:szCs w:val="11"/>
            </w:rPr>
            <w:t xml:space="preserve">, Hrvoje </w:t>
          </w:r>
          <w:proofErr w:type="spellStart"/>
          <w:r w:rsidRPr="00847E16">
            <w:rPr>
              <w:sz w:val="11"/>
              <w:szCs w:val="11"/>
            </w:rPr>
            <w:t>Šimović</w:t>
          </w:r>
          <w:proofErr w:type="spellEnd"/>
          <w:r w:rsidRPr="00847E16">
            <w:rPr>
              <w:sz w:val="11"/>
              <w:szCs w:val="11"/>
            </w:rPr>
            <w:t>, Marin Zovko</w:t>
          </w:r>
        </w:p>
        <w:p w14:paraId="16D7DFBB" w14:textId="77777777" w:rsidR="00F216F2" w:rsidRPr="002B598A" w:rsidRDefault="00F216F2" w:rsidP="00F216F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 xml:space="preserve">Damir </w:t>
          </w:r>
          <w:proofErr w:type="spellStart"/>
          <w:r>
            <w:rPr>
              <w:rFonts w:cs="Arial"/>
              <w:sz w:val="11"/>
              <w:szCs w:val="11"/>
            </w:rPr>
            <w:t>Mikuljan</w:t>
          </w:r>
          <w:proofErr w:type="spellEnd"/>
        </w:p>
      </w:tc>
      <w:tc>
        <w:tcPr>
          <w:tcW w:w="2126" w:type="dxa"/>
          <w:vMerge/>
          <w:tcBorders>
            <w:top w:val="nil"/>
            <w:left w:val="nil"/>
            <w:bottom w:val="single" w:sz="4" w:space="0" w:color="auto"/>
            <w:right w:val="nil"/>
          </w:tcBorders>
        </w:tcPr>
        <w:p w14:paraId="72AECC84" w14:textId="77777777" w:rsidR="00F216F2" w:rsidRPr="002B598A" w:rsidRDefault="00F216F2" w:rsidP="00F216F2">
          <w:pPr>
            <w:pStyle w:val="Footer"/>
            <w:rPr>
              <w:rFonts w:cs="Arial"/>
              <w:sz w:val="11"/>
              <w:szCs w:val="11"/>
            </w:rPr>
          </w:pPr>
        </w:p>
      </w:tc>
    </w:tr>
    <w:tr w:rsidR="00F216F2" w:rsidRPr="002B598A" w14:paraId="27C5A9A6" w14:textId="77777777" w:rsidTr="00D50296">
      <w:trPr>
        <w:cantSplit/>
        <w:trHeight w:val="170"/>
      </w:trPr>
      <w:tc>
        <w:tcPr>
          <w:tcW w:w="7513" w:type="dxa"/>
          <w:gridSpan w:val="4"/>
          <w:tcBorders>
            <w:top w:val="single" w:sz="4" w:space="0" w:color="auto"/>
            <w:left w:val="nil"/>
            <w:bottom w:val="nil"/>
            <w:right w:val="nil"/>
          </w:tcBorders>
          <w:vAlign w:val="bottom"/>
        </w:tcPr>
        <w:p w14:paraId="1E99EEE3" w14:textId="77777777" w:rsidR="00F216F2" w:rsidRDefault="00F216F2" w:rsidP="00F216F2">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126E2D1F" w14:textId="77777777" w:rsidR="00F216F2" w:rsidRPr="002B598A" w:rsidRDefault="00F216F2" w:rsidP="00F216F2">
          <w:pPr>
            <w:pStyle w:val="Footer"/>
            <w:rPr>
              <w:rFonts w:cs="Arial"/>
              <w:sz w:val="11"/>
              <w:szCs w:val="11"/>
            </w:rPr>
          </w:pPr>
        </w:p>
      </w:tc>
    </w:tr>
  </w:tbl>
  <w:p w14:paraId="02C4EDC5" w14:textId="77777777" w:rsidR="00A07306" w:rsidRPr="00095236" w:rsidRDefault="00A07306" w:rsidP="00A07306">
    <w:pPr>
      <w:pStyle w:val="Footer"/>
      <w:jc w:val="right"/>
    </w:pPr>
    <w:r>
      <w:rPr>
        <w:rFonts w:cs="Arial"/>
        <w:sz w:val="11"/>
        <w:szCs w:val="11"/>
      </w:rPr>
      <w:tab/>
    </w:r>
    <w:r w:rsidRPr="003F5049">
      <w:rPr>
        <w:rFonts w:cs="Arial"/>
        <w:sz w:val="11"/>
        <w:szCs w:val="11"/>
      </w:rPr>
      <w:t xml:space="preserve">str. - </w:t>
    </w:r>
    <w:proofErr w:type="spellStart"/>
    <w:r w:rsidRPr="003F5049">
      <w:rPr>
        <w:rFonts w:cs="Arial"/>
        <w:i/>
        <w:sz w:val="11"/>
        <w:szCs w:val="11"/>
      </w:rPr>
      <w:t>page</w:t>
    </w:r>
    <w:proofErr w:type="spellEnd"/>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D86C" w14:textId="77777777" w:rsidR="0088215D" w:rsidRDefault="0088215D" w:rsidP="00A07306">
      <w:r>
        <w:separator/>
      </w:r>
    </w:p>
  </w:footnote>
  <w:footnote w:type="continuationSeparator" w:id="0">
    <w:p w14:paraId="3968F55B" w14:textId="77777777" w:rsidR="0088215D" w:rsidRDefault="0088215D" w:rsidP="00A0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F0A0" w14:textId="44462D8B" w:rsidR="00C0068C" w:rsidRDefault="0013372E">
    <w:pPr>
      <w:pStyle w:val="Header"/>
    </w:pPr>
    <w:r>
      <w:rPr>
        <w:noProof/>
      </w:rPr>
      <w:drawing>
        <wp:inline distT="0" distB="0" distL="0" distR="0" wp14:anchorId="534E0B01" wp14:editId="74091993">
          <wp:extent cx="1212850" cy="450850"/>
          <wp:effectExtent l="0" t="0" r="6350" b="6350"/>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14:paraId="4D4D10B4" w14:textId="77777777" w:rsidR="00C0068C" w:rsidRDefault="00C0068C"/>
  <w:p w14:paraId="2086966B" w14:textId="77777777" w:rsidR="00C0068C" w:rsidRDefault="00C00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14B0" w14:textId="77777777" w:rsidR="00A07306" w:rsidRPr="00A07306" w:rsidRDefault="00A07306" w:rsidP="00A07306">
    <w:pPr>
      <w:tabs>
        <w:tab w:val="center" w:pos="4536"/>
        <w:tab w:val="right" w:pos="9072"/>
      </w:tabs>
      <w:rPr>
        <w:rFonts w:ascii="Calibri" w:eastAsia="Calibri" w:hAnsi="Calibri" w:cs="Arial"/>
      </w:rPr>
    </w:pPr>
    <w:r w:rsidRPr="00A07306">
      <w:rPr>
        <w:rFonts w:ascii="Calibri" w:eastAsia="Calibri" w:hAnsi="Calibri" w:cs="Arial"/>
        <w:noProof/>
        <w:sz w:val="2"/>
        <w:lang w:eastAsia="hr-HR"/>
      </w:rPr>
      <w:drawing>
        <wp:anchor distT="0" distB="0" distL="114300" distR="114300" simplePos="0" relativeHeight="251659264" behindDoc="0" locked="0" layoutInCell="1" allowOverlap="1" wp14:anchorId="16F01097" wp14:editId="12B93711">
          <wp:simplePos x="0" y="0"/>
          <wp:positionH relativeFrom="column">
            <wp:posOffset>0</wp:posOffset>
          </wp:positionH>
          <wp:positionV relativeFrom="paragraph">
            <wp:posOffset>-635</wp:posOffset>
          </wp:positionV>
          <wp:extent cx="1213415" cy="451220"/>
          <wp:effectExtent l="0" t="0" r="6350" b="6350"/>
          <wp:wrapNone/>
          <wp:docPr id="26" name="Picture 2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2AEE98D4" w14:textId="77777777" w:rsidR="00A07306" w:rsidRPr="00A07306" w:rsidRDefault="00A07306" w:rsidP="00A07306">
    <w:pPr>
      <w:rPr>
        <w:rFonts w:ascii="Calibri" w:eastAsia="Calibri" w:hAnsi="Calibri" w:cs="Arial"/>
      </w:rPr>
    </w:pPr>
  </w:p>
  <w:p w14:paraId="1E69BE48" w14:textId="77777777" w:rsidR="00A07306" w:rsidRDefault="00A0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EE"/>
    <w:multiLevelType w:val="hybridMultilevel"/>
    <w:tmpl w:val="1938D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47029"/>
    <w:multiLevelType w:val="hybridMultilevel"/>
    <w:tmpl w:val="3CD408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A943E2"/>
    <w:multiLevelType w:val="hybridMultilevel"/>
    <w:tmpl w:val="51FCA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AE2578"/>
    <w:multiLevelType w:val="hybridMultilevel"/>
    <w:tmpl w:val="B39E39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7F3FEA"/>
    <w:multiLevelType w:val="hybridMultilevel"/>
    <w:tmpl w:val="4AB451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513D5F"/>
    <w:multiLevelType w:val="hybridMultilevel"/>
    <w:tmpl w:val="0DACF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117D85"/>
    <w:multiLevelType w:val="hybridMultilevel"/>
    <w:tmpl w:val="70606FC2"/>
    <w:lvl w:ilvl="0" w:tplc="CE9A8978">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555CB8"/>
    <w:multiLevelType w:val="hybridMultilevel"/>
    <w:tmpl w:val="8D5A1A48"/>
    <w:lvl w:ilvl="0" w:tplc="041A000D">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52351513"/>
    <w:multiLevelType w:val="hybridMultilevel"/>
    <w:tmpl w:val="3E827AE2"/>
    <w:lvl w:ilvl="0" w:tplc="FFFFFFFF">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4C590D"/>
    <w:multiLevelType w:val="hybridMultilevel"/>
    <w:tmpl w:val="3814D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C72437"/>
    <w:multiLevelType w:val="hybridMultilevel"/>
    <w:tmpl w:val="1F5A21D4"/>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BF514B"/>
    <w:multiLevelType w:val="hybridMultilevel"/>
    <w:tmpl w:val="C55E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0777F2F"/>
    <w:multiLevelType w:val="hybridMultilevel"/>
    <w:tmpl w:val="E0E42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7591751"/>
    <w:multiLevelType w:val="hybridMultilevel"/>
    <w:tmpl w:val="65C0E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C1C3347"/>
    <w:multiLevelType w:val="hybridMultilevel"/>
    <w:tmpl w:val="02DC2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FCF3A04"/>
    <w:multiLevelType w:val="hybridMultilevel"/>
    <w:tmpl w:val="F7F86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76319406">
    <w:abstractNumId w:val="7"/>
  </w:num>
  <w:num w:numId="2" w16cid:durableId="43264358">
    <w:abstractNumId w:val="4"/>
  </w:num>
  <w:num w:numId="3" w16cid:durableId="1123618612">
    <w:abstractNumId w:val="3"/>
  </w:num>
  <w:num w:numId="4" w16cid:durableId="1668630047">
    <w:abstractNumId w:val="6"/>
  </w:num>
  <w:num w:numId="5" w16cid:durableId="1278878942">
    <w:abstractNumId w:val="1"/>
  </w:num>
  <w:num w:numId="6" w16cid:durableId="1100876839">
    <w:abstractNumId w:val="0"/>
  </w:num>
  <w:num w:numId="7" w16cid:durableId="40830037">
    <w:abstractNumId w:val="9"/>
  </w:num>
  <w:num w:numId="8" w16cid:durableId="1943950947">
    <w:abstractNumId w:val="11"/>
  </w:num>
  <w:num w:numId="9" w16cid:durableId="245112646">
    <w:abstractNumId w:val="5"/>
  </w:num>
  <w:num w:numId="10" w16cid:durableId="1870801161">
    <w:abstractNumId w:val="13"/>
  </w:num>
  <w:num w:numId="11" w16cid:durableId="372654406">
    <w:abstractNumId w:val="12"/>
  </w:num>
  <w:num w:numId="12" w16cid:durableId="1772162996">
    <w:abstractNumId w:val="2"/>
  </w:num>
  <w:num w:numId="13" w16cid:durableId="1489445754">
    <w:abstractNumId w:val="8"/>
  </w:num>
  <w:num w:numId="14" w16cid:durableId="1216812522">
    <w:abstractNumId w:val="14"/>
  </w:num>
  <w:num w:numId="15" w16cid:durableId="1125657878">
    <w:abstractNumId w:val="15"/>
  </w:num>
  <w:num w:numId="16" w16cid:durableId="2104063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6"/>
    <w:rsid w:val="00001965"/>
    <w:rsid w:val="000038FF"/>
    <w:rsid w:val="000063B9"/>
    <w:rsid w:val="00006E61"/>
    <w:rsid w:val="000106AF"/>
    <w:rsid w:val="00013155"/>
    <w:rsid w:val="00015028"/>
    <w:rsid w:val="000233FE"/>
    <w:rsid w:val="00045B27"/>
    <w:rsid w:val="00056C94"/>
    <w:rsid w:val="00062B61"/>
    <w:rsid w:val="00077B63"/>
    <w:rsid w:val="000967F4"/>
    <w:rsid w:val="000B23EC"/>
    <w:rsid w:val="000D2E38"/>
    <w:rsid w:val="000D3B90"/>
    <w:rsid w:val="000E409D"/>
    <w:rsid w:val="00111447"/>
    <w:rsid w:val="00130434"/>
    <w:rsid w:val="0013084B"/>
    <w:rsid w:val="0013372E"/>
    <w:rsid w:val="00134909"/>
    <w:rsid w:val="00136293"/>
    <w:rsid w:val="001362A0"/>
    <w:rsid w:val="001448B1"/>
    <w:rsid w:val="00147E32"/>
    <w:rsid w:val="00153929"/>
    <w:rsid w:val="00162029"/>
    <w:rsid w:val="00172688"/>
    <w:rsid w:val="00177372"/>
    <w:rsid w:val="00183700"/>
    <w:rsid w:val="001A239C"/>
    <w:rsid w:val="001A2DAF"/>
    <w:rsid w:val="001A7C4A"/>
    <w:rsid w:val="001B3B73"/>
    <w:rsid w:val="001B7CDD"/>
    <w:rsid w:val="001D4B04"/>
    <w:rsid w:val="001E0123"/>
    <w:rsid w:val="001F5ECF"/>
    <w:rsid w:val="00202F79"/>
    <w:rsid w:val="002030E3"/>
    <w:rsid w:val="00221EC5"/>
    <w:rsid w:val="00223745"/>
    <w:rsid w:val="00225B6F"/>
    <w:rsid w:val="00237922"/>
    <w:rsid w:val="0024618E"/>
    <w:rsid w:val="00260049"/>
    <w:rsid w:val="00274E46"/>
    <w:rsid w:val="002837F5"/>
    <w:rsid w:val="00286848"/>
    <w:rsid w:val="002956FD"/>
    <w:rsid w:val="002A501B"/>
    <w:rsid w:val="002B22D3"/>
    <w:rsid w:val="002B51C0"/>
    <w:rsid w:val="002B6CB4"/>
    <w:rsid w:val="002C08C0"/>
    <w:rsid w:val="002C34F5"/>
    <w:rsid w:val="002C38AC"/>
    <w:rsid w:val="002D0A6C"/>
    <w:rsid w:val="002E0F32"/>
    <w:rsid w:val="00306F07"/>
    <w:rsid w:val="0031203C"/>
    <w:rsid w:val="003139DA"/>
    <w:rsid w:val="00313DB3"/>
    <w:rsid w:val="00321CD9"/>
    <w:rsid w:val="00325E61"/>
    <w:rsid w:val="003273A7"/>
    <w:rsid w:val="003314B8"/>
    <w:rsid w:val="0034205C"/>
    <w:rsid w:val="00347914"/>
    <w:rsid w:val="003559B8"/>
    <w:rsid w:val="0037692E"/>
    <w:rsid w:val="00383290"/>
    <w:rsid w:val="003868E8"/>
    <w:rsid w:val="00386A08"/>
    <w:rsid w:val="003A7E66"/>
    <w:rsid w:val="003C249C"/>
    <w:rsid w:val="003C314F"/>
    <w:rsid w:val="003C77A4"/>
    <w:rsid w:val="003D1715"/>
    <w:rsid w:val="003D2CA2"/>
    <w:rsid w:val="003D2D55"/>
    <w:rsid w:val="003E071E"/>
    <w:rsid w:val="003E0A2F"/>
    <w:rsid w:val="003E20D9"/>
    <w:rsid w:val="003E57F0"/>
    <w:rsid w:val="003F5B82"/>
    <w:rsid w:val="003F785C"/>
    <w:rsid w:val="004020CB"/>
    <w:rsid w:val="00404512"/>
    <w:rsid w:val="00405E9C"/>
    <w:rsid w:val="00407B3A"/>
    <w:rsid w:val="0041123B"/>
    <w:rsid w:val="0041437F"/>
    <w:rsid w:val="004151D9"/>
    <w:rsid w:val="00420131"/>
    <w:rsid w:val="00420338"/>
    <w:rsid w:val="00441485"/>
    <w:rsid w:val="0044150E"/>
    <w:rsid w:val="0044210D"/>
    <w:rsid w:val="00442645"/>
    <w:rsid w:val="00453C86"/>
    <w:rsid w:val="00455F6D"/>
    <w:rsid w:val="0045614F"/>
    <w:rsid w:val="0046036C"/>
    <w:rsid w:val="0048462C"/>
    <w:rsid w:val="004D5D12"/>
    <w:rsid w:val="004F413E"/>
    <w:rsid w:val="0050011D"/>
    <w:rsid w:val="005007A0"/>
    <w:rsid w:val="0051395B"/>
    <w:rsid w:val="0051396B"/>
    <w:rsid w:val="005146D8"/>
    <w:rsid w:val="00515D1E"/>
    <w:rsid w:val="00522D26"/>
    <w:rsid w:val="00522F2E"/>
    <w:rsid w:val="0054262B"/>
    <w:rsid w:val="00547E81"/>
    <w:rsid w:val="00554833"/>
    <w:rsid w:val="00565775"/>
    <w:rsid w:val="00565C51"/>
    <w:rsid w:val="005717D9"/>
    <w:rsid w:val="005756D5"/>
    <w:rsid w:val="0057609B"/>
    <w:rsid w:val="00580CD7"/>
    <w:rsid w:val="00585BCD"/>
    <w:rsid w:val="005936BF"/>
    <w:rsid w:val="00597DDB"/>
    <w:rsid w:val="005A1789"/>
    <w:rsid w:val="005A39FC"/>
    <w:rsid w:val="005C02B3"/>
    <w:rsid w:val="005C4F96"/>
    <w:rsid w:val="005D2D6D"/>
    <w:rsid w:val="005D3C0A"/>
    <w:rsid w:val="005E7152"/>
    <w:rsid w:val="005E78FB"/>
    <w:rsid w:val="005F5CBB"/>
    <w:rsid w:val="006106CE"/>
    <w:rsid w:val="00613BA8"/>
    <w:rsid w:val="00621EAF"/>
    <w:rsid w:val="00623A95"/>
    <w:rsid w:val="00625749"/>
    <w:rsid w:val="00625852"/>
    <w:rsid w:val="006258D4"/>
    <w:rsid w:val="006305DF"/>
    <w:rsid w:val="00642104"/>
    <w:rsid w:val="00665709"/>
    <w:rsid w:val="00672D8E"/>
    <w:rsid w:val="00674AA7"/>
    <w:rsid w:val="00677952"/>
    <w:rsid w:val="00680FC4"/>
    <w:rsid w:val="006863E9"/>
    <w:rsid w:val="006900BF"/>
    <w:rsid w:val="00693673"/>
    <w:rsid w:val="006A3999"/>
    <w:rsid w:val="006A6D32"/>
    <w:rsid w:val="006B1AA3"/>
    <w:rsid w:val="006B25B3"/>
    <w:rsid w:val="006B28F0"/>
    <w:rsid w:val="006B457D"/>
    <w:rsid w:val="006C421A"/>
    <w:rsid w:val="006C7C65"/>
    <w:rsid w:val="006D001E"/>
    <w:rsid w:val="006D62BF"/>
    <w:rsid w:val="006D656F"/>
    <w:rsid w:val="006E5565"/>
    <w:rsid w:val="00702406"/>
    <w:rsid w:val="00707041"/>
    <w:rsid w:val="00711992"/>
    <w:rsid w:val="00713418"/>
    <w:rsid w:val="007175E1"/>
    <w:rsid w:val="00717D51"/>
    <w:rsid w:val="00720907"/>
    <w:rsid w:val="00737BAE"/>
    <w:rsid w:val="007521DD"/>
    <w:rsid w:val="00756EF3"/>
    <w:rsid w:val="007579C7"/>
    <w:rsid w:val="00761DC2"/>
    <w:rsid w:val="00765C27"/>
    <w:rsid w:val="00770C61"/>
    <w:rsid w:val="007711E3"/>
    <w:rsid w:val="007B1294"/>
    <w:rsid w:val="007C1E7D"/>
    <w:rsid w:val="007E4644"/>
    <w:rsid w:val="00802C46"/>
    <w:rsid w:val="00806181"/>
    <w:rsid w:val="00815158"/>
    <w:rsid w:val="00826FF5"/>
    <w:rsid w:val="0085055B"/>
    <w:rsid w:val="0085625B"/>
    <w:rsid w:val="00863377"/>
    <w:rsid w:val="008643AD"/>
    <w:rsid w:val="00876FC0"/>
    <w:rsid w:val="0088007E"/>
    <w:rsid w:val="0088215D"/>
    <w:rsid w:val="008954C8"/>
    <w:rsid w:val="00897BE7"/>
    <w:rsid w:val="008A04B2"/>
    <w:rsid w:val="008A1F31"/>
    <w:rsid w:val="008A7194"/>
    <w:rsid w:val="008B13EE"/>
    <w:rsid w:val="008C1447"/>
    <w:rsid w:val="008C6D6F"/>
    <w:rsid w:val="008E16CD"/>
    <w:rsid w:val="008E299C"/>
    <w:rsid w:val="008E2A75"/>
    <w:rsid w:val="008E662B"/>
    <w:rsid w:val="008F24D0"/>
    <w:rsid w:val="008F4A07"/>
    <w:rsid w:val="00900453"/>
    <w:rsid w:val="009145A3"/>
    <w:rsid w:val="009146A1"/>
    <w:rsid w:val="0092012F"/>
    <w:rsid w:val="0092225F"/>
    <w:rsid w:val="009301F7"/>
    <w:rsid w:val="00930350"/>
    <w:rsid w:val="00935171"/>
    <w:rsid w:val="00942E3B"/>
    <w:rsid w:val="00956DC8"/>
    <w:rsid w:val="00967926"/>
    <w:rsid w:val="00974E20"/>
    <w:rsid w:val="00975056"/>
    <w:rsid w:val="00990C8F"/>
    <w:rsid w:val="00991847"/>
    <w:rsid w:val="009A0CAF"/>
    <w:rsid w:val="009B0FA5"/>
    <w:rsid w:val="009B1837"/>
    <w:rsid w:val="009B1CD9"/>
    <w:rsid w:val="009C37EC"/>
    <w:rsid w:val="009E69BB"/>
    <w:rsid w:val="00A03B09"/>
    <w:rsid w:val="00A07306"/>
    <w:rsid w:val="00A12868"/>
    <w:rsid w:val="00A223F1"/>
    <w:rsid w:val="00A32E62"/>
    <w:rsid w:val="00A41557"/>
    <w:rsid w:val="00A440A7"/>
    <w:rsid w:val="00A475B0"/>
    <w:rsid w:val="00A53014"/>
    <w:rsid w:val="00A53E80"/>
    <w:rsid w:val="00A64523"/>
    <w:rsid w:val="00A64A8E"/>
    <w:rsid w:val="00A76FCC"/>
    <w:rsid w:val="00A83BE9"/>
    <w:rsid w:val="00A921A4"/>
    <w:rsid w:val="00A94556"/>
    <w:rsid w:val="00A9479F"/>
    <w:rsid w:val="00AA307B"/>
    <w:rsid w:val="00AB4360"/>
    <w:rsid w:val="00AF326E"/>
    <w:rsid w:val="00AF46C2"/>
    <w:rsid w:val="00B02ABC"/>
    <w:rsid w:val="00B05CB1"/>
    <w:rsid w:val="00B103EE"/>
    <w:rsid w:val="00B167D5"/>
    <w:rsid w:val="00B20E20"/>
    <w:rsid w:val="00B23B32"/>
    <w:rsid w:val="00B720CE"/>
    <w:rsid w:val="00B909C7"/>
    <w:rsid w:val="00B93B4A"/>
    <w:rsid w:val="00BB05E1"/>
    <w:rsid w:val="00BC1483"/>
    <w:rsid w:val="00BC24F7"/>
    <w:rsid w:val="00BC616F"/>
    <w:rsid w:val="00BC6BAE"/>
    <w:rsid w:val="00BD3070"/>
    <w:rsid w:val="00BD6224"/>
    <w:rsid w:val="00BE2CC1"/>
    <w:rsid w:val="00BF743A"/>
    <w:rsid w:val="00C0068C"/>
    <w:rsid w:val="00C02F5F"/>
    <w:rsid w:val="00C05667"/>
    <w:rsid w:val="00C104C9"/>
    <w:rsid w:val="00C14AFF"/>
    <w:rsid w:val="00C15454"/>
    <w:rsid w:val="00C1594F"/>
    <w:rsid w:val="00C17025"/>
    <w:rsid w:val="00C20BC7"/>
    <w:rsid w:val="00C24F05"/>
    <w:rsid w:val="00C324EC"/>
    <w:rsid w:val="00C343D0"/>
    <w:rsid w:val="00C47B49"/>
    <w:rsid w:val="00C57659"/>
    <w:rsid w:val="00C57F34"/>
    <w:rsid w:val="00C60277"/>
    <w:rsid w:val="00C605BE"/>
    <w:rsid w:val="00C62875"/>
    <w:rsid w:val="00C75789"/>
    <w:rsid w:val="00C83ECF"/>
    <w:rsid w:val="00CA67A6"/>
    <w:rsid w:val="00CC5891"/>
    <w:rsid w:val="00CD6145"/>
    <w:rsid w:val="00CD76A6"/>
    <w:rsid w:val="00CE5428"/>
    <w:rsid w:val="00CE6C07"/>
    <w:rsid w:val="00CF230A"/>
    <w:rsid w:val="00CF3AA7"/>
    <w:rsid w:val="00D01187"/>
    <w:rsid w:val="00D05848"/>
    <w:rsid w:val="00D067D9"/>
    <w:rsid w:val="00D35C05"/>
    <w:rsid w:val="00D374E5"/>
    <w:rsid w:val="00D4664D"/>
    <w:rsid w:val="00D46695"/>
    <w:rsid w:val="00D733A7"/>
    <w:rsid w:val="00D7628A"/>
    <w:rsid w:val="00D82CA9"/>
    <w:rsid w:val="00D9254A"/>
    <w:rsid w:val="00DA2E28"/>
    <w:rsid w:val="00DA34A2"/>
    <w:rsid w:val="00DB3FFE"/>
    <w:rsid w:val="00DC033C"/>
    <w:rsid w:val="00DD7D8F"/>
    <w:rsid w:val="00DE2426"/>
    <w:rsid w:val="00DE5C19"/>
    <w:rsid w:val="00DE61CC"/>
    <w:rsid w:val="00E043E2"/>
    <w:rsid w:val="00E050DE"/>
    <w:rsid w:val="00E108A5"/>
    <w:rsid w:val="00E12DF3"/>
    <w:rsid w:val="00E15F4E"/>
    <w:rsid w:val="00E17464"/>
    <w:rsid w:val="00E25474"/>
    <w:rsid w:val="00E34E11"/>
    <w:rsid w:val="00E36EAC"/>
    <w:rsid w:val="00E5488D"/>
    <w:rsid w:val="00E55F85"/>
    <w:rsid w:val="00E70ECF"/>
    <w:rsid w:val="00E73AF4"/>
    <w:rsid w:val="00E73BC7"/>
    <w:rsid w:val="00E748C5"/>
    <w:rsid w:val="00E7792B"/>
    <w:rsid w:val="00E80D63"/>
    <w:rsid w:val="00E90E60"/>
    <w:rsid w:val="00EA3FEA"/>
    <w:rsid w:val="00EC101E"/>
    <w:rsid w:val="00EC3D8C"/>
    <w:rsid w:val="00EC5226"/>
    <w:rsid w:val="00ED7AA1"/>
    <w:rsid w:val="00EE4723"/>
    <w:rsid w:val="00EE7B8D"/>
    <w:rsid w:val="00EF1597"/>
    <w:rsid w:val="00EF1EF4"/>
    <w:rsid w:val="00F02807"/>
    <w:rsid w:val="00F11420"/>
    <w:rsid w:val="00F216F2"/>
    <w:rsid w:val="00F245A3"/>
    <w:rsid w:val="00F260F5"/>
    <w:rsid w:val="00F410A2"/>
    <w:rsid w:val="00F56832"/>
    <w:rsid w:val="00F61D48"/>
    <w:rsid w:val="00F73A0D"/>
    <w:rsid w:val="00F77244"/>
    <w:rsid w:val="00F848DD"/>
    <w:rsid w:val="00F84CCE"/>
    <w:rsid w:val="00F93867"/>
    <w:rsid w:val="00FD27A4"/>
    <w:rsid w:val="00FD2D90"/>
    <w:rsid w:val="00FF0C7C"/>
    <w:rsid w:val="00FF1CE1"/>
    <w:rsid w:val="00FF48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3D48"/>
  <w15:chartTrackingRefBased/>
  <w15:docId w15:val="{34C3D77B-0838-430E-A0CD-D317D750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8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579C7"/>
    <w:pPr>
      <w:keepNext/>
      <w:keepLines/>
      <w:spacing w:before="200" w:after="200"/>
      <w:jc w:val="both"/>
      <w:outlineLvl w:val="1"/>
    </w:pPr>
    <w:rPr>
      <w:rFonts w:ascii="Arial" w:eastAsiaTheme="majorEastAsia" w:hAnsi="Arial" w:cstheme="majorBidi"/>
      <w:b/>
      <w:color w:val="004676"/>
      <w:sz w:val="22"/>
      <w:szCs w:val="26"/>
      <w:lang w:val="en-GB"/>
    </w:rPr>
  </w:style>
  <w:style w:type="paragraph" w:styleId="Heading4">
    <w:name w:val="heading 4"/>
    <w:basedOn w:val="Normal"/>
    <w:next w:val="Normal"/>
    <w:link w:val="Heading4Char"/>
    <w:uiPriority w:val="9"/>
    <w:semiHidden/>
    <w:unhideWhenUsed/>
    <w:qFormat/>
    <w:rsid w:val="00260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306"/>
    <w:pPr>
      <w:tabs>
        <w:tab w:val="center" w:pos="4536"/>
        <w:tab w:val="right" w:pos="9072"/>
      </w:tabs>
    </w:pPr>
  </w:style>
  <w:style w:type="character" w:customStyle="1" w:styleId="HeaderChar">
    <w:name w:val="Header Char"/>
    <w:basedOn w:val="DefaultParagraphFont"/>
    <w:link w:val="Header"/>
    <w:rsid w:val="00A07306"/>
  </w:style>
  <w:style w:type="paragraph" w:styleId="Footer">
    <w:name w:val="footer"/>
    <w:basedOn w:val="Normal"/>
    <w:link w:val="FooterChar"/>
    <w:unhideWhenUsed/>
    <w:rsid w:val="00A07306"/>
    <w:pPr>
      <w:tabs>
        <w:tab w:val="center" w:pos="4536"/>
        <w:tab w:val="right" w:pos="9072"/>
      </w:tabs>
    </w:pPr>
  </w:style>
  <w:style w:type="character" w:customStyle="1" w:styleId="FooterChar">
    <w:name w:val="Footer Char"/>
    <w:basedOn w:val="DefaultParagraphFont"/>
    <w:link w:val="Footer"/>
    <w:rsid w:val="00A07306"/>
  </w:style>
  <w:style w:type="character" w:styleId="Hyperlink">
    <w:name w:val="Hyperlink"/>
    <w:rsid w:val="00C0068C"/>
    <w:rPr>
      <w:color w:val="0000FF"/>
      <w:u w:val="single"/>
    </w:rPr>
  </w:style>
  <w:style w:type="paragraph" w:styleId="ListParagraph">
    <w:name w:val="List Paragraph"/>
    <w:basedOn w:val="Normal"/>
    <w:link w:val="ListParagraphChar"/>
    <w:uiPriority w:val="34"/>
    <w:qFormat/>
    <w:rsid w:val="00C0068C"/>
    <w:pPr>
      <w:ind w:left="720"/>
      <w:contextualSpacing/>
    </w:pPr>
  </w:style>
  <w:style w:type="character" w:customStyle="1" w:styleId="ListParagraphChar">
    <w:name w:val="List Paragraph Char"/>
    <w:basedOn w:val="DefaultParagraphFont"/>
    <w:link w:val="ListParagraph"/>
    <w:uiPriority w:val="34"/>
    <w:locked/>
    <w:rsid w:val="00C0068C"/>
    <w:rPr>
      <w:rFonts w:ascii="Times New Roman" w:eastAsia="Times New Roman" w:hAnsi="Times New Roman" w:cs="Times New Roman"/>
      <w:sz w:val="24"/>
      <w:szCs w:val="24"/>
    </w:rPr>
  </w:style>
  <w:style w:type="paragraph" w:styleId="NoSpacing">
    <w:name w:val="No Spacing"/>
    <w:aliases w:val="Normal_FR"/>
    <w:uiPriority w:val="1"/>
    <w:qFormat/>
    <w:rsid w:val="00C0068C"/>
    <w:pPr>
      <w:spacing w:before="120" w:after="120" w:line="240" w:lineRule="auto"/>
      <w:jc w:val="both"/>
    </w:pPr>
    <w:rPr>
      <w:rFonts w:ascii="Arial" w:hAnsi="Arial"/>
      <w:sz w:val="18"/>
      <w:szCs w:val="24"/>
      <w:lang w:val="en-GB"/>
    </w:rPr>
  </w:style>
  <w:style w:type="paragraph" w:styleId="BalloonText">
    <w:name w:val="Balloon Text"/>
    <w:basedOn w:val="Normal"/>
    <w:link w:val="BalloonTextChar"/>
    <w:uiPriority w:val="99"/>
    <w:semiHidden/>
    <w:unhideWhenUsed/>
    <w:rsid w:val="00C0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39DA"/>
    <w:rPr>
      <w:sz w:val="16"/>
      <w:szCs w:val="16"/>
    </w:rPr>
  </w:style>
  <w:style w:type="paragraph" w:styleId="CommentText">
    <w:name w:val="annotation text"/>
    <w:basedOn w:val="Normal"/>
    <w:link w:val="CommentTextChar"/>
    <w:uiPriority w:val="99"/>
    <w:semiHidden/>
    <w:unhideWhenUsed/>
    <w:rsid w:val="003139DA"/>
    <w:rPr>
      <w:sz w:val="20"/>
      <w:szCs w:val="20"/>
    </w:rPr>
  </w:style>
  <w:style w:type="character" w:customStyle="1" w:styleId="CommentTextChar">
    <w:name w:val="Comment Text Char"/>
    <w:basedOn w:val="DefaultParagraphFont"/>
    <w:link w:val="CommentText"/>
    <w:uiPriority w:val="99"/>
    <w:semiHidden/>
    <w:rsid w:val="00313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9DA"/>
    <w:rPr>
      <w:b/>
      <w:bCs/>
    </w:rPr>
  </w:style>
  <w:style w:type="character" w:customStyle="1" w:styleId="CommentSubjectChar">
    <w:name w:val="Comment Subject Char"/>
    <w:basedOn w:val="CommentTextChar"/>
    <w:link w:val="CommentSubject"/>
    <w:uiPriority w:val="99"/>
    <w:semiHidden/>
    <w:rsid w:val="003139D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579C7"/>
    <w:rPr>
      <w:rFonts w:ascii="Arial" w:eastAsiaTheme="majorEastAsia" w:hAnsi="Arial" w:cstheme="majorBidi"/>
      <w:b/>
      <w:color w:val="004676"/>
      <w:szCs w:val="26"/>
      <w:lang w:val="en-GB"/>
    </w:rPr>
  </w:style>
  <w:style w:type="paragraph" w:styleId="PlainText">
    <w:name w:val="Plain Text"/>
    <w:basedOn w:val="Normal"/>
    <w:link w:val="PlainTextChar"/>
    <w:uiPriority w:val="99"/>
    <w:semiHidden/>
    <w:unhideWhenUsed/>
    <w:rsid w:val="000038F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038FF"/>
    <w:rPr>
      <w:rFonts w:ascii="Calibri" w:hAnsi="Calibri"/>
      <w:szCs w:val="21"/>
    </w:rPr>
  </w:style>
  <w:style w:type="character" w:customStyle="1" w:styleId="Heading4Char">
    <w:name w:val="Heading 4 Char"/>
    <w:basedOn w:val="DefaultParagraphFont"/>
    <w:link w:val="Heading4"/>
    <w:uiPriority w:val="9"/>
    <w:semiHidden/>
    <w:rsid w:val="00260049"/>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306F07"/>
    <w:pPr>
      <w:spacing w:after="0" w:line="240" w:lineRule="auto"/>
    </w:pPr>
    <w:rPr>
      <w:rFonts w:ascii="Times New Roman" w:eastAsia="Times New Roman" w:hAnsi="Times New Roman" w:cs="Times New Roman"/>
      <w:sz w:val="24"/>
      <w:szCs w:val="24"/>
    </w:rPr>
  </w:style>
  <w:style w:type="paragraph" w:customStyle="1" w:styleId="Default">
    <w:name w:val="Default"/>
    <w:rsid w:val="000E409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1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587">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1065110495">
      <w:bodyDiv w:val="1"/>
      <w:marLeft w:val="0"/>
      <w:marRight w:val="0"/>
      <w:marTop w:val="0"/>
      <w:marBottom w:val="0"/>
      <w:divBdr>
        <w:top w:val="none" w:sz="0" w:space="0" w:color="auto"/>
        <w:left w:val="none" w:sz="0" w:space="0" w:color="auto"/>
        <w:bottom w:val="none" w:sz="0" w:space="0" w:color="auto"/>
        <w:right w:val="none" w:sz="0" w:space="0" w:color="auto"/>
      </w:divBdr>
    </w:div>
    <w:div w:id="1293947813">
      <w:bodyDiv w:val="1"/>
      <w:marLeft w:val="0"/>
      <w:marRight w:val="0"/>
      <w:marTop w:val="0"/>
      <w:marBottom w:val="0"/>
      <w:divBdr>
        <w:top w:val="none" w:sz="0" w:space="0" w:color="auto"/>
        <w:left w:val="none" w:sz="0" w:space="0" w:color="auto"/>
        <w:bottom w:val="none" w:sz="0" w:space="0" w:color="auto"/>
        <w:right w:val="none" w:sz="0" w:space="0" w:color="auto"/>
      </w:divBdr>
    </w:div>
    <w:div w:id="1401706184">
      <w:bodyDiv w:val="1"/>
      <w:marLeft w:val="0"/>
      <w:marRight w:val="0"/>
      <w:marTop w:val="0"/>
      <w:marBottom w:val="0"/>
      <w:divBdr>
        <w:top w:val="none" w:sz="0" w:space="0" w:color="auto"/>
        <w:left w:val="none" w:sz="0" w:space="0" w:color="auto"/>
        <w:bottom w:val="none" w:sz="0" w:space="0" w:color="auto"/>
        <w:right w:val="none" w:sz="0" w:space="0" w:color="auto"/>
      </w:divBdr>
    </w:div>
    <w:div w:id="19042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h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s://www.ina.hr/en/press-cent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ina.obavijesti@gmail.com"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2FDB-8E9C-4EB2-B42B-0CC4F201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Đolo Sandra</dc:creator>
  <cp:keywords/>
  <dc:description/>
  <cp:lastModifiedBy>Majić Crnković Marina</cp:lastModifiedBy>
  <cp:revision>30</cp:revision>
  <cp:lastPrinted>2021-07-29T11:14:00Z</cp:lastPrinted>
  <dcterms:created xsi:type="dcterms:W3CDTF">2022-10-25T14:43:00Z</dcterms:created>
  <dcterms:modified xsi:type="dcterms:W3CDTF">2022-10-28T09:12:00Z</dcterms:modified>
</cp:coreProperties>
</file>