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8BE" w14:textId="50506C0B" w:rsidR="00C0068C" w:rsidRPr="000F22E7" w:rsidRDefault="00A72DAC" w:rsidP="00C0068C">
      <w:pPr>
        <w:jc w:val="both"/>
        <w:rPr>
          <w:rFonts w:asciiTheme="minorHAnsi" w:hAnsiTheme="minorHAnsi" w:cstheme="minorHAnsi"/>
        </w:rPr>
      </w:pPr>
      <w:bookmarkStart w:id="0" w:name="_Hlk101870254"/>
      <w:bookmarkEnd w:id="0"/>
      <w:r w:rsidRPr="000F22E7">
        <w:rPr>
          <w:rFonts w:asciiTheme="minorHAnsi" w:hAnsiTheme="minorHAnsi" w:cstheme="minorHAnsi"/>
        </w:rPr>
        <w:t xml:space="preserve"> </w:t>
      </w:r>
    </w:p>
    <w:p w14:paraId="4F7FB7C1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71B952EF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6DAF8346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014BF65D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5A3710D8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0D8E1E1E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20261634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702E904B" w14:textId="6C95ADD6" w:rsidR="00C0068C" w:rsidRPr="000F22E7" w:rsidRDefault="00C0068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0F22E7">
        <w:rPr>
          <w:rFonts w:asciiTheme="minorHAnsi" w:hAnsiTheme="minorHAnsi" w:cstheme="minorHAnsi"/>
          <w:sz w:val="56"/>
          <w:szCs w:val="56"/>
        </w:rPr>
        <w:t>FINAN</w:t>
      </w:r>
      <w:r w:rsidR="000A4619" w:rsidRPr="000F22E7">
        <w:rPr>
          <w:rFonts w:asciiTheme="minorHAnsi" w:hAnsiTheme="minorHAnsi" w:cstheme="minorHAnsi"/>
          <w:sz w:val="56"/>
          <w:szCs w:val="56"/>
        </w:rPr>
        <w:t>CIJSKI REZULTATI</w:t>
      </w:r>
    </w:p>
    <w:p w14:paraId="4562916B" w14:textId="7C232B71" w:rsidR="00C0068C" w:rsidRPr="000F22E7" w:rsidRDefault="00002A40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I.-III. </w:t>
      </w:r>
      <w:r w:rsidR="00C34BDC" w:rsidRPr="000F22E7">
        <w:rPr>
          <w:rFonts w:asciiTheme="minorHAnsi" w:hAnsiTheme="minorHAnsi" w:cstheme="minorHAnsi"/>
          <w:sz w:val="56"/>
          <w:szCs w:val="56"/>
        </w:rPr>
        <w:t>202</w:t>
      </w:r>
      <w:r w:rsidR="00830CEF">
        <w:rPr>
          <w:rFonts w:asciiTheme="minorHAnsi" w:hAnsiTheme="minorHAnsi" w:cstheme="minorHAnsi"/>
          <w:sz w:val="56"/>
          <w:szCs w:val="56"/>
        </w:rPr>
        <w:t>3</w:t>
      </w:r>
      <w:r w:rsidR="00C34BDC" w:rsidRPr="000F22E7">
        <w:rPr>
          <w:rFonts w:asciiTheme="minorHAnsi" w:hAnsiTheme="minorHAnsi" w:cstheme="minorHAnsi"/>
          <w:sz w:val="56"/>
          <w:szCs w:val="56"/>
        </w:rPr>
        <w:t>.</w:t>
      </w:r>
    </w:p>
    <w:p w14:paraId="71719F98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2F046F60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583171BE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7BE564E1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2A5C0A4B" w14:textId="77777777" w:rsidR="00C0068C" w:rsidRPr="000F22E7" w:rsidRDefault="00C0068C" w:rsidP="00C0068C">
      <w:pPr>
        <w:jc w:val="both"/>
        <w:rPr>
          <w:rFonts w:asciiTheme="minorHAnsi" w:hAnsiTheme="minorHAnsi" w:cstheme="minorHAnsi"/>
        </w:rPr>
      </w:pPr>
    </w:p>
    <w:p w14:paraId="30AFA060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844BC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61D389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D168C" w14:textId="5D5A3693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C9C16" w14:textId="77777777" w:rsidR="00CA0D42" w:rsidRPr="000F22E7" w:rsidRDefault="00CA0D42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6C24B" w14:textId="00BBF025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F85B5C" w14:textId="77777777" w:rsidR="008F2696" w:rsidRPr="000F22E7" w:rsidRDefault="008F2696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86B05" w14:textId="77777777" w:rsidR="00C0068C" w:rsidRPr="000F22E7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1DD64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Kontakt:</w:t>
      </w:r>
    </w:p>
    <w:p w14:paraId="55772EE7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584F2B22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INA-Industrija nafte, d.d.</w:t>
      </w:r>
    </w:p>
    <w:p w14:paraId="7036A1AC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Korporativne komunikacije i marketing</w:t>
      </w:r>
    </w:p>
    <w:p w14:paraId="7AE53A05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Avenija Većeslava Holjevca 10, Zagreb</w:t>
      </w:r>
    </w:p>
    <w:p w14:paraId="46EFB971" w14:textId="77777777" w:rsidR="000A4619" w:rsidRPr="000F22E7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7B978838" w14:textId="6B2667FC" w:rsidR="00906B86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0F22E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E-mail:  </w:t>
      </w:r>
      <w:hyperlink r:id="rId8" w:history="1">
        <w:r w:rsidR="00906B86" w:rsidRPr="00500082">
          <w:rPr>
            <w:rStyle w:val="Hyperlink"/>
            <w:rFonts w:asciiTheme="minorHAnsi" w:hAnsiTheme="minorHAnsi" w:cstheme="minorHAnsi"/>
            <w:sz w:val="20"/>
            <w:szCs w:val="20"/>
          </w:rPr>
          <w:t>PR@ina.hr</w:t>
        </w:r>
      </w:hyperlink>
    </w:p>
    <w:p w14:paraId="4830C631" w14:textId="77777777" w:rsidR="00C0068C" w:rsidRDefault="00D458B6" w:rsidP="000A4619">
      <w:pPr>
        <w:jc w:val="both"/>
        <w:rPr>
          <w:rFonts w:asciiTheme="minorHAnsi" w:hAnsiTheme="minorHAnsi" w:cstheme="minorHAnsi"/>
          <w:sz w:val="20"/>
          <w:szCs w:val="20"/>
        </w:rPr>
      </w:pPr>
      <w:hyperlink w:history="1">
        <w:r w:rsidR="00906B86" w:rsidRPr="00500082">
          <w:rPr>
            <w:rStyle w:val="Hyperlink"/>
            <w:rFonts w:asciiTheme="minorHAnsi" w:hAnsiTheme="minorHAnsi" w:cstheme="minorHAnsi"/>
            <w:sz w:val="20"/>
            <w:szCs w:val="20"/>
          </w:rPr>
          <w:t>Press centar</w:t>
        </w:r>
      </w:hyperlink>
      <w:r w:rsidR="00B35605" w:rsidRPr="000F22E7">
        <w:rPr>
          <w:rFonts w:asciiTheme="minorHAnsi" w:hAnsiTheme="minorHAnsi" w:cstheme="minorHAnsi"/>
          <w:sz w:val="20"/>
          <w:szCs w:val="20"/>
        </w:rPr>
        <w:t xml:space="preserve"> at </w:t>
      </w:r>
      <w:r w:rsidR="000A4619" w:rsidRPr="000F22E7">
        <w:rPr>
          <w:rFonts w:asciiTheme="minorHAnsi" w:hAnsiTheme="minorHAnsi" w:cstheme="minorHAnsi"/>
          <w:sz w:val="20"/>
          <w:szCs w:val="20"/>
        </w:rPr>
        <w:t>www.ina.hr</w:t>
      </w:r>
    </w:p>
    <w:p w14:paraId="5138ADAC" w14:textId="77777777" w:rsidR="00906B86" w:rsidRDefault="00906B86" w:rsidP="000A46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EABBD2" w14:textId="2B4A01ED" w:rsidR="00906B86" w:rsidRPr="000F22E7" w:rsidRDefault="00906B86" w:rsidP="000A4619">
      <w:pPr>
        <w:jc w:val="both"/>
        <w:rPr>
          <w:rFonts w:asciiTheme="minorHAnsi" w:hAnsiTheme="minorHAnsi" w:cstheme="minorHAnsi"/>
        </w:rPr>
        <w:sectPr w:rsidR="00906B86" w:rsidRPr="000F22E7" w:rsidSect="0039152A">
          <w:headerReference w:type="default" r:id="rId9"/>
          <w:footerReference w:type="default" r:id="rId10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D345249" w14:textId="011BF1EE" w:rsidR="00C0068C" w:rsidRPr="000F22E7" w:rsidRDefault="00C0068C" w:rsidP="00C00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OLE_LINK1"/>
    </w:p>
    <w:p w14:paraId="241C61CD" w14:textId="77777777" w:rsidR="00FD577C" w:rsidRPr="000F22E7" w:rsidRDefault="00FD577C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70414134"/>
    </w:p>
    <w:bookmarkEnd w:id="2"/>
    <w:p w14:paraId="5FCC395B" w14:textId="15AF4B03" w:rsidR="00621EAF" w:rsidRDefault="00436313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Stabilan rezultat</w:t>
      </w:r>
      <w:r w:rsidR="0068709E">
        <w:rPr>
          <w:rFonts w:asciiTheme="minorHAnsi" w:hAnsiTheme="minorHAnsi" w:cstheme="minorHAnsi"/>
          <w:b/>
          <w:sz w:val="32"/>
          <w:szCs w:val="32"/>
        </w:rPr>
        <w:t xml:space="preserve"> uz negativan utjecaj regulatornih ograničenja</w:t>
      </w:r>
    </w:p>
    <w:p w14:paraId="437F8F01" w14:textId="77777777" w:rsidR="002D6798" w:rsidRPr="000F22E7" w:rsidRDefault="002D6798" w:rsidP="00C0068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08F172C2" w14:textId="78DC343D" w:rsidR="006B6DC9" w:rsidRPr="00BE6D6C" w:rsidRDefault="00906B86" w:rsidP="006B6D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 pogledu</w:t>
      </w:r>
      <w:r w:rsidR="006B6DC9" w:rsidRPr="00BE6D6C">
        <w:rPr>
          <w:rFonts w:asciiTheme="minorHAnsi" w:hAnsiTheme="minorHAnsi" w:cstheme="minorHAnsi"/>
          <w:b/>
          <w:bCs/>
        </w:rPr>
        <w:t xml:space="preserve"> vanjsko</w:t>
      </w:r>
      <w:r>
        <w:rPr>
          <w:rFonts w:asciiTheme="minorHAnsi" w:hAnsiTheme="minorHAnsi" w:cstheme="minorHAnsi"/>
          <w:b/>
          <w:bCs/>
        </w:rPr>
        <w:t>g</w:t>
      </w:r>
      <w:r w:rsidR="006B6DC9" w:rsidRPr="00BE6D6C">
        <w:rPr>
          <w:rFonts w:asciiTheme="minorHAnsi" w:hAnsiTheme="minorHAnsi" w:cstheme="minorHAnsi"/>
          <w:b/>
          <w:bCs/>
        </w:rPr>
        <w:t xml:space="preserve"> okruženj</w:t>
      </w:r>
      <w:r>
        <w:rPr>
          <w:rFonts w:asciiTheme="minorHAnsi" w:hAnsiTheme="minorHAnsi" w:cstheme="minorHAnsi"/>
          <w:b/>
          <w:bCs/>
        </w:rPr>
        <w:t>a</w:t>
      </w:r>
      <w:r w:rsidR="006B6DC9" w:rsidRPr="00BE6D6C">
        <w:rPr>
          <w:rFonts w:asciiTheme="minorHAnsi" w:hAnsiTheme="minorHAnsi" w:cstheme="minorHAnsi"/>
          <w:b/>
          <w:bCs/>
        </w:rPr>
        <w:t>, početak 2023. godine obilježen je stabilizacijom cijena i nastavkom regulatornih ograničenja</w:t>
      </w:r>
      <w:r w:rsidR="00FF057D" w:rsidRPr="00BE6D6C">
        <w:rPr>
          <w:rFonts w:asciiTheme="minorHAnsi" w:hAnsiTheme="minorHAnsi" w:cstheme="minorHAnsi"/>
          <w:b/>
          <w:bCs/>
        </w:rPr>
        <w:t>, što je imalo negativan utjecaj na rezultate u prvom tromjesečju 2023.</w:t>
      </w:r>
    </w:p>
    <w:p w14:paraId="1F9B4AED" w14:textId="77777777" w:rsidR="00FF057D" w:rsidRPr="00BE6D6C" w:rsidRDefault="00FF057D" w:rsidP="00FF057D">
      <w:pPr>
        <w:pStyle w:val="ListParagraph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55821D89" w14:textId="0309C5A5" w:rsidR="00DB1E8A" w:rsidRPr="00BE6D6C" w:rsidRDefault="006B6DC9" w:rsidP="006B6D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BE6D6C">
        <w:rPr>
          <w:rFonts w:asciiTheme="minorHAnsi" w:hAnsiTheme="minorHAnsi" w:cstheme="minorHAnsi"/>
          <w:b/>
          <w:bCs/>
        </w:rPr>
        <w:t>Prirodni pad proizvodnje je vrlo povoljnih dva posto, što je ako uspoređujemo tromjesečja, snažan rezultat uzevši u obzir zrelost portfelja</w:t>
      </w:r>
      <w:r w:rsidR="00906B86">
        <w:rPr>
          <w:rFonts w:asciiTheme="minorHAnsi" w:hAnsiTheme="minorHAnsi" w:cstheme="minorHAnsi"/>
          <w:b/>
          <w:bCs/>
        </w:rPr>
        <w:t xml:space="preserve"> Ininog Istraživanja i proizvodnje nafte i plina</w:t>
      </w:r>
      <w:r w:rsidRPr="00BE6D6C">
        <w:rPr>
          <w:rFonts w:asciiTheme="minorHAnsi" w:hAnsiTheme="minorHAnsi" w:cstheme="minorHAnsi"/>
          <w:b/>
          <w:bCs/>
        </w:rPr>
        <w:t xml:space="preserve">. </w:t>
      </w:r>
    </w:p>
    <w:p w14:paraId="7BB3E1FD" w14:textId="77777777" w:rsidR="00DB1E8A" w:rsidRPr="00BE6D6C" w:rsidRDefault="00DB1E8A" w:rsidP="00DB1E8A">
      <w:pPr>
        <w:pStyle w:val="ListParagraph"/>
        <w:rPr>
          <w:rFonts w:asciiTheme="minorHAnsi" w:hAnsiTheme="minorHAnsi" w:cstheme="minorHAnsi"/>
          <w:b/>
          <w:bCs/>
        </w:rPr>
      </w:pPr>
    </w:p>
    <w:p w14:paraId="31CC34AD" w14:textId="6F01D353" w:rsidR="006B6DC9" w:rsidRPr="00BE6D6C" w:rsidRDefault="006B6DC9" w:rsidP="006B6D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BE6D6C">
        <w:rPr>
          <w:rFonts w:asciiTheme="minorHAnsi" w:hAnsiTheme="minorHAnsi" w:cstheme="minorHAnsi"/>
          <w:b/>
          <w:bCs/>
        </w:rPr>
        <w:t xml:space="preserve">Proizvodnja plina iz podmorja povećana je </w:t>
      </w:r>
      <w:r w:rsidR="00406CA8">
        <w:rPr>
          <w:rFonts w:asciiTheme="minorHAnsi" w:hAnsiTheme="minorHAnsi" w:cstheme="minorHAnsi"/>
          <w:b/>
          <w:bCs/>
        </w:rPr>
        <w:t xml:space="preserve">za </w:t>
      </w:r>
      <w:r w:rsidRPr="00BE6D6C">
        <w:rPr>
          <w:rFonts w:asciiTheme="minorHAnsi" w:hAnsiTheme="minorHAnsi" w:cstheme="minorHAnsi"/>
          <w:b/>
          <w:bCs/>
        </w:rPr>
        <w:t xml:space="preserve">13 </w:t>
      </w:r>
      <w:r w:rsidR="003601E7">
        <w:rPr>
          <w:rFonts w:asciiTheme="minorHAnsi" w:hAnsiTheme="minorHAnsi" w:cstheme="minorHAnsi"/>
          <w:b/>
          <w:bCs/>
        </w:rPr>
        <w:t>posto</w:t>
      </w:r>
      <w:r w:rsidRPr="00BE6D6C">
        <w:rPr>
          <w:rFonts w:asciiTheme="minorHAnsi" w:hAnsiTheme="minorHAnsi" w:cstheme="minorHAnsi"/>
          <w:b/>
          <w:bCs/>
        </w:rPr>
        <w:t xml:space="preserve">, </w:t>
      </w:r>
      <w:r w:rsidR="00906B86">
        <w:rPr>
          <w:rFonts w:asciiTheme="minorHAnsi" w:hAnsiTheme="minorHAnsi" w:cstheme="minorHAnsi"/>
          <w:b/>
          <w:bCs/>
        </w:rPr>
        <w:t xml:space="preserve">što je </w:t>
      </w:r>
      <w:r w:rsidRPr="00BE6D6C">
        <w:rPr>
          <w:rFonts w:asciiTheme="minorHAnsi" w:hAnsiTheme="minorHAnsi" w:cstheme="minorHAnsi"/>
          <w:b/>
          <w:bCs/>
        </w:rPr>
        <w:t xml:space="preserve">rezultat bušaće kampanje. </w:t>
      </w:r>
    </w:p>
    <w:p w14:paraId="442B725F" w14:textId="77777777" w:rsidR="00DB1E8A" w:rsidRPr="00BE6D6C" w:rsidRDefault="00DB1E8A" w:rsidP="00DB1E8A">
      <w:pPr>
        <w:pStyle w:val="ListParagraph"/>
        <w:rPr>
          <w:rFonts w:asciiTheme="minorHAnsi" w:hAnsiTheme="minorHAnsi" w:cstheme="minorHAnsi"/>
          <w:b/>
          <w:bCs/>
        </w:rPr>
      </w:pPr>
    </w:p>
    <w:p w14:paraId="63745FC5" w14:textId="41A70092" w:rsidR="00D80DB1" w:rsidRPr="00BE6D6C" w:rsidRDefault="006B6DC9" w:rsidP="006B6D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BE6D6C">
        <w:rPr>
          <w:rFonts w:asciiTheme="minorHAnsi" w:hAnsiTheme="minorHAnsi" w:cstheme="minorHAnsi"/>
          <w:b/>
          <w:bCs/>
        </w:rPr>
        <w:t>Veliki investicijski ciklus nastavlja se u 2023. uključujući izvršenje Projekta nadogradnje Rafinerij</w:t>
      </w:r>
      <w:r w:rsidR="00D80DB1" w:rsidRPr="00BE6D6C">
        <w:rPr>
          <w:rFonts w:asciiTheme="minorHAnsi" w:hAnsiTheme="minorHAnsi" w:cstheme="minorHAnsi"/>
          <w:b/>
          <w:bCs/>
        </w:rPr>
        <w:t>e</w:t>
      </w:r>
      <w:r w:rsidRPr="00BE6D6C">
        <w:rPr>
          <w:rFonts w:asciiTheme="minorHAnsi" w:hAnsiTheme="minorHAnsi" w:cstheme="minorHAnsi"/>
          <w:b/>
          <w:bCs/>
        </w:rPr>
        <w:t xml:space="preserve"> nafte Rijeka, koji je u prvom tromjesečju 2023. godine dosegao 74 </w:t>
      </w:r>
      <w:r w:rsidR="00D80DB1" w:rsidRPr="00BE6D6C">
        <w:rPr>
          <w:rFonts w:asciiTheme="minorHAnsi" w:hAnsiTheme="minorHAnsi" w:cstheme="minorHAnsi"/>
          <w:b/>
          <w:bCs/>
        </w:rPr>
        <w:t>posto</w:t>
      </w:r>
      <w:r w:rsidRPr="00BE6D6C">
        <w:rPr>
          <w:rFonts w:asciiTheme="minorHAnsi" w:hAnsiTheme="minorHAnsi" w:cstheme="minorHAnsi"/>
          <w:b/>
          <w:bCs/>
        </w:rPr>
        <w:t xml:space="preserve"> </w:t>
      </w:r>
      <w:r w:rsidR="00583D23">
        <w:rPr>
          <w:rFonts w:asciiTheme="minorHAnsi" w:hAnsiTheme="minorHAnsi" w:cstheme="minorHAnsi"/>
          <w:b/>
          <w:bCs/>
        </w:rPr>
        <w:t xml:space="preserve">ukupne </w:t>
      </w:r>
      <w:r w:rsidR="0027681D">
        <w:rPr>
          <w:rFonts w:asciiTheme="minorHAnsi" w:hAnsiTheme="minorHAnsi" w:cstheme="minorHAnsi"/>
          <w:b/>
          <w:bCs/>
        </w:rPr>
        <w:t>dovršenosti</w:t>
      </w:r>
      <w:r w:rsidRPr="00BE6D6C">
        <w:rPr>
          <w:rFonts w:asciiTheme="minorHAnsi" w:hAnsiTheme="minorHAnsi" w:cstheme="minorHAnsi"/>
          <w:b/>
          <w:bCs/>
        </w:rPr>
        <w:t xml:space="preserve">. </w:t>
      </w:r>
    </w:p>
    <w:p w14:paraId="028AFF55" w14:textId="77777777" w:rsidR="00D80DB1" w:rsidRPr="00BE6D6C" w:rsidRDefault="00D80DB1" w:rsidP="00D80DB1">
      <w:pPr>
        <w:pStyle w:val="ListParagraph"/>
        <w:rPr>
          <w:rFonts w:asciiTheme="minorHAnsi" w:hAnsiTheme="minorHAnsi" w:cstheme="minorHAnsi"/>
          <w:b/>
          <w:bCs/>
        </w:rPr>
      </w:pPr>
    </w:p>
    <w:p w14:paraId="5CED6690" w14:textId="3560AA62" w:rsidR="006B6DC9" w:rsidRPr="00BE6D6C" w:rsidRDefault="006B6DC9" w:rsidP="006B6D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BE6D6C">
        <w:rPr>
          <w:rFonts w:asciiTheme="minorHAnsi" w:hAnsiTheme="minorHAnsi" w:cstheme="minorHAnsi"/>
          <w:b/>
          <w:bCs/>
        </w:rPr>
        <w:t xml:space="preserve">Financijska pozicija </w:t>
      </w:r>
      <w:r w:rsidR="007E42F7">
        <w:rPr>
          <w:rFonts w:asciiTheme="minorHAnsi" w:hAnsiTheme="minorHAnsi" w:cstheme="minorHAnsi"/>
          <w:b/>
          <w:bCs/>
        </w:rPr>
        <w:t>o</w:t>
      </w:r>
      <w:r w:rsidRPr="00BE6D6C">
        <w:rPr>
          <w:rFonts w:asciiTheme="minorHAnsi" w:hAnsiTheme="minorHAnsi" w:cstheme="minorHAnsi"/>
          <w:b/>
          <w:bCs/>
        </w:rPr>
        <w:t xml:space="preserve">staje snažna, uz omjer duga i kapitala ispod 10 </w:t>
      </w:r>
      <w:r w:rsidR="00406CA8">
        <w:rPr>
          <w:rFonts w:asciiTheme="minorHAnsi" w:hAnsiTheme="minorHAnsi" w:cstheme="minorHAnsi"/>
          <w:b/>
          <w:bCs/>
        </w:rPr>
        <w:t>posto</w:t>
      </w:r>
      <w:r w:rsidRPr="00BE6D6C">
        <w:rPr>
          <w:rFonts w:asciiTheme="minorHAnsi" w:hAnsiTheme="minorHAnsi" w:cstheme="minorHAnsi"/>
          <w:b/>
          <w:bCs/>
        </w:rPr>
        <w:t>.</w:t>
      </w:r>
    </w:p>
    <w:p w14:paraId="5EBB4435" w14:textId="77777777" w:rsidR="006B6DC9" w:rsidRPr="00D80DB1" w:rsidRDefault="006B6DC9" w:rsidP="00D80DB1">
      <w:pPr>
        <w:spacing w:after="120"/>
        <w:ind w:left="360"/>
        <w:jc w:val="both"/>
        <w:rPr>
          <w:rFonts w:asciiTheme="minorHAnsi" w:hAnsiTheme="minorHAnsi" w:cstheme="minorHAnsi"/>
          <w:b/>
        </w:rPr>
      </w:pPr>
    </w:p>
    <w:p w14:paraId="135AE11F" w14:textId="77777777" w:rsidR="000B0FA6" w:rsidRDefault="000B0FA6" w:rsidP="000B0FA6">
      <w:pPr>
        <w:pStyle w:val="ListParagraph"/>
        <w:spacing w:after="120"/>
        <w:jc w:val="both"/>
        <w:rPr>
          <w:rFonts w:asciiTheme="minorHAnsi" w:hAnsiTheme="minorHAnsi" w:cstheme="minorHAnsi"/>
          <w:b/>
        </w:rPr>
      </w:pPr>
    </w:p>
    <w:p w14:paraId="123AA7C6" w14:textId="7D580B7A" w:rsidR="00C0068C" w:rsidRPr="000F22E7" w:rsidRDefault="0028546A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0F22E7">
        <w:rPr>
          <w:rFonts w:asciiTheme="minorHAnsi" w:hAnsiTheme="minorHAnsi" w:cstheme="minorHAnsi"/>
          <w:b/>
        </w:rPr>
        <w:t>Ključn</w:t>
      </w:r>
      <w:r w:rsidR="00886BC9" w:rsidRPr="000F22E7">
        <w:rPr>
          <w:rFonts w:asciiTheme="minorHAnsi" w:hAnsiTheme="minorHAnsi" w:cstheme="minorHAnsi"/>
          <w:b/>
        </w:rPr>
        <w:t>i podaci</w:t>
      </w:r>
      <w:r w:rsidR="00C0068C" w:rsidRPr="000F22E7">
        <w:rPr>
          <w:rFonts w:asciiTheme="minorHAnsi" w:hAnsiTheme="minorHAnsi" w:cstheme="minorHAnsi"/>
          <w:b/>
        </w:rPr>
        <w:t>:</w:t>
      </w:r>
    </w:p>
    <w:p w14:paraId="6F4302D6" w14:textId="789D57C9" w:rsidR="00C0068C" w:rsidRPr="000F22E7" w:rsidRDefault="00C0068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F22E7">
        <w:rPr>
          <w:rFonts w:asciiTheme="minorHAnsi" w:hAnsiTheme="minorHAnsi" w:cstheme="minorHAnsi"/>
          <w:b/>
          <w:bCs/>
        </w:rPr>
        <w:t>Net</w:t>
      </w:r>
      <w:r w:rsidR="0028546A" w:rsidRPr="000F22E7">
        <w:rPr>
          <w:rFonts w:asciiTheme="minorHAnsi" w:hAnsiTheme="minorHAnsi" w:cstheme="minorHAnsi"/>
          <w:b/>
          <w:bCs/>
        </w:rPr>
        <w:t>o prihod od prodaje iznosio je</w:t>
      </w:r>
      <w:r w:rsidRPr="000F22E7">
        <w:rPr>
          <w:rFonts w:asciiTheme="minorHAnsi" w:hAnsiTheme="minorHAnsi" w:cstheme="minorHAnsi"/>
          <w:b/>
          <w:bCs/>
        </w:rPr>
        <w:t xml:space="preserve"> </w:t>
      </w:r>
      <w:r w:rsidR="00DE5854">
        <w:rPr>
          <w:rFonts w:asciiTheme="minorHAnsi" w:hAnsiTheme="minorHAnsi" w:cstheme="minorHAnsi"/>
          <w:b/>
          <w:bCs/>
        </w:rPr>
        <w:t>760,8 milijuna eura</w:t>
      </w:r>
    </w:p>
    <w:p w14:paraId="24E534B6" w14:textId="0D7BD433" w:rsidR="005B3C95" w:rsidRPr="000F22E7" w:rsidRDefault="00820ED8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CCS </w:t>
      </w:r>
      <w:r w:rsidR="002C08C0" w:rsidRPr="000F22E7">
        <w:rPr>
          <w:rFonts w:asciiTheme="minorHAnsi" w:hAnsiTheme="minorHAnsi" w:cstheme="minorHAnsi"/>
          <w:b/>
          <w:bCs/>
        </w:rPr>
        <w:t>EBIT</w:t>
      </w:r>
      <w:r w:rsidR="00C0068C" w:rsidRPr="000F22E7">
        <w:rPr>
          <w:rFonts w:asciiTheme="minorHAnsi" w:hAnsiTheme="minorHAnsi" w:cstheme="minorHAnsi"/>
          <w:b/>
          <w:bCs/>
        </w:rPr>
        <w:t xml:space="preserve">DA </w:t>
      </w:r>
      <w:r w:rsidR="005B3C95" w:rsidRPr="000F22E7">
        <w:rPr>
          <w:rFonts w:asciiTheme="minorHAnsi" w:hAnsiTheme="minorHAnsi" w:cstheme="minorHAnsi"/>
          <w:b/>
          <w:bCs/>
        </w:rPr>
        <w:t xml:space="preserve">iznosila </w:t>
      </w:r>
      <w:r>
        <w:rPr>
          <w:rFonts w:asciiTheme="minorHAnsi" w:hAnsiTheme="minorHAnsi" w:cstheme="minorHAnsi"/>
          <w:b/>
          <w:bCs/>
        </w:rPr>
        <w:t xml:space="preserve">je </w:t>
      </w:r>
      <w:r w:rsidR="00DE5854">
        <w:rPr>
          <w:rFonts w:asciiTheme="minorHAnsi" w:hAnsiTheme="minorHAnsi" w:cstheme="minorHAnsi"/>
          <w:b/>
          <w:bCs/>
        </w:rPr>
        <w:t>23,2 milijuna eura</w:t>
      </w:r>
    </w:p>
    <w:p w14:paraId="501DF37A" w14:textId="780D06AE" w:rsidR="00B05CB1" w:rsidRPr="000F22E7" w:rsidRDefault="005B3C95" w:rsidP="000F0BD0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0F22E7">
        <w:rPr>
          <w:rFonts w:asciiTheme="minorHAnsi" w:hAnsiTheme="minorHAnsi" w:cstheme="minorHAnsi"/>
          <w:b/>
          <w:bCs/>
        </w:rPr>
        <w:t xml:space="preserve">Kapitalna ulaganja </w:t>
      </w:r>
      <w:r w:rsidR="001D66A1">
        <w:rPr>
          <w:rFonts w:asciiTheme="minorHAnsi" w:hAnsiTheme="minorHAnsi" w:cstheme="minorHAnsi"/>
          <w:b/>
          <w:bCs/>
        </w:rPr>
        <w:t>iznosila su 53 milijuna eura</w:t>
      </w:r>
    </w:p>
    <w:p w14:paraId="7557E221" w14:textId="63B4A81F" w:rsidR="00D63F00" w:rsidRDefault="00D63F0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2F7A7D34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79E5D712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0ECAEE31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6E5F6331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69419236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0CEA3975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0AEE27B6" w14:textId="77777777" w:rsidR="006F6090" w:rsidRDefault="006F609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15434BD8" w14:textId="45C8E306" w:rsidR="00B91963" w:rsidRPr="00B91963" w:rsidRDefault="00DC5BEF" w:rsidP="00B919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F22E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Zagreb, </w:t>
      </w:r>
      <w:r w:rsidR="00F16A9A">
        <w:rPr>
          <w:rFonts w:asciiTheme="minorHAnsi" w:hAnsiTheme="minorHAnsi" w:cstheme="minorHAnsi"/>
          <w:b/>
          <w:sz w:val="22"/>
          <w:szCs w:val="22"/>
        </w:rPr>
        <w:t>27</w:t>
      </w:r>
      <w:r w:rsidRPr="000F22E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16A9A">
        <w:rPr>
          <w:rFonts w:asciiTheme="minorHAnsi" w:hAnsiTheme="minorHAnsi" w:cstheme="minorHAnsi"/>
          <w:b/>
          <w:sz w:val="22"/>
          <w:szCs w:val="22"/>
        </w:rPr>
        <w:t xml:space="preserve">travnja </w:t>
      </w:r>
      <w:r w:rsidR="00C95700" w:rsidRPr="000F22E7">
        <w:rPr>
          <w:rFonts w:asciiTheme="minorHAnsi" w:hAnsiTheme="minorHAnsi" w:cstheme="minorHAnsi"/>
          <w:b/>
          <w:sz w:val="22"/>
          <w:szCs w:val="22"/>
        </w:rPr>
        <w:t>2</w:t>
      </w:r>
      <w:r w:rsidRPr="000F22E7">
        <w:rPr>
          <w:rFonts w:asciiTheme="minorHAnsi" w:hAnsiTheme="minorHAnsi" w:cstheme="minorHAnsi"/>
          <w:b/>
          <w:sz w:val="22"/>
          <w:szCs w:val="22"/>
        </w:rPr>
        <w:t>02</w:t>
      </w:r>
      <w:r w:rsidR="009B571F" w:rsidRPr="000F22E7">
        <w:rPr>
          <w:rFonts w:asciiTheme="minorHAnsi" w:hAnsiTheme="minorHAnsi" w:cstheme="minorHAnsi"/>
          <w:b/>
          <w:sz w:val="22"/>
          <w:szCs w:val="22"/>
        </w:rPr>
        <w:t>3</w:t>
      </w:r>
      <w:r w:rsidRPr="000F22E7">
        <w:rPr>
          <w:rFonts w:asciiTheme="minorHAnsi" w:hAnsiTheme="minorHAnsi" w:cstheme="minorHAnsi"/>
          <w:b/>
          <w:sz w:val="22"/>
          <w:szCs w:val="22"/>
        </w:rPr>
        <w:t>. –</w:t>
      </w:r>
      <w:r w:rsidR="00906B86">
        <w:rPr>
          <w:rFonts w:asciiTheme="minorHAnsi" w:hAnsiTheme="minorHAnsi" w:cstheme="minorHAnsi"/>
          <w:bCs/>
          <w:sz w:val="22"/>
          <w:szCs w:val="22"/>
        </w:rPr>
        <w:t xml:space="preserve"> U pogledu</w:t>
      </w:r>
      <w:r w:rsidR="00B91963" w:rsidRPr="00B91963">
        <w:rPr>
          <w:rFonts w:asciiTheme="minorHAnsi" w:hAnsiTheme="minorHAnsi" w:cstheme="minorHAnsi"/>
          <w:sz w:val="22"/>
          <w:szCs w:val="22"/>
        </w:rPr>
        <w:t xml:space="preserve"> vanjsko</w:t>
      </w:r>
      <w:r w:rsidR="00906B86">
        <w:rPr>
          <w:rFonts w:asciiTheme="minorHAnsi" w:hAnsiTheme="minorHAnsi" w:cstheme="minorHAnsi"/>
          <w:sz w:val="22"/>
          <w:szCs w:val="22"/>
        </w:rPr>
        <w:t>g</w:t>
      </w:r>
      <w:r w:rsidR="00B91963" w:rsidRPr="00B91963">
        <w:rPr>
          <w:rFonts w:asciiTheme="minorHAnsi" w:hAnsiTheme="minorHAnsi" w:cstheme="minorHAnsi"/>
          <w:sz w:val="22"/>
          <w:szCs w:val="22"/>
        </w:rPr>
        <w:t xml:space="preserve"> okruženje, početak 2023. godine obilježen je stabilizacijom cijena i nastavkom regulatornih ograničenja. CCS EBITDA INA Grupe bez jednokratnih stavki u prvom tromjesečju 2023. godine iznosila je 23 milijuna eura, što je snažan kontrast u odnosu na rezultat prvog tromjesečja 2022. godine koji je iznosio 130 milijuna eura. Povrh negativnog utjecaja regulacije, ova promjena je povezana primarno sa silaznim trendom cijena ugljikovodika u prvom tromjesečju 2023.</w:t>
      </w:r>
    </w:p>
    <w:p w14:paraId="51C14CE6" w14:textId="1C965A7F" w:rsidR="00B91963" w:rsidRPr="00B91963" w:rsidRDefault="00B91963" w:rsidP="00B919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1963">
        <w:rPr>
          <w:rFonts w:asciiTheme="minorHAnsi" w:hAnsiTheme="minorHAnsi" w:cstheme="minorHAnsi"/>
          <w:sz w:val="22"/>
          <w:szCs w:val="22"/>
        </w:rPr>
        <w:t>EBITDA Istraživanja i proizvodnje nafte i plina iznosi 98 milijuna eura, pri čemu je rezultat kombinacija stabilne proizvodnje i ograničene cijene plina za većinu proizvodnje. Prirodni pad proizvodnje je vrlo povoljnih dva posto, što je ako uspoređujemo tromjesečja, snažan rezultat uzevši u obzir zrelost portfelja</w:t>
      </w:r>
      <w:r w:rsidR="00673DC2" w:rsidRPr="00673DC2">
        <w:rPr>
          <w:rFonts w:asciiTheme="minorHAnsi" w:hAnsiTheme="minorHAnsi" w:cstheme="minorHAnsi"/>
          <w:sz w:val="22"/>
          <w:szCs w:val="22"/>
        </w:rPr>
        <w:t xml:space="preserve"> </w:t>
      </w:r>
      <w:r w:rsidR="00673DC2" w:rsidRPr="00B91963">
        <w:rPr>
          <w:rFonts w:asciiTheme="minorHAnsi" w:hAnsiTheme="minorHAnsi" w:cstheme="minorHAnsi"/>
          <w:sz w:val="22"/>
          <w:szCs w:val="22"/>
        </w:rPr>
        <w:t>Ininog</w:t>
      </w:r>
      <w:r w:rsidR="00673DC2">
        <w:rPr>
          <w:rFonts w:asciiTheme="minorHAnsi" w:hAnsiTheme="minorHAnsi" w:cstheme="minorHAnsi"/>
          <w:sz w:val="22"/>
          <w:szCs w:val="22"/>
        </w:rPr>
        <w:t xml:space="preserve"> Istraživanja i proizvodnje nafte i plina</w:t>
      </w:r>
      <w:r w:rsidRPr="00B91963">
        <w:rPr>
          <w:rFonts w:asciiTheme="minorHAnsi" w:hAnsiTheme="minorHAnsi" w:cstheme="minorHAnsi"/>
          <w:sz w:val="22"/>
          <w:szCs w:val="22"/>
        </w:rPr>
        <w:t xml:space="preserve">. Proizvodnja plina iz podmorja povećana je 13 </w:t>
      </w:r>
      <w:r w:rsidR="00D35B8C">
        <w:rPr>
          <w:rFonts w:asciiTheme="minorHAnsi" w:hAnsiTheme="minorHAnsi" w:cstheme="minorHAnsi"/>
          <w:sz w:val="22"/>
          <w:szCs w:val="22"/>
        </w:rPr>
        <w:t>posto</w:t>
      </w:r>
      <w:r w:rsidRPr="00B91963">
        <w:rPr>
          <w:rFonts w:asciiTheme="minorHAnsi" w:hAnsiTheme="minorHAnsi" w:cstheme="minorHAnsi"/>
          <w:sz w:val="22"/>
          <w:szCs w:val="22"/>
        </w:rPr>
        <w:t xml:space="preserve">, nakon prvih rezultata bušaće kampanje. </w:t>
      </w:r>
    </w:p>
    <w:p w14:paraId="597CB0C7" w14:textId="77777777" w:rsidR="00CC0320" w:rsidRDefault="00B91963" w:rsidP="00B919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1963">
        <w:rPr>
          <w:rFonts w:asciiTheme="minorHAnsi" w:hAnsiTheme="minorHAnsi" w:cstheme="minorHAnsi"/>
          <w:sz w:val="22"/>
          <w:szCs w:val="22"/>
        </w:rPr>
        <w:t xml:space="preserve">Rezultat Rafinerija i marketinga uklj. Usluge kupcima i </w:t>
      </w:r>
      <w:r w:rsidR="00433D66">
        <w:rPr>
          <w:rFonts w:asciiTheme="minorHAnsi" w:hAnsiTheme="minorHAnsi" w:cstheme="minorHAnsi"/>
          <w:sz w:val="22"/>
          <w:szCs w:val="22"/>
        </w:rPr>
        <w:t>m</w:t>
      </w:r>
      <w:r w:rsidRPr="00B91963">
        <w:rPr>
          <w:rFonts w:asciiTheme="minorHAnsi" w:hAnsiTheme="minorHAnsi" w:cstheme="minorHAnsi"/>
          <w:sz w:val="22"/>
          <w:szCs w:val="22"/>
        </w:rPr>
        <w:t>aloprodaju ostaje pod negativnim utjecajem regulacije cijene goriva, što zajedno s aktivnostima ulaganja (uglavnom u Projekt nadogradnje Rafinerije nafte Rijeka) i nižim ostvarenim veleprodajnim maržama, rezultira negativn</w:t>
      </w:r>
      <w:r w:rsidR="00D35B8C">
        <w:rPr>
          <w:rFonts w:asciiTheme="minorHAnsi" w:hAnsiTheme="minorHAnsi" w:cstheme="minorHAnsi"/>
          <w:sz w:val="22"/>
          <w:szCs w:val="22"/>
        </w:rPr>
        <w:t>i</w:t>
      </w:r>
      <w:r w:rsidRPr="00B91963">
        <w:rPr>
          <w:rFonts w:asciiTheme="minorHAnsi" w:hAnsiTheme="minorHAnsi" w:cstheme="minorHAnsi"/>
          <w:sz w:val="22"/>
          <w:szCs w:val="22"/>
        </w:rPr>
        <w:t>m novčan</w:t>
      </w:r>
      <w:r w:rsidR="00D35B8C">
        <w:rPr>
          <w:rFonts w:asciiTheme="minorHAnsi" w:hAnsiTheme="minorHAnsi" w:cstheme="minorHAnsi"/>
          <w:sz w:val="22"/>
          <w:szCs w:val="22"/>
        </w:rPr>
        <w:t>i</w:t>
      </w:r>
      <w:r w:rsidRPr="00B91963">
        <w:rPr>
          <w:rFonts w:asciiTheme="minorHAnsi" w:hAnsiTheme="minorHAnsi" w:cstheme="minorHAnsi"/>
          <w:sz w:val="22"/>
          <w:szCs w:val="22"/>
        </w:rPr>
        <w:t>m t</w:t>
      </w:r>
      <w:r w:rsidR="00D35B8C">
        <w:rPr>
          <w:rFonts w:asciiTheme="minorHAnsi" w:hAnsiTheme="minorHAnsi" w:cstheme="minorHAnsi"/>
          <w:sz w:val="22"/>
          <w:szCs w:val="22"/>
        </w:rPr>
        <w:t>ijekom djelatnosti</w:t>
      </w:r>
      <w:r w:rsidRPr="00B91963">
        <w:rPr>
          <w:rFonts w:asciiTheme="minorHAnsi" w:hAnsiTheme="minorHAnsi" w:cstheme="minorHAnsi"/>
          <w:sz w:val="22"/>
          <w:szCs w:val="22"/>
        </w:rPr>
        <w:t>. Također</w:t>
      </w:r>
      <w:r w:rsidR="00673DC2">
        <w:rPr>
          <w:rFonts w:asciiTheme="minorHAnsi" w:hAnsiTheme="minorHAnsi" w:cstheme="minorHAnsi"/>
          <w:sz w:val="22"/>
          <w:szCs w:val="22"/>
        </w:rPr>
        <w:t xml:space="preserve">, </w:t>
      </w:r>
      <w:r w:rsidR="00673DC2" w:rsidRPr="00B91963">
        <w:rPr>
          <w:rFonts w:asciiTheme="minorHAnsi" w:hAnsiTheme="minorHAnsi" w:cstheme="minorHAnsi"/>
          <w:sz w:val="22"/>
          <w:szCs w:val="22"/>
        </w:rPr>
        <w:t>tijekom drugog tromjesečja 2023.</w:t>
      </w:r>
      <w:r w:rsidRPr="00B91963">
        <w:rPr>
          <w:rFonts w:asciiTheme="minorHAnsi" w:hAnsiTheme="minorHAnsi" w:cstheme="minorHAnsi"/>
          <w:sz w:val="22"/>
          <w:szCs w:val="22"/>
        </w:rPr>
        <w:t xml:space="preserve"> </w:t>
      </w:r>
      <w:r w:rsidR="00673DC2">
        <w:rPr>
          <w:rFonts w:asciiTheme="minorHAnsi" w:hAnsiTheme="minorHAnsi" w:cstheme="minorHAnsi"/>
          <w:sz w:val="22"/>
          <w:szCs w:val="22"/>
        </w:rPr>
        <w:t>započet će</w:t>
      </w:r>
      <w:r w:rsidRPr="00B91963">
        <w:rPr>
          <w:rFonts w:asciiTheme="minorHAnsi" w:hAnsiTheme="minorHAnsi" w:cstheme="minorHAnsi"/>
          <w:sz w:val="22"/>
          <w:szCs w:val="22"/>
        </w:rPr>
        <w:t xml:space="preserve"> proizvodnj</w:t>
      </w:r>
      <w:r w:rsidR="00673DC2">
        <w:rPr>
          <w:rFonts w:asciiTheme="minorHAnsi" w:hAnsiTheme="minorHAnsi" w:cstheme="minorHAnsi"/>
          <w:sz w:val="22"/>
          <w:szCs w:val="22"/>
        </w:rPr>
        <w:t>a</w:t>
      </w:r>
      <w:r w:rsidRPr="00B91963">
        <w:rPr>
          <w:rFonts w:asciiTheme="minorHAnsi" w:hAnsiTheme="minorHAnsi" w:cstheme="minorHAnsi"/>
          <w:sz w:val="22"/>
          <w:szCs w:val="22"/>
        </w:rPr>
        <w:t xml:space="preserve"> u Rafineriji nafte Rijeka</w:t>
      </w:r>
      <w:r w:rsidR="00673DC2">
        <w:rPr>
          <w:rFonts w:asciiTheme="minorHAnsi" w:hAnsiTheme="minorHAnsi" w:cstheme="minorHAnsi"/>
          <w:sz w:val="22"/>
          <w:szCs w:val="22"/>
        </w:rPr>
        <w:t>.</w:t>
      </w:r>
      <w:r w:rsidRPr="00B91963">
        <w:rPr>
          <w:rFonts w:asciiTheme="minorHAnsi" w:hAnsiTheme="minorHAnsi" w:cstheme="minorHAnsi"/>
          <w:sz w:val="22"/>
          <w:szCs w:val="22"/>
        </w:rPr>
        <w:t xml:space="preserve"> </w:t>
      </w:r>
      <w:r w:rsidR="00673DC2">
        <w:rPr>
          <w:rFonts w:asciiTheme="minorHAnsi" w:hAnsiTheme="minorHAnsi" w:cstheme="minorHAnsi"/>
          <w:sz w:val="22"/>
          <w:szCs w:val="22"/>
        </w:rPr>
        <w:t>Rast</w:t>
      </w:r>
      <w:r w:rsidRPr="00B91963">
        <w:rPr>
          <w:rFonts w:asciiTheme="minorHAnsi" w:hAnsiTheme="minorHAnsi" w:cstheme="minorHAnsi"/>
          <w:sz w:val="22"/>
          <w:szCs w:val="22"/>
        </w:rPr>
        <w:t xml:space="preserve"> </w:t>
      </w:r>
      <w:r w:rsidR="00673DC2">
        <w:rPr>
          <w:rFonts w:asciiTheme="minorHAnsi" w:hAnsiTheme="minorHAnsi" w:cstheme="minorHAnsi"/>
          <w:sz w:val="22"/>
          <w:szCs w:val="22"/>
        </w:rPr>
        <w:t>prodaje u M</w:t>
      </w:r>
      <w:r w:rsidRPr="00B91963">
        <w:rPr>
          <w:rFonts w:asciiTheme="minorHAnsi" w:hAnsiTheme="minorHAnsi" w:cstheme="minorHAnsi"/>
          <w:sz w:val="22"/>
          <w:szCs w:val="22"/>
        </w:rPr>
        <w:t>aloprodaj</w:t>
      </w:r>
      <w:r w:rsidR="00673DC2">
        <w:rPr>
          <w:rFonts w:asciiTheme="minorHAnsi" w:hAnsiTheme="minorHAnsi" w:cstheme="minorHAnsi"/>
          <w:sz w:val="22"/>
          <w:szCs w:val="22"/>
        </w:rPr>
        <w:t>i</w:t>
      </w:r>
      <w:r w:rsidRPr="00B91963">
        <w:rPr>
          <w:rFonts w:asciiTheme="minorHAnsi" w:hAnsiTheme="minorHAnsi" w:cstheme="minorHAnsi"/>
          <w:sz w:val="22"/>
          <w:szCs w:val="22"/>
        </w:rPr>
        <w:t xml:space="preserve"> poras</w:t>
      </w:r>
      <w:r w:rsidR="00673DC2">
        <w:rPr>
          <w:rFonts w:asciiTheme="minorHAnsi" w:hAnsiTheme="minorHAnsi" w:cstheme="minorHAnsi"/>
          <w:sz w:val="22"/>
          <w:szCs w:val="22"/>
        </w:rPr>
        <w:t>tao je</w:t>
      </w:r>
      <w:r w:rsidRPr="00B91963">
        <w:rPr>
          <w:rFonts w:asciiTheme="minorHAnsi" w:hAnsiTheme="minorHAnsi" w:cstheme="minorHAnsi"/>
          <w:sz w:val="22"/>
          <w:szCs w:val="22"/>
        </w:rPr>
        <w:t xml:space="preserve"> 13 </w:t>
      </w:r>
      <w:r w:rsidR="00D35B8C">
        <w:rPr>
          <w:rFonts w:asciiTheme="minorHAnsi" w:hAnsiTheme="minorHAnsi" w:cstheme="minorHAnsi"/>
          <w:sz w:val="22"/>
          <w:szCs w:val="22"/>
        </w:rPr>
        <w:t>posto</w:t>
      </w:r>
      <w:r w:rsidRPr="00B91963">
        <w:rPr>
          <w:rFonts w:asciiTheme="minorHAnsi" w:hAnsiTheme="minorHAnsi" w:cstheme="minorHAnsi"/>
          <w:sz w:val="22"/>
          <w:szCs w:val="22"/>
        </w:rPr>
        <w:t xml:space="preserve"> uz nastavak rasta marže negoriva.</w:t>
      </w:r>
      <w:r w:rsidR="000C45DD">
        <w:rPr>
          <w:rFonts w:asciiTheme="minorHAnsi" w:hAnsiTheme="minorHAnsi" w:cstheme="minorHAnsi"/>
          <w:sz w:val="22"/>
          <w:szCs w:val="22"/>
        </w:rPr>
        <w:t xml:space="preserve"> </w:t>
      </w:r>
      <w:r w:rsidRPr="00B91963">
        <w:rPr>
          <w:rFonts w:asciiTheme="minorHAnsi" w:hAnsiTheme="minorHAnsi" w:cstheme="minorHAnsi"/>
          <w:sz w:val="22"/>
          <w:szCs w:val="22"/>
        </w:rPr>
        <w:t>Veliki investicijski ciklus nastavlja se u 2023. uključujući izvršenje Projekta nadogradnje Rafinerij</w:t>
      </w:r>
      <w:r w:rsidR="008F5C56">
        <w:rPr>
          <w:rFonts w:asciiTheme="minorHAnsi" w:hAnsiTheme="minorHAnsi" w:cstheme="minorHAnsi"/>
          <w:sz w:val="22"/>
          <w:szCs w:val="22"/>
        </w:rPr>
        <w:t>e</w:t>
      </w:r>
      <w:r w:rsidRPr="00B91963">
        <w:rPr>
          <w:rFonts w:asciiTheme="minorHAnsi" w:hAnsiTheme="minorHAnsi" w:cstheme="minorHAnsi"/>
          <w:sz w:val="22"/>
          <w:szCs w:val="22"/>
        </w:rPr>
        <w:t xml:space="preserve"> nafte Rijeka, koji je u prvom tromjesečju 2023. dosegao 74 </w:t>
      </w:r>
      <w:r w:rsidR="008F5C56">
        <w:rPr>
          <w:rFonts w:asciiTheme="minorHAnsi" w:hAnsiTheme="minorHAnsi" w:cstheme="minorHAnsi"/>
          <w:sz w:val="22"/>
          <w:szCs w:val="22"/>
        </w:rPr>
        <w:t>posto</w:t>
      </w:r>
      <w:r w:rsidRPr="00B91963">
        <w:rPr>
          <w:rFonts w:asciiTheme="minorHAnsi" w:hAnsiTheme="minorHAnsi" w:cstheme="minorHAnsi"/>
          <w:sz w:val="22"/>
          <w:szCs w:val="22"/>
        </w:rPr>
        <w:t xml:space="preserve"> gotovosti. </w:t>
      </w:r>
    </w:p>
    <w:p w14:paraId="734E6049" w14:textId="508D582E" w:rsidR="006F6090" w:rsidRDefault="00B91963" w:rsidP="00B919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91963">
        <w:rPr>
          <w:rFonts w:asciiTheme="minorHAnsi" w:hAnsiTheme="minorHAnsi" w:cstheme="minorHAnsi"/>
          <w:sz w:val="22"/>
          <w:szCs w:val="22"/>
        </w:rPr>
        <w:t xml:space="preserve">Financijska pozicija ostaje snažna, uz omjer duga i kapitala ispod 10 </w:t>
      </w:r>
      <w:r w:rsidR="008F5C56">
        <w:rPr>
          <w:rFonts w:asciiTheme="minorHAnsi" w:hAnsiTheme="minorHAnsi" w:cstheme="minorHAnsi"/>
          <w:sz w:val="22"/>
          <w:szCs w:val="22"/>
        </w:rPr>
        <w:t>posto</w:t>
      </w:r>
      <w:r w:rsidRPr="00B91963">
        <w:rPr>
          <w:rFonts w:asciiTheme="minorHAnsi" w:hAnsiTheme="minorHAnsi" w:cstheme="minorHAnsi"/>
          <w:sz w:val="22"/>
          <w:szCs w:val="22"/>
        </w:rPr>
        <w:t>.</w:t>
      </w:r>
    </w:p>
    <w:p w14:paraId="2F207E37" w14:textId="77777777" w:rsidR="00CF7FC1" w:rsidRDefault="00E55AED" w:rsidP="00CF7FC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7009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6802C8" w:rsidRPr="00C87009">
        <w:rPr>
          <w:rFonts w:asciiTheme="minorHAnsi" w:hAnsiTheme="minorHAnsi" w:cstheme="minorHAnsi"/>
          <w:b/>
          <w:sz w:val="22"/>
          <w:szCs w:val="22"/>
        </w:rPr>
        <w:t>Pétera</w:t>
      </w:r>
      <w:r w:rsidR="00C95700" w:rsidRPr="00C87009">
        <w:rPr>
          <w:rFonts w:asciiTheme="minorHAnsi" w:hAnsiTheme="minorHAnsi" w:cstheme="minorHAnsi"/>
          <w:b/>
          <w:sz w:val="22"/>
          <w:szCs w:val="22"/>
        </w:rPr>
        <w:t xml:space="preserve"> Rataticsa</w:t>
      </w:r>
      <w:r w:rsidR="0037692E" w:rsidRPr="00C8700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87009">
        <w:rPr>
          <w:rFonts w:asciiTheme="minorHAnsi" w:hAnsiTheme="minorHAnsi" w:cstheme="minorHAnsi"/>
          <w:b/>
          <w:sz w:val="22"/>
          <w:szCs w:val="22"/>
        </w:rPr>
        <w:t>predsjednika Uprave Ine</w:t>
      </w:r>
      <w:r w:rsidR="0037692E" w:rsidRPr="00C8700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EA8DDAC" w14:textId="0AB3A9C9" w:rsidR="00CF7FC1" w:rsidRDefault="00CF7FC1" w:rsidP="00CF7FC1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FC1">
        <w:rPr>
          <w:rFonts w:asciiTheme="minorHAnsi" w:hAnsiTheme="minorHAnsi" w:cstheme="minorHAnsi"/>
          <w:bCs/>
          <w:sz w:val="22"/>
          <w:szCs w:val="22"/>
        </w:rPr>
        <w:t>“Nakon 2022. godine</w:t>
      </w:r>
      <w:r w:rsidR="00EA64ED">
        <w:rPr>
          <w:rFonts w:asciiTheme="minorHAnsi" w:hAnsiTheme="minorHAnsi" w:cstheme="minorHAnsi"/>
          <w:bCs/>
          <w:sz w:val="22"/>
          <w:szCs w:val="22"/>
        </w:rPr>
        <w:t xml:space="preserve"> koju su obilježile naglo rastuće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cijen</w:t>
      </w:r>
      <w:r w:rsidR="00EA64ED">
        <w:rPr>
          <w:rFonts w:asciiTheme="minorHAnsi" w:hAnsiTheme="minorHAnsi" w:cstheme="minorHAnsi"/>
          <w:bCs/>
          <w:sz w:val="22"/>
          <w:szCs w:val="22"/>
        </w:rPr>
        <w:t>e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energije, 2023. je obilježena visokom razinom regulacije tržišta u mnogim zemljama.</w:t>
      </w:r>
      <w:r w:rsidR="004B6416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Pr="00CF7FC1">
        <w:rPr>
          <w:rFonts w:asciiTheme="minorHAnsi" w:hAnsiTheme="minorHAnsi" w:cstheme="minorHAnsi"/>
          <w:bCs/>
          <w:sz w:val="22"/>
          <w:szCs w:val="22"/>
        </w:rPr>
        <w:t>natoč vanjskim kretanjima</w:t>
      </w:r>
      <w:r w:rsidR="004B6416">
        <w:rPr>
          <w:rFonts w:asciiTheme="minorHAnsi" w:hAnsiTheme="minorHAnsi" w:cstheme="minorHAnsi"/>
          <w:bCs/>
          <w:sz w:val="22"/>
          <w:szCs w:val="22"/>
        </w:rPr>
        <w:t xml:space="preserve"> i iznimno reguliranom okruženju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87EB8">
        <w:rPr>
          <w:rFonts w:asciiTheme="minorHAnsi" w:hAnsiTheme="minorHAnsi" w:cstheme="minorHAnsi"/>
          <w:bCs/>
          <w:sz w:val="22"/>
          <w:szCs w:val="22"/>
        </w:rPr>
        <w:t xml:space="preserve">s osjećajem obveze uspjeli smo isporučiti </w:t>
      </w:r>
      <w:r w:rsidR="003A613E">
        <w:rPr>
          <w:rFonts w:asciiTheme="minorHAnsi" w:hAnsiTheme="minorHAnsi" w:cstheme="minorHAnsi"/>
          <w:bCs/>
          <w:sz w:val="22"/>
          <w:szCs w:val="22"/>
        </w:rPr>
        <w:t xml:space="preserve">ono što smatramo svojom </w:t>
      </w:r>
      <w:r w:rsidR="00787EB8">
        <w:rPr>
          <w:rFonts w:asciiTheme="minorHAnsi" w:hAnsiTheme="minorHAnsi" w:cstheme="minorHAnsi"/>
          <w:bCs/>
          <w:sz w:val="22"/>
          <w:szCs w:val="22"/>
        </w:rPr>
        <w:t>stratešk</w:t>
      </w:r>
      <w:r w:rsidR="00FA14BD">
        <w:rPr>
          <w:rFonts w:asciiTheme="minorHAnsi" w:hAnsiTheme="minorHAnsi" w:cstheme="minorHAnsi"/>
          <w:bCs/>
          <w:sz w:val="22"/>
          <w:szCs w:val="22"/>
        </w:rPr>
        <w:t>om</w:t>
      </w:r>
      <w:r w:rsidR="00787EB8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5F6034">
        <w:rPr>
          <w:rFonts w:asciiTheme="minorHAnsi" w:hAnsiTheme="minorHAnsi" w:cstheme="minorHAnsi"/>
          <w:bCs/>
          <w:sz w:val="22"/>
          <w:szCs w:val="22"/>
        </w:rPr>
        <w:t>dgovorno</w:t>
      </w:r>
      <w:r w:rsidR="00FA14BD">
        <w:rPr>
          <w:rFonts w:asciiTheme="minorHAnsi" w:hAnsiTheme="minorHAnsi" w:cstheme="minorHAnsi"/>
          <w:bCs/>
          <w:sz w:val="22"/>
          <w:szCs w:val="22"/>
        </w:rPr>
        <w:t xml:space="preserve">šću, a to je </w:t>
      </w:r>
      <w:r w:rsidR="005F6034">
        <w:rPr>
          <w:rFonts w:asciiTheme="minorHAnsi" w:hAnsiTheme="minorHAnsi" w:cstheme="minorHAnsi"/>
          <w:bCs/>
          <w:sz w:val="22"/>
          <w:szCs w:val="22"/>
        </w:rPr>
        <w:t>osiguranje kontinuirane opskrbe naših kupaca. Istovremeno, nastavljamo</w:t>
      </w:r>
      <w:r w:rsidR="00905F4A">
        <w:rPr>
          <w:rFonts w:asciiTheme="minorHAnsi" w:hAnsiTheme="minorHAnsi" w:cstheme="minorHAnsi"/>
          <w:bCs/>
          <w:sz w:val="22"/>
          <w:szCs w:val="22"/>
        </w:rPr>
        <w:t xml:space="preserve"> s jednim od najintenziv</w:t>
      </w:r>
      <w:r w:rsidR="00CC7A1E">
        <w:rPr>
          <w:rFonts w:asciiTheme="minorHAnsi" w:hAnsiTheme="minorHAnsi" w:cstheme="minorHAnsi"/>
          <w:bCs/>
          <w:sz w:val="22"/>
          <w:szCs w:val="22"/>
        </w:rPr>
        <w:t>n</w:t>
      </w:r>
      <w:r w:rsidR="00905F4A">
        <w:rPr>
          <w:rFonts w:asciiTheme="minorHAnsi" w:hAnsiTheme="minorHAnsi" w:cstheme="minorHAnsi"/>
          <w:bCs/>
          <w:sz w:val="22"/>
          <w:szCs w:val="22"/>
        </w:rPr>
        <w:t>ijih investicijskih razdoblja u Ini.</w:t>
      </w:r>
      <w:r w:rsidR="00491F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Radovi na održavanju Rafinerije nafte Rijeka nastavljaju se planiranom dinamikom, s pokretanjem proizvodnje tijekom drugog tromjesečja 2023. Sigurna opskrba tržišta ni u jednom razdoblju nije bila ugrožena, bez obzira na </w:t>
      </w:r>
      <w:r w:rsidR="00673DC2">
        <w:rPr>
          <w:rFonts w:asciiTheme="minorHAnsi" w:hAnsiTheme="minorHAnsi" w:cstheme="minorHAnsi"/>
          <w:bCs/>
          <w:sz w:val="22"/>
          <w:szCs w:val="22"/>
        </w:rPr>
        <w:t>operacije u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rafinerij</w:t>
      </w:r>
      <w:r w:rsidR="00673DC2">
        <w:rPr>
          <w:rFonts w:asciiTheme="minorHAnsi" w:hAnsiTheme="minorHAnsi" w:cstheme="minorHAnsi"/>
          <w:bCs/>
          <w:sz w:val="22"/>
          <w:szCs w:val="22"/>
        </w:rPr>
        <w:t>i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, a pokretanje proizvodnje dodatno </w:t>
      </w:r>
      <w:r w:rsidR="00687F22">
        <w:rPr>
          <w:rFonts w:asciiTheme="minorHAnsi" w:hAnsiTheme="minorHAnsi" w:cstheme="minorHAnsi"/>
          <w:bCs/>
          <w:sz w:val="22"/>
          <w:szCs w:val="22"/>
        </w:rPr>
        <w:t xml:space="preserve">će </w:t>
      </w:r>
      <w:r w:rsidRPr="00CF7FC1">
        <w:rPr>
          <w:rFonts w:asciiTheme="minorHAnsi" w:hAnsiTheme="minorHAnsi" w:cstheme="minorHAnsi"/>
          <w:bCs/>
          <w:sz w:val="22"/>
          <w:szCs w:val="22"/>
        </w:rPr>
        <w:t>ojačati mogućnosti</w:t>
      </w:r>
      <w:r w:rsidR="00337D1C">
        <w:rPr>
          <w:rFonts w:asciiTheme="minorHAnsi" w:hAnsiTheme="minorHAnsi" w:cstheme="minorHAnsi"/>
          <w:bCs/>
          <w:sz w:val="22"/>
          <w:szCs w:val="22"/>
        </w:rPr>
        <w:t xml:space="preserve"> opskrbe</w:t>
      </w:r>
      <w:r w:rsidRPr="00CF7FC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4CFFBA" w14:textId="4BADA3DD" w:rsidR="00CF7FC1" w:rsidRDefault="00CF7FC1" w:rsidP="00A045DA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FC1">
        <w:rPr>
          <w:rFonts w:asciiTheme="minorHAnsi" w:hAnsiTheme="minorHAnsi" w:cstheme="minorHAnsi"/>
          <w:bCs/>
          <w:sz w:val="22"/>
          <w:szCs w:val="22"/>
        </w:rPr>
        <w:t xml:space="preserve">Projekt nadogradnje Rafinerije nafte Rijeka </w:t>
      </w:r>
      <w:r w:rsidR="00FE58DB">
        <w:rPr>
          <w:rFonts w:asciiTheme="minorHAnsi" w:hAnsiTheme="minorHAnsi" w:cstheme="minorHAnsi"/>
          <w:bCs/>
          <w:sz w:val="22"/>
          <w:szCs w:val="22"/>
        </w:rPr>
        <w:t>je na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74</w:t>
      </w:r>
      <w:r w:rsidR="00FE58DB">
        <w:rPr>
          <w:rFonts w:asciiTheme="minorHAnsi" w:hAnsiTheme="minorHAnsi" w:cstheme="minorHAnsi"/>
          <w:bCs/>
          <w:sz w:val="22"/>
          <w:szCs w:val="22"/>
        </w:rPr>
        <w:t xml:space="preserve"> posto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dovršenosti. Njegovim dovršetkom</w:t>
      </w:r>
      <w:r w:rsidR="00FE58DB">
        <w:rPr>
          <w:rFonts w:asciiTheme="minorHAnsi" w:hAnsiTheme="minorHAnsi" w:cstheme="minorHAnsi"/>
          <w:bCs/>
          <w:sz w:val="22"/>
          <w:szCs w:val="22"/>
        </w:rPr>
        <w:t>,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dugoročno će</w:t>
      </w:r>
      <w:r w:rsidR="00FE58DB">
        <w:rPr>
          <w:rFonts w:asciiTheme="minorHAnsi" w:hAnsiTheme="minorHAnsi" w:cstheme="minorHAnsi"/>
          <w:bCs/>
          <w:sz w:val="22"/>
          <w:szCs w:val="22"/>
        </w:rPr>
        <w:t>mo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ekonomsk</w:t>
      </w:r>
      <w:r w:rsidR="00FE58DB">
        <w:rPr>
          <w:rFonts w:asciiTheme="minorHAnsi" w:hAnsiTheme="minorHAnsi" w:cstheme="minorHAnsi"/>
          <w:bCs/>
          <w:sz w:val="22"/>
          <w:szCs w:val="22"/>
        </w:rPr>
        <w:t>u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održivost </w:t>
      </w:r>
      <w:r w:rsidR="00FE58DB">
        <w:rPr>
          <w:rFonts w:asciiTheme="minorHAnsi" w:hAnsiTheme="minorHAnsi" w:cstheme="minorHAnsi"/>
          <w:bCs/>
          <w:sz w:val="22"/>
          <w:szCs w:val="22"/>
        </w:rPr>
        <w:t xml:space="preserve">Ininog 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rafinerijskog poslovanja podići na višu razinu. Kada govorimo o ulaganjima, treba spomenuti i da su rezultati kampanje bušenja na moru vidljivi u proizvodnji, s povećanjem proizvodnje plina </w:t>
      </w:r>
      <w:r w:rsidR="002F5C25">
        <w:rPr>
          <w:rFonts w:asciiTheme="minorHAnsi" w:hAnsiTheme="minorHAnsi" w:cstheme="minorHAnsi"/>
          <w:bCs/>
          <w:sz w:val="22"/>
          <w:szCs w:val="22"/>
        </w:rPr>
        <w:t>iz podmorja za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 13</w:t>
      </w:r>
      <w:r w:rsidR="002F5C25">
        <w:rPr>
          <w:rFonts w:asciiTheme="minorHAnsi" w:hAnsiTheme="minorHAnsi" w:cstheme="minorHAnsi"/>
          <w:bCs/>
          <w:sz w:val="22"/>
          <w:szCs w:val="22"/>
        </w:rPr>
        <w:t xml:space="preserve"> posto</w:t>
      </w:r>
      <w:r w:rsidRPr="00CF7FC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C5F09B" w14:textId="6A303203" w:rsidR="00A045DA" w:rsidRDefault="00242079" w:rsidP="00A045DA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 djelatnosti 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>Istraživanj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i proizvodnj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nafte i plina 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>nastavlja</w:t>
      </w:r>
      <w:r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trend ublažavanja prirodnog pada proizvodnje. Smanjenje ukupne proizvodnje ugljikovodika od samo </w:t>
      </w:r>
      <w:r>
        <w:rPr>
          <w:rFonts w:asciiTheme="minorHAnsi" w:hAnsiTheme="minorHAnsi" w:cstheme="minorHAnsi"/>
          <w:bCs/>
          <w:sz w:val="22"/>
          <w:szCs w:val="22"/>
        </w:rPr>
        <w:t>dva posto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snažan je rezultat, uzimajući u obzir ukupnu starost Ininog proizvodnog portfelja, s mnogim poljima u proizvodnji oko ili više od 40 godina. Uz ove napore, sigurnost opskrbe plinom je jaka, dok s druge strane, volatilnost cijena ugljikovodika i </w:t>
      </w:r>
      <w:r w:rsidR="00275190">
        <w:rPr>
          <w:rFonts w:asciiTheme="minorHAnsi" w:hAnsiTheme="minorHAnsi" w:cstheme="minorHAnsi"/>
          <w:bCs/>
          <w:sz w:val="22"/>
          <w:szCs w:val="22"/>
        </w:rPr>
        <w:t>regula</w:t>
      </w:r>
      <w:r w:rsidR="002D182C">
        <w:rPr>
          <w:rFonts w:asciiTheme="minorHAnsi" w:hAnsiTheme="minorHAnsi" w:cstheme="minorHAnsi"/>
          <w:bCs/>
          <w:sz w:val="22"/>
          <w:szCs w:val="22"/>
        </w:rPr>
        <w:t>torna ograničenja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nastavljaju donositi razinu neizvjesnosti za buduće rezultate. </w:t>
      </w:r>
      <w:r w:rsidR="002D182C">
        <w:rPr>
          <w:rFonts w:asciiTheme="minorHAnsi" w:hAnsiTheme="minorHAnsi" w:cstheme="minorHAnsi"/>
          <w:bCs/>
          <w:sz w:val="22"/>
          <w:szCs w:val="22"/>
        </w:rPr>
        <w:t xml:space="preserve">Djelatnost 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>Rafinerij</w:t>
      </w:r>
      <w:r w:rsidR="002D182C">
        <w:rPr>
          <w:rFonts w:asciiTheme="minorHAnsi" w:hAnsiTheme="minorHAnsi" w:cstheme="minorHAnsi"/>
          <w:bCs/>
          <w:sz w:val="22"/>
          <w:szCs w:val="22"/>
        </w:rPr>
        <w:t>a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i marketing</w:t>
      </w:r>
      <w:r w:rsidR="002D182C">
        <w:rPr>
          <w:rFonts w:asciiTheme="minorHAnsi" w:hAnsiTheme="minorHAnsi" w:cstheme="minorHAnsi"/>
          <w:bCs/>
          <w:sz w:val="22"/>
          <w:szCs w:val="22"/>
        </w:rPr>
        <w:t>a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, uključujući </w:t>
      </w:r>
      <w:r w:rsidR="002D182C">
        <w:rPr>
          <w:rFonts w:asciiTheme="minorHAnsi" w:hAnsiTheme="minorHAnsi" w:cstheme="minorHAnsi"/>
          <w:bCs/>
          <w:sz w:val="22"/>
          <w:szCs w:val="22"/>
        </w:rPr>
        <w:t>U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sluge </w:t>
      </w:r>
      <w:r w:rsidR="000A4AF2">
        <w:rPr>
          <w:rFonts w:asciiTheme="minorHAnsi" w:hAnsiTheme="minorHAnsi" w:cstheme="minorHAnsi"/>
          <w:bCs/>
          <w:sz w:val="22"/>
          <w:szCs w:val="22"/>
        </w:rPr>
        <w:t>kupcima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2D182C">
        <w:rPr>
          <w:rFonts w:asciiTheme="minorHAnsi" w:hAnsiTheme="minorHAnsi" w:cstheme="minorHAnsi"/>
          <w:bCs/>
          <w:sz w:val="22"/>
          <w:szCs w:val="22"/>
        </w:rPr>
        <w:t>m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aloprodaju, pod pritiskom </w:t>
      </w:r>
      <w:r w:rsidR="000C1E53">
        <w:rPr>
          <w:rFonts w:asciiTheme="minorHAnsi" w:hAnsiTheme="minorHAnsi" w:cstheme="minorHAnsi"/>
          <w:bCs/>
          <w:sz w:val="22"/>
          <w:szCs w:val="22"/>
        </w:rPr>
        <w:t>je</w:t>
      </w:r>
      <w:r w:rsidR="00CF7FC1" w:rsidRPr="00CF7FC1">
        <w:rPr>
          <w:rFonts w:asciiTheme="minorHAnsi" w:hAnsiTheme="minorHAnsi" w:cstheme="minorHAnsi"/>
          <w:bCs/>
          <w:sz w:val="22"/>
          <w:szCs w:val="22"/>
        </w:rPr>
        <w:t xml:space="preserve"> smanjenih marži.</w:t>
      </w:r>
    </w:p>
    <w:p w14:paraId="1CFDF104" w14:textId="6BA9EC9F" w:rsidR="00974362" w:rsidRDefault="00CF7FC1" w:rsidP="00A045DA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FC1">
        <w:rPr>
          <w:rFonts w:asciiTheme="minorHAnsi" w:hAnsiTheme="minorHAnsi" w:cstheme="minorHAnsi"/>
          <w:bCs/>
          <w:sz w:val="22"/>
          <w:szCs w:val="22"/>
        </w:rPr>
        <w:t xml:space="preserve">Uz stabilizaciju cijena ugljikovodika na nižim razinama </w:t>
      </w:r>
      <w:r w:rsidR="00EA0B90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2023., vjerujem da </w:t>
      </w:r>
      <w:r w:rsidR="00FB1710">
        <w:rPr>
          <w:rFonts w:asciiTheme="minorHAnsi" w:hAnsiTheme="minorHAnsi" w:cstheme="minorHAnsi"/>
          <w:bCs/>
          <w:sz w:val="22"/>
          <w:szCs w:val="22"/>
        </w:rPr>
        <w:t xml:space="preserve">bi poslovanje na </w:t>
      </w:r>
      <w:r w:rsidR="00DD0260">
        <w:rPr>
          <w:rFonts w:asciiTheme="minorHAnsi" w:hAnsiTheme="minorHAnsi" w:cstheme="minorHAnsi"/>
          <w:bCs/>
          <w:sz w:val="22"/>
          <w:szCs w:val="22"/>
        </w:rPr>
        <w:t>tržišnim principima u dereguliranom cjenovnom okruženju trebalo biti omogućeno</w:t>
      </w:r>
      <w:r w:rsidRPr="00CF7FC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14A7C">
        <w:rPr>
          <w:rFonts w:asciiTheme="minorHAnsi" w:hAnsiTheme="minorHAnsi" w:cstheme="minorHAnsi"/>
          <w:bCs/>
          <w:sz w:val="22"/>
          <w:szCs w:val="22"/>
        </w:rPr>
        <w:t>INA će</w:t>
      </w:r>
      <w:r w:rsidR="00847BCE">
        <w:rPr>
          <w:rFonts w:asciiTheme="minorHAnsi" w:hAnsiTheme="minorHAnsi" w:cstheme="minorHAnsi"/>
          <w:bCs/>
          <w:sz w:val="22"/>
          <w:szCs w:val="22"/>
        </w:rPr>
        <w:t xml:space="preserve"> nastaviti osiguravati</w:t>
      </w:r>
      <w:r w:rsidR="00974362" w:rsidRPr="00CF7F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362" w:rsidRPr="00CF7FC1">
        <w:rPr>
          <w:rFonts w:asciiTheme="minorHAnsi" w:hAnsiTheme="minorHAnsi" w:cstheme="minorHAnsi"/>
          <w:bCs/>
          <w:sz w:val="22"/>
          <w:szCs w:val="22"/>
        </w:rPr>
        <w:lastRenderedPageBreak/>
        <w:t>sigurn</w:t>
      </w:r>
      <w:r w:rsidR="00974362">
        <w:rPr>
          <w:rFonts w:asciiTheme="minorHAnsi" w:hAnsiTheme="minorHAnsi" w:cstheme="minorHAnsi"/>
          <w:bCs/>
          <w:sz w:val="22"/>
          <w:szCs w:val="22"/>
        </w:rPr>
        <w:t>u</w:t>
      </w:r>
      <w:r w:rsidR="00974362" w:rsidRPr="00CF7FC1">
        <w:rPr>
          <w:rFonts w:asciiTheme="minorHAnsi" w:hAnsiTheme="minorHAnsi" w:cstheme="minorHAnsi"/>
          <w:bCs/>
          <w:sz w:val="22"/>
          <w:szCs w:val="22"/>
        </w:rPr>
        <w:t xml:space="preserve"> opskrb</w:t>
      </w:r>
      <w:r w:rsidR="00053C7A">
        <w:rPr>
          <w:rFonts w:asciiTheme="minorHAnsi" w:hAnsiTheme="minorHAnsi" w:cstheme="minorHAnsi"/>
          <w:bCs/>
          <w:sz w:val="22"/>
          <w:szCs w:val="22"/>
        </w:rPr>
        <w:t>u</w:t>
      </w:r>
      <w:r w:rsidR="00974362" w:rsidRPr="00CF7FC1">
        <w:rPr>
          <w:rFonts w:asciiTheme="minorHAnsi" w:hAnsiTheme="minorHAnsi" w:cstheme="minorHAnsi"/>
          <w:bCs/>
          <w:sz w:val="22"/>
          <w:szCs w:val="22"/>
        </w:rPr>
        <w:t xml:space="preserve"> tržišta</w:t>
      </w:r>
      <w:r w:rsidR="000A4AF2">
        <w:rPr>
          <w:rFonts w:asciiTheme="minorHAnsi" w:hAnsiTheme="minorHAnsi" w:cstheme="minorHAnsi"/>
          <w:bCs/>
          <w:sz w:val="22"/>
          <w:szCs w:val="22"/>
        </w:rPr>
        <w:t xml:space="preserve"> dok je</w:t>
      </w:r>
      <w:r w:rsidR="000D260B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0A4AF2">
        <w:rPr>
          <w:rFonts w:asciiTheme="minorHAnsi" w:hAnsiTheme="minorHAnsi" w:cstheme="minorHAnsi"/>
          <w:bCs/>
          <w:sz w:val="22"/>
          <w:szCs w:val="22"/>
        </w:rPr>
        <w:t>stovremeno</w:t>
      </w:r>
      <w:r w:rsidR="000D26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4AF2">
        <w:rPr>
          <w:rFonts w:asciiTheme="minorHAnsi" w:hAnsiTheme="minorHAnsi" w:cstheme="minorHAnsi"/>
          <w:bCs/>
          <w:sz w:val="22"/>
          <w:szCs w:val="22"/>
        </w:rPr>
        <w:t>usredotočena</w:t>
      </w:r>
      <w:r w:rsidR="004570D8">
        <w:rPr>
          <w:rFonts w:asciiTheme="minorHAnsi" w:hAnsiTheme="minorHAnsi" w:cstheme="minorHAnsi"/>
          <w:bCs/>
          <w:sz w:val="22"/>
          <w:szCs w:val="22"/>
        </w:rPr>
        <w:t xml:space="preserve"> na ostvaren</w:t>
      </w:r>
      <w:r w:rsidR="000A4AF2">
        <w:rPr>
          <w:rFonts w:asciiTheme="minorHAnsi" w:hAnsiTheme="minorHAnsi" w:cstheme="minorHAnsi"/>
          <w:bCs/>
          <w:sz w:val="22"/>
          <w:szCs w:val="22"/>
        </w:rPr>
        <w:t>je</w:t>
      </w:r>
      <w:r w:rsidR="004570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362" w:rsidRPr="00CF7FC1">
        <w:rPr>
          <w:rFonts w:asciiTheme="minorHAnsi" w:hAnsiTheme="minorHAnsi" w:cstheme="minorHAnsi"/>
          <w:bCs/>
          <w:sz w:val="22"/>
          <w:szCs w:val="22"/>
        </w:rPr>
        <w:t>profitabilno</w:t>
      </w:r>
      <w:r w:rsidR="004570D8">
        <w:rPr>
          <w:rFonts w:asciiTheme="minorHAnsi" w:hAnsiTheme="minorHAnsi" w:cstheme="minorHAnsi"/>
          <w:bCs/>
          <w:sz w:val="22"/>
          <w:szCs w:val="22"/>
        </w:rPr>
        <w:t>g</w:t>
      </w:r>
      <w:r w:rsidR="00974362" w:rsidRPr="00CF7FC1">
        <w:rPr>
          <w:rFonts w:asciiTheme="minorHAnsi" w:hAnsiTheme="minorHAnsi" w:cstheme="minorHAnsi"/>
          <w:bCs/>
          <w:sz w:val="22"/>
          <w:szCs w:val="22"/>
        </w:rPr>
        <w:t xml:space="preserve"> poslovanj</w:t>
      </w:r>
      <w:r w:rsidR="004570D8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166F62">
        <w:rPr>
          <w:rFonts w:asciiTheme="minorHAnsi" w:hAnsiTheme="minorHAnsi" w:cstheme="minorHAnsi"/>
          <w:bCs/>
          <w:sz w:val="22"/>
          <w:szCs w:val="22"/>
        </w:rPr>
        <w:t>u</w:t>
      </w:r>
      <w:r w:rsidR="004570D8">
        <w:rPr>
          <w:rFonts w:asciiTheme="minorHAnsi" w:hAnsiTheme="minorHAnsi" w:cstheme="minorHAnsi"/>
          <w:bCs/>
          <w:sz w:val="22"/>
          <w:szCs w:val="22"/>
        </w:rPr>
        <w:t xml:space="preserve"> korist </w:t>
      </w:r>
      <w:r w:rsidR="00DE25D5">
        <w:rPr>
          <w:rFonts w:asciiTheme="minorHAnsi" w:hAnsiTheme="minorHAnsi" w:cstheme="minorHAnsi"/>
          <w:bCs/>
          <w:sz w:val="22"/>
          <w:szCs w:val="22"/>
        </w:rPr>
        <w:t>svojih</w:t>
      </w:r>
      <w:r w:rsidR="004570D8">
        <w:rPr>
          <w:rFonts w:asciiTheme="minorHAnsi" w:hAnsiTheme="minorHAnsi" w:cstheme="minorHAnsi"/>
          <w:bCs/>
          <w:sz w:val="22"/>
          <w:szCs w:val="22"/>
        </w:rPr>
        <w:t xml:space="preserve"> dioničara</w:t>
      </w:r>
      <w:r w:rsidR="00974362">
        <w:rPr>
          <w:rFonts w:asciiTheme="minorHAnsi" w:hAnsiTheme="minorHAnsi" w:cstheme="minorHAnsi"/>
          <w:bCs/>
          <w:sz w:val="22"/>
          <w:szCs w:val="22"/>
        </w:rPr>
        <w:t>.</w:t>
      </w:r>
      <w:r w:rsidR="00166F62">
        <w:rPr>
          <w:rFonts w:asciiTheme="minorHAnsi" w:hAnsiTheme="minorHAnsi" w:cstheme="minorHAnsi"/>
          <w:bCs/>
          <w:sz w:val="22"/>
          <w:szCs w:val="22"/>
        </w:rPr>
        <w:t>“</w:t>
      </w:r>
    </w:p>
    <w:p w14:paraId="188B6E47" w14:textId="325F2E40" w:rsidR="009B571F" w:rsidRPr="000F22E7" w:rsidRDefault="009B571F" w:rsidP="00C027E1">
      <w:pPr>
        <w:jc w:val="both"/>
        <w:rPr>
          <w:rFonts w:asciiTheme="minorHAnsi" w:hAnsiTheme="minorHAnsi" w:cstheme="minorHAnsi"/>
          <w:bCs/>
        </w:rPr>
        <w:sectPr w:rsidR="009B571F" w:rsidRPr="000F22E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537A8" w14:textId="6C3888B0" w:rsidR="00FF0C7C" w:rsidRPr="000F22E7" w:rsidRDefault="00A22F22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E48EDFD" wp14:editId="71CF772A">
            <wp:extent cx="2470245" cy="187026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29" cy="1879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4E1F3" w14:textId="77777777" w:rsidR="00C0068C" w:rsidRPr="000F22E7" w:rsidRDefault="00C0068C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759A5372" w14:textId="355737DB" w:rsidR="00900453" w:rsidRPr="000F22E7" w:rsidRDefault="006131C1" w:rsidP="006A6D3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7187EAD" wp14:editId="1B56FBAC">
            <wp:extent cx="2688609" cy="186492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7" cy="186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1E50" w14:textId="49B858E9" w:rsidR="00FF0C7C" w:rsidRPr="000F22E7" w:rsidRDefault="00986572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DA12965" wp14:editId="16674E99">
            <wp:extent cx="2668137" cy="18507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82" cy="1858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76475" w14:textId="559C4E63" w:rsidR="008B13EE" w:rsidRPr="000F22E7" w:rsidRDefault="008B13EE" w:rsidP="009F1B60">
      <w:pPr>
        <w:spacing w:line="360" w:lineRule="auto"/>
        <w:jc w:val="center"/>
        <w:rPr>
          <w:rFonts w:asciiTheme="minorHAnsi" w:hAnsiTheme="minorHAnsi" w:cstheme="minorHAnsi"/>
        </w:rPr>
      </w:pPr>
    </w:p>
    <w:p w14:paraId="3812664C" w14:textId="286F6D98" w:rsidR="00621EAF" w:rsidRPr="000F22E7" w:rsidRDefault="0010463D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621EAF" w:rsidRPr="000F22E7" w:rsidSect="00621E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8697D22" wp14:editId="68E5CA91">
            <wp:extent cx="2715904" cy="1885615"/>
            <wp:effectExtent l="0" t="0" r="825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46" cy="189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EC102" w14:textId="77777777" w:rsidR="00B57D01" w:rsidRDefault="00B57D01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079B5F" w14:textId="1E1DF7D7" w:rsidR="00FF05F8" w:rsidRPr="007B5E9E" w:rsidRDefault="00FF05F8" w:rsidP="00C0068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5E9E">
        <w:rPr>
          <w:rFonts w:asciiTheme="minorHAnsi" w:hAnsiTheme="minorHAnsi" w:cstheme="minorHAnsi"/>
          <w:b/>
          <w:sz w:val="22"/>
          <w:szCs w:val="22"/>
        </w:rPr>
        <w:t>Istraživanje i proizvodnja</w:t>
      </w:r>
      <w:r w:rsidR="00C34BDC" w:rsidRPr="007B5E9E">
        <w:rPr>
          <w:rFonts w:asciiTheme="minorHAnsi" w:hAnsiTheme="minorHAnsi" w:cstheme="minorHAnsi"/>
          <w:b/>
          <w:sz w:val="22"/>
          <w:szCs w:val="22"/>
        </w:rPr>
        <w:t xml:space="preserve"> nafte i plina</w:t>
      </w:r>
    </w:p>
    <w:p w14:paraId="0DB53B6E" w14:textId="235E946E" w:rsidR="00565CF5" w:rsidRPr="00565CF5" w:rsidRDefault="00565CF5" w:rsidP="00565CF5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5017672"/>
      <w:r w:rsidRPr="00565CF5">
        <w:rPr>
          <w:rFonts w:asciiTheme="minorHAnsi" w:hAnsiTheme="minorHAnsi" w:cstheme="minorHAnsi"/>
          <w:sz w:val="22"/>
          <w:szCs w:val="22"/>
        </w:rPr>
        <w:t>Niže cijene rezultirale su 18,5 milijuna eura nižim prihodima, uglavnom zbog niže cijene nafte.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5CF5">
        <w:rPr>
          <w:rFonts w:asciiTheme="minorHAnsi" w:hAnsiTheme="minorHAnsi" w:cstheme="minorHAnsi"/>
          <w:sz w:val="22"/>
          <w:szCs w:val="22"/>
        </w:rPr>
        <w:t xml:space="preserve">Proizvodnja </w:t>
      </w:r>
      <w:r w:rsidR="00EF300B">
        <w:rPr>
          <w:rFonts w:asciiTheme="minorHAnsi" w:hAnsiTheme="minorHAnsi" w:cstheme="minorHAnsi"/>
          <w:sz w:val="22"/>
          <w:szCs w:val="22"/>
        </w:rPr>
        <w:t xml:space="preserve">je </w:t>
      </w:r>
      <w:r w:rsidRPr="00565CF5">
        <w:rPr>
          <w:rFonts w:asciiTheme="minorHAnsi" w:hAnsiTheme="minorHAnsi" w:cstheme="minorHAnsi"/>
          <w:sz w:val="22"/>
          <w:szCs w:val="22"/>
        </w:rPr>
        <w:t xml:space="preserve">smanjena za samo </w:t>
      </w:r>
      <w:r w:rsidR="00EF300B">
        <w:rPr>
          <w:rFonts w:asciiTheme="minorHAnsi" w:hAnsiTheme="minorHAnsi" w:cstheme="minorHAnsi"/>
          <w:sz w:val="22"/>
          <w:szCs w:val="22"/>
        </w:rPr>
        <w:t>dva posto</w:t>
      </w:r>
      <w:r w:rsidRPr="00565CF5">
        <w:rPr>
          <w:rFonts w:asciiTheme="minorHAnsi" w:hAnsiTheme="minorHAnsi" w:cstheme="minorHAnsi"/>
          <w:sz w:val="22"/>
          <w:szCs w:val="22"/>
        </w:rPr>
        <w:t xml:space="preserve">, u usporedbi s padom od </w:t>
      </w:r>
      <w:r w:rsidR="00EF300B">
        <w:rPr>
          <w:rFonts w:asciiTheme="minorHAnsi" w:hAnsiTheme="minorHAnsi" w:cstheme="minorHAnsi"/>
          <w:sz w:val="22"/>
          <w:szCs w:val="22"/>
        </w:rPr>
        <w:t xml:space="preserve">šest posto </w:t>
      </w:r>
      <w:r w:rsidR="000B1739" w:rsidRPr="00565CF5">
        <w:rPr>
          <w:rFonts w:asciiTheme="minorHAnsi" w:hAnsiTheme="minorHAnsi" w:cstheme="minorHAnsi"/>
          <w:sz w:val="22"/>
          <w:szCs w:val="22"/>
        </w:rPr>
        <w:t xml:space="preserve">u istom razdoblju </w:t>
      </w:r>
      <w:r w:rsidRPr="00565CF5">
        <w:rPr>
          <w:rFonts w:asciiTheme="minorHAnsi" w:hAnsiTheme="minorHAnsi" w:cstheme="minorHAnsi"/>
          <w:sz w:val="22"/>
          <w:szCs w:val="22"/>
        </w:rPr>
        <w:t>2022.</w:t>
      </w:r>
      <w:r w:rsidR="000B1739">
        <w:rPr>
          <w:rFonts w:asciiTheme="minorHAnsi" w:hAnsiTheme="minorHAnsi" w:cstheme="minorHAnsi"/>
          <w:sz w:val="22"/>
          <w:szCs w:val="22"/>
        </w:rPr>
        <w:t xml:space="preserve"> godine</w:t>
      </w:r>
      <w:r w:rsidRPr="00565CF5">
        <w:rPr>
          <w:rFonts w:asciiTheme="minorHAnsi" w:hAnsiTheme="minorHAnsi" w:cstheme="minorHAnsi"/>
          <w:sz w:val="22"/>
          <w:szCs w:val="22"/>
        </w:rPr>
        <w:t xml:space="preserve"> u odnosu na 2021., što je značajan napredak s obzirom na zrelost Ininih naftnih i plinskih polja. Međutim, usprkos boljem učinku</w:t>
      </w:r>
      <w:r w:rsidR="00917254">
        <w:rPr>
          <w:rFonts w:asciiTheme="minorHAnsi" w:hAnsiTheme="minorHAnsi" w:cstheme="minorHAnsi"/>
          <w:sz w:val="22"/>
          <w:szCs w:val="22"/>
        </w:rPr>
        <w:t xml:space="preserve"> bušotina iz podmorja</w:t>
      </w:r>
      <w:r w:rsidR="00415533">
        <w:rPr>
          <w:rFonts w:asciiTheme="minorHAnsi" w:hAnsiTheme="minorHAnsi" w:cstheme="minorHAnsi"/>
          <w:sz w:val="22"/>
          <w:szCs w:val="22"/>
        </w:rPr>
        <w:t>,</w:t>
      </w:r>
      <w:r w:rsidRPr="00565CF5">
        <w:rPr>
          <w:rFonts w:asciiTheme="minorHAnsi" w:hAnsiTheme="minorHAnsi" w:cstheme="minorHAnsi"/>
          <w:sz w:val="22"/>
          <w:szCs w:val="22"/>
        </w:rPr>
        <w:t xml:space="preserve"> </w:t>
      </w:r>
      <w:r w:rsidR="00917254">
        <w:rPr>
          <w:rFonts w:asciiTheme="minorHAnsi" w:hAnsiTheme="minorHAnsi" w:cstheme="minorHAnsi"/>
          <w:sz w:val="22"/>
          <w:szCs w:val="22"/>
        </w:rPr>
        <w:t>čemu je doprinijelo</w:t>
      </w:r>
      <w:r w:rsidRPr="00565CF5">
        <w:rPr>
          <w:rFonts w:asciiTheme="minorHAnsi" w:hAnsiTheme="minorHAnsi" w:cstheme="minorHAnsi"/>
          <w:sz w:val="22"/>
          <w:szCs w:val="22"/>
        </w:rPr>
        <w:t xml:space="preserve"> značajno povećane proizvodnje na polju Ika nakon remonta i v</w:t>
      </w:r>
      <w:r w:rsidR="00917254">
        <w:rPr>
          <w:rFonts w:asciiTheme="minorHAnsi" w:hAnsiTheme="minorHAnsi" w:cstheme="minorHAnsi"/>
          <w:sz w:val="22"/>
          <w:szCs w:val="22"/>
        </w:rPr>
        <w:t>eća</w:t>
      </w:r>
      <w:r w:rsidRPr="00565CF5">
        <w:rPr>
          <w:rFonts w:asciiTheme="minorHAnsi" w:hAnsiTheme="minorHAnsi" w:cstheme="minorHAnsi"/>
          <w:sz w:val="22"/>
          <w:szCs w:val="22"/>
        </w:rPr>
        <w:t xml:space="preserve"> proizvodnj</w:t>
      </w:r>
      <w:r w:rsidR="00917254">
        <w:rPr>
          <w:rFonts w:asciiTheme="minorHAnsi" w:hAnsiTheme="minorHAnsi" w:cstheme="minorHAnsi"/>
          <w:sz w:val="22"/>
          <w:szCs w:val="22"/>
        </w:rPr>
        <w:t>a</w:t>
      </w:r>
      <w:r w:rsidRPr="00565CF5">
        <w:rPr>
          <w:rFonts w:asciiTheme="minorHAnsi" w:hAnsiTheme="minorHAnsi" w:cstheme="minorHAnsi"/>
          <w:sz w:val="22"/>
          <w:szCs w:val="22"/>
        </w:rPr>
        <w:t xml:space="preserve"> na polju Ivana nakon optimizacije procesa, </w:t>
      </w:r>
      <w:r w:rsidR="00917254">
        <w:rPr>
          <w:rFonts w:asciiTheme="minorHAnsi" w:hAnsiTheme="minorHAnsi" w:cstheme="minorHAnsi"/>
          <w:sz w:val="22"/>
          <w:szCs w:val="22"/>
        </w:rPr>
        <w:t xml:space="preserve">ukupna </w:t>
      </w:r>
      <w:r w:rsidRPr="00565CF5">
        <w:rPr>
          <w:rFonts w:asciiTheme="minorHAnsi" w:hAnsiTheme="minorHAnsi" w:cstheme="minorHAnsi"/>
          <w:sz w:val="22"/>
          <w:szCs w:val="22"/>
        </w:rPr>
        <w:t>hrvatska proizvodnja smanj</w:t>
      </w:r>
      <w:r w:rsidR="00C04ED3">
        <w:rPr>
          <w:rFonts w:asciiTheme="minorHAnsi" w:hAnsiTheme="minorHAnsi" w:cstheme="minorHAnsi"/>
          <w:sz w:val="22"/>
          <w:szCs w:val="22"/>
        </w:rPr>
        <w:t>ena je</w:t>
      </w:r>
      <w:r w:rsidRPr="00565CF5">
        <w:rPr>
          <w:rFonts w:asciiTheme="minorHAnsi" w:hAnsiTheme="minorHAnsi" w:cstheme="minorHAnsi"/>
          <w:sz w:val="22"/>
          <w:szCs w:val="22"/>
        </w:rPr>
        <w:t xml:space="preserve"> </w:t>
      </w:r>
      <w:r w:rsidR="0098703D">
        <w:rPr>
          <w:rFonts w:asciiTheme="minorHAnsi" w:hAnsiTheme="minorHAnsi" w:cstheme="minorHAnsi"/>
          <w:sz w:val="22"/>
          <w:szCs w:val="22"/>
        </w:rPr>
        <w:t>zbog n</w:t>
      </w:r>
      <w:r w:rsidRPr="00565CF5">
        <w:rPr>
          <w:rFonts w:asciiTheme="minorHAnsi" w:hAnsiTheme="minorHAnsi" w:cstheme="minorHAnsi"/>
          <w:sz w:val="22"/>
          <w:szCs w:val="22"/>
        </w:rPr>
        <w:t xml:space="preserve">ižeg doprinosa na </w:t>
      </w:r>
      <w:r w:rsidR="00415533">
        <w:rPr>
          <w:rFonts w:asciiTheme="minorHAnsi" w:hAnsiTheme="minorHAnsi" w:cstheme="minorHAnsi"/>
          <w:sz w:val="22"/>
          <w:szCs w:val="22"/>
        </w:rPr>
        <w:t>kopnu</w:t>
      </w:r>
      <w:r w:rsidRPr="00565CF5">
        <w:rPr>
          <w:rFonts w:asciiTheme="minorHAnsi" w:hAnsiTheme="minorHAnsi" w:cstheme="minorHAnsi"/>
          <w:sz w:val="22"/>
          <w:szCs w:val="22"/>
        </w:rPr>
        <w:t xml:space="preserve"> </w:t>
      </w:r>
      <w:r w:rsidR="00917254">
        <w:rPr>
          <w:rFonts w:asciiTheme="minorHAnsi" w:hAnsiTheme="minorHAnsi" w:cstheme="minorHAnsi"/>
          <w:sz w:val="22"/>
          <w:szCs w:val="22"/>
        </w:rPr>
        <w:t xml:space="preserve">uslijed </w:t>
      </w:r>
      <w:r w:rsidRPr="00565CF5">
        <w:rPr>
          <w:rFonts w:asciiTheme="minorHAnsi" w:hAnsiTheme="minorHAnsi" w:cstheme="minorHAnsi"/>
          <w:sz w:val="22"/>
          <w:szCs w:val="22"/>
        </w:rPr>
        <w:t>prirodn</w:t>
      </w:r>
      <w:r w:rsidR="00917254">
        <w:rPr>
          <w:rFonts w:asciiTheme="minorHAnsi" w:hAnsiTheme="minorHAnsi" w:cstheme="minorHAnsi"/>
          <w:sz w:val="22"/>
          <w:szCs w:val="22"/>
        </w:rPr>
        <w:t>og</w:t>
      </w:r>
      <w:r w:rsidRPr="00565CF5">
        <w:rPr>
          <w:rFonts w:asciiTheme="minorHAnsi" w:hAnsiTheme="minorHAnsi" w:cstheme="minorHAnsi"/>
          <w:sz w:val="22"/>
          <w:szCs w:val="22"/>
        </w:rPr>
        <w:t xml:space="preserve"> pad </w:t>
      </w:r>
      <w:r w:rsidR="003816EE">
        <w:rPr>
          <w:rFonts w:asciiTheme="minorHAnsi" w:hAnsiTheme="minorHAnsi" w:cstheme="minorHAnsi"/>
          <w:sz w:val="22"/>
          <w:szCs w:val="22"/>
        </w:rPr>
        <w:t>i</w:t>
      </w:r>
      <w:r w:rsidRPr="00565CF5">
        <w:rPr>
          <w:rFonts w:asciiTheme="minorHAnsi" w:hAnsiTheme="minorHAnsi" w:cstheme="minorHAnsi"/>
          <w:sz w:val="22"/>
          <w:szCs w:val="22"/>
        </w:rPr>
        <w:t xml:space="preserve"> povećan</w:t>
      </w:r>
      <w:r w:rsidR="00917254">
        <w:rPr>
          <w:rFonts w:asciiTheme="minorHAnsi" w:hAnsiTheme="minorHAnsi" w:cstheme="minorHAnsi"/>
          <w:sz w:val="22"/>
          <w:szCs w:val="22"/>
        </w:rPr>
        <w:t>ja</w:t>
      </w:r>
      <w:r w:rsidRPr="00565CF5">
        <w:rPr>
          <w:rFonts w:asciiTheme="minorHAnsi" w:hAnsiTheme="minorHAnsi" w:cstheme="minorHAnsi"/>
          <w:sz w:val="22"/>
          <w:szCs w:val="22"/>
        </w:rPr>
        <w:t xml:space="preserve"> količin</w:t>
      </w:r>
      <w:r w:rsidR="003816EE">
        <w:rPr>
          <w:rFonts w:asciiTheme="minorHAnsi" w:hAnsiTheme="minorHAnsi" w:cstheme="minorHAnsi"/>
          <w:sz w:val="22"/>
          <w:szCs w:val="22"/>
        </w:rPr>
        <w:t>e</w:t>
      </w:r>
      <w:r w:rsidRPr="00565CF5">
        <w:rPr>
          <w:rFonts w:asciiTheme="minorHAnsi" w:hAnsiTheme="minorHAnsi" w:cstheme="minorHAnsi"/>
          <w:sz w:val="22"/>
          <w:szCs w:val="22"/>
        </w:rPr>
        <w:t xml:space="preserve"> vode </w:t>
      </w:r>
      <w:r w:rsidR="003816EE">
        <w:rPr>
          <w:rFonts w:asciiTheme="minorHAnsi" w:hAnsiTheme="minorHAnsi" w:cstheme="minorHAnsi"/>
          <w:sz w:val="22"/>
          <w:szCs w:val="22"/>
        </w:rPr>
        <w:t xml:space="preserve">na </w:t>
      </w:r>
      <w:r w:rsidRPr="00565CF5">
        <w:rPr>
          <w:rFonts w:asciiTheme="minorHAnsi" w:hAnsiTheme="minorHAnsi" w:cstheme="minorHAnsi"/>
          <w:sz w:val="22"/>
          <w:szCs w:val="22"/>
        </w:rPr>
        <w:t>poljima</w:t>
      </w:r>
      <w:r w:rsidR="003816EE">
        <w:rPr>
          <w:rFonts w:asciiTheme="minorHAnsi" w:hAnsiTheme="minorHAnsi" w:cstheme="minorHAnsi"/>
          <w:sz w:val="22"/>
          <w:szCs w:val="22"/>
        </w:rPr>
        <w:t>.</w:t>
      </w:r>
    </w:p>
    <w:p w14:paraId="6EA5E195" w14:textId="60279BB6" w:rsidR="006D1601" w:rsidRDefault="006D1601" w:rsidP="0088242C">
      <w:pPr>
        <w:pStyle w:val="NoSpacing"/>
        <w:contextualSpacing/>
        <w:rPr>
          <w:rFonts w:asciiTheme="minorHAnsi" w:hAnsiTheme="minorHAnsi" w:cstheme="minorHAnsi"/>
          <w:sz w:val="22"/>
          <w:szCs w:val="22"/>
        </w:rPr>
      </w:pPr>
      <w:bookmarkStart w:id="4" w:name="_Hlk116458703"/>
      <w:r w:rsidRPr="0088242C">
        <w:rPr>
          <w:rFonts w:asciiTheme="minorHAnsi" w:hAnsiTheme="minorHAnsi" w:cstheme="minorHAnsi"/>
          <w:sz w:val="22"/>
          <w:szCs w:val="22"/>
          <w:lang w:val="hr-HR"/>
        </w:rPr>
        <w:t xml:space="preserve">Niža kapitalna ulaganja u odnosu na prvo tromjesečje 2022. pretežno su rezultat kampanje bušenja na </w:t>
      </w:r>
      <w:r w:rsidR="0040504A" w:rsidRPr="0088242C">
        <w:rPr>
          <w:rFonts w:asciiTheme="minorHAnsi" w:hAnsiTheme="minorHAnsi" w:cstheme="minorHAnsi"/>
          <w:sz w:val="22"/>
          <w:szCs w:val="22"/>
          <w:lang w:val="hr-HR"/>
        </w:rPr>
        <w:t>s</w:t>
      </w:r>
      <w:r w:rsidRPr="0088242C">
        <w:rPr>
          <w:rFonts w:asciiTheme="minorHAnsi" w:hAnsiTheme="minorHAnsi" w:cstheme="minorHAnsi"/>
          <w:sz w:val="22"/>
          <w:szCs w:val="22"/>
          <w:lang w:val="hr-HR"/>
        </w:rPr>
        <w:t>jevernom Jadranu koja je u prvom tromjesečju 2023. bila u fazi prikupljanja ponuda za inženjering,</w:t>
      </w:r>
      <w:r w:rsidR="0091725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17254" w:rsidRPr="00B57D01">
        <w:rPr>
          <w:rFonts w:asciiTheme="minorHAnsi" w:hAnsiTheme="minorHAnsi" w:cstheme="minorHAnsi"/>
          <w:sz w:val="22"/>
          <w:szCs w:val="22"/>
          <w:lang w:val="hr-HR"/>
        </w:rPr>
        <w:t>nabavu,</w:t>
      </w:r>
      <w:r w:rsidRPr="00B57D01">
        <w:rPr>
          <w:rFonts w:asciiTheme="minorHAnsi" w:hAnsiTheme="minorHAnsi" w:cstheme="minorHAnsi"/>
          <w:sz w:val="22"/>
          <w:szCs w:val="22"/>
          <w:lang w:val="hr-HR"/>
        </w:rPr>
        <w:t xml:space="preserve"> izgradnju i instalaciju platformi.</w:t>
      </w:r>
      <w:r w:rsidRPr="00B57D01">
        <w:rPr>
          <w:rFonts w:asciiTheme="minorHAnsi" w:hAnsiTheme="minorHAnsi" w:cstheme="minorHAnsi"/>
          <w:color w:val="FF0000"/>
          <w:sz w:val="22"/>
          <w:szCs w:val="22"/>
          <w:lang w:val="hr-HR"/>
        </w:rPr>
        <w:t xml:space="preserve"> </w:t>
      </w:r>
      <w:r w:rsidRPr="00B57D01">
        <w:rPr>
          <w:rFonts w:asciiTheme="minorHAnsi" w:hAnsiTheme="minorHAnsi" w:cstheme="minorHAnsi"/>
          <w:sz w:val="22"/>
          <w:szCs w:val="22"/>
          <w:lang w:val="hr-HR"/>
        </w:rPr>
        <w:t>Glavne aktivnosti</w:t>
      </w:r>
      <w:r w:rsidR="00B57D01" w:rsidRPr="00B57D01">
        <w:rPr>
          <w:rFonts w:asciiTheme="minorHAnsi" w:hAnsiTheme="minorHAnsi" w:cstheme="minorHAnsi"/>
          <w:sz w:val="22"/>
          <w:szCs w:val="22"/>
          <w:lang w:val="hr-HR"/>
        </w:rPr>
        <w:t xml:space="preserve"> u</w:t>
      </w:r>
      <w:r w:rsidRPr="00B57D0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F7AF9" w:rsidRPr="00B57D01">
        <w:rPr>
          <w:rFonts w:asciiTheme="minorHAnsi" w:hAnsiTheme="minorHAnsi" w:cstheme="minorHAnsi"/>
          <w:sz w:val="22"/>
          <w:szCs w:val="22"/>
          <w:lang w:val="hr-HR"/>
        </w:rPr>
        <w:t>prvom tromjesečju</w:t>
      </w:r>
      <w:r w:rsidRPr="00B57D01">
        <w:rPr>
          <w:rFonts w:asciiTheme="minorHAnsi" w:hAnsiTheme="minorHAnsi" w:cstheme="minorHAnsi"/>
          <w:sz w:val="22"/>
          <w:szCs w:val="22"/>
          <w:lang w:val="hr-HR"/>
        </w:rPr>
        <w:t xml:space="preserve"> 2023. odnosile su se na:</w:t>
      </w:r>
    </w:p>
    <w:p w14:paraId="6A8D71CD" w14:textId="77777777" w:rsidR="000C45DD" w:rsidRPr="000C45DD" w:rsidRDefault="000C45DD" w:rsidP="0088242C">
      <w:pPr>
        <w:pStyle w:val="NoSpacing"/>
        <w:contextualSpacing/>
        <w:rPr>
          <w:rFonts w:asciiTheme="minorHAnsi" w:hAnsiTheme="minorHAnsi" w:cstheme="minorHAnsi"/>
          <w:sz w:val="22"/>
          <w:szCs w:val="22"/>
        </w:rPr>
      </w:pPr>
    </w:p>
    <w:p w14:paraId="30BDB46C" w14:textId="6FCB8B24" w:rsidR="006D1601" w:rsidRPr="00C24FB8" w:rsidRDefault="006D1601" w:rsidP="0088242C">
      <w:pPr>
        <w:pStyle w:val="NoSpacing"/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Istraživanje u Hrvatskoj:</w:t>
      </w:r>
    </w:p>
    <w:p w14:paraId="78BF7311" w14:textId="34B4A1D1" w:rsidR="006D1601" w:rsidRPr="00C24FB8" w:rsidRDefault="006D1601" w:rsidP="0088242C">
      <w:pPr>
        <w:pStyle w:val="NoSpacing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Drava-03: U tijeku su pripremne aktivnosti za bušenje bušotine Veliki Rastovac-1</w:t>
      </w:r>
      <w:r w:rsidR="00B57D01" w:rsidRPr="00C24FB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3AE393A" w14:textId="77777777" w:rsidR="006D1601" w:rsidRPr="00C24FB8" w:rsidRDefault="006D1601" w:rsidP="0088242C">
      <w:pPr>
        <w:pStyle w:val="NoSpacing"/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lastRenderedPageBreak/>
        <w:t>Hrvatska - podmorje:</w:t>
      </w:r>
    </w:p>
    <w:p w14:paraId="2DD64F32" w14:textId="43DA9C8D" w:rsidR="006D1601" w:rsidRPr="00C24FB8" w:rsidRDefault="006D1601" w:rsidP="0088242C">
      <w:pPr>
        <w:pStyle w:val="NoSpacing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U tijeku je ishođenje dozvola za bušenje istražne bušotine Izabela-9</w:t>
      </w:r>
      <w:r w:rsidR="00B57D01" w:rsidRPr="00C24FB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C2F2183" w14:textId="77777777" w:rsidR="006D1601" w:rsidRPr="00C24FB8" w:rsidRDefault="006D1601" w:rsidP="0088242C">
      <w:pPr>
        <w:pStyle w:val="NoSpacing"/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Hrvatska - kopno:</w:t>
      </w:r>
    </w:p>
    <w:p w14:paraId="57256C84" w14:textId="2D5C2A97" w:rsidR="006D1601" w:rsidRPr="00C24FB8" w:rsidRDefault="006D1601" w:rsidP="0088242C">
      <w:pPr>
        <w:pStyle w:val="NoSpacing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Optimizacija proizvodnje: u prvom tromjesečju 2023. izvedeno je devet remonta bušotina</w:t>
      </w:r>
      <w:r w:rsidR="00B57D01" w:rsidRPr="00C24FB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6E7F8CA0" w14:textId="77777777" w:rsidR="006D1601" w:rsidRPr="00C24FB8" w:rsidRDefault="006D1601" w:rsidP="0088242C">
      <w:pPr>
        <w:pStyle w:val="NoSpacing"/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Egipat:</w:t>
      </w:r>
    </w:p>
    <w:p w14:paraId="503A1EE8" w14:textId="340F4EF3" w:rsidR="006D1601" w:rsidRPr="00C24FB8" w:rsidRDefault="006D1601" w:rsidP="0088242C">
      <w:pPr>
        <w:pStyle w:val="NoSpacing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 xml:space="preserve">North Bahariya: izbušeno je pet razradnih bušotina (četiri proizvodne i jedna vodoutisna), </w:t>
      </w:r>
      <w:r w:rsidR="00B57D01" w:rsidRPr="00C24FB8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C24FB8">
        <w:rPr>
          <w:rFonts w:asciiTheme="minorHAnsi" w:hAnsiTheme="minorHAnsi" w:cstheme="minorHAnsi"/>
          <w:sz w:val="22"/>
          <w:szCs w:val="22"/>
          <w:lang w:val="hr-HR"/>
        </w:rPr>
        <w:t>bušenje dvije bušotine je u tijeku</w:t>
      </w:r>
      <w:r w:rsidR="00B57D01" w:rsidRPr="00C24FB8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C24FB8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bookmarkEnd w:id="4"/>
    </w:p>
    <w:p w14:paraId="60C08C96" w14:textId="6C5CE602" w:rsidR="006D1601" w:rsidRPr="00C24FB8" w:rsidRDefault="006D1601" w:rsidP="0088242C">
      <w:pPr>
        <w:pStyle w:val="NoSpacing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  <w:lang w:val="hr-HR"/>
        </w:rPr>
      </w:pPr>
      <w:r w:rsidRPr="00C24FB8">
        <w:rPr>
          <w:rFonts w:asciiTheme="minorHAnsi" w:hAnsiTheme="minorHAnsi" w:cstheme="minorHAnsi"/>
          <w:sz w:val="22"/>
          <w:szCs w:val="22"/>
          <w:lang w:val="hr-HR"/>
        </w:rPr>
        <w:t>Ras Qattara: U veljači je dovršeno bušenje jedne razradne bušotine. U tijeku je postupak produljenja koncesije</w:t>
      </w:r>
      <w:r w:rsidR="00B57D01" w:rsidRPr="00C24FB8">
        <w:rPr>
          <w:rFonts w:asciiTheme="minorHAnsi" w:hAnsiTheme="minorHAnsi" w:cstheme="minorHAnsi"/>
          <w:sz w:val="22"/>
          <w:szCs w:val="22"/>
          <w:lang w:val="hr-HR"/>
        </w:rPr>
        <w:t>.</w:t>
      </w:r>
    </w:p>
    <w:bookmarkEnd w:id="3"/>
    <w:p w14:paraId="05D4F140" w14:textId="2A0BFF57" w:rsidR="00DC676C" w:rsidRPr="000F22E7" w:rsidRDefault="002D78B1" w:rsidP="003E0A2F">
      <w:pPr>
        <w:spacing w:line="360" w:lineRule="auto"/>
        <w:jc w:val="center"/>
        <w:rPr>
          <w:rFonts w:asciiTheme="minorHAnsi" w:hAnsiTheme="minorHAnsi" w:cstheme="minorHAnsi"/>
          <w:b/>
        </w:rPr>
        <w:sectPr w:rsidR="00DC676C" w:rsidRPr="000F22E7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FBF1378" wp14:editId="63974BA2">
            <wp:extent cx="2579427" cy="1952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26" cy="195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3A5A">
        <w:rPr>
          <w:rFonts w:asciiTheme="minorHAnsi" w:hAnsiTheme="minorHAnsi" w:cstheme="minorHAnsi"/>
          <w:b/>
          <w:noProof/>
        </w:rPr>
        <w:drawing>
          <wp:inline distT="0" distB="0" distL="0" distR="0" wp14:anchorId="300C019D" wp14:editId="1D378A25">
            <wp:extent cx="2558955" cy="193742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73" cy="194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DBC">
        <w:rPr>
          <w:rFonts w:asciiTheme="minorHAnsi" w:hAnsiTheme="minorHAnsi" w:cstheme="minorHAnsi"/>
          <w:b/>
          <w:noProof/>
        </w:rPr>
        <w:drawing>
          <wp:inline distT="0" distB="0" distL="0" distR="0" wp14:anchorId="4B9853F3" wp14:editId="23DEE5A7">
            <wp:extent cx="2646473" cy="2019869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49" cy="202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6C0FC" w14:textId="2CB97731" w:rsidR="00E361DB" w:rsidRPr="000F22E7" w:rsidRDefault="00E361DB" w:rsidP="00AC1D42">
      <w:pPr>
        <w:spacing w:line="360" w:lineRule="auto"/>
        <w:jc w:val="both"/>
        <w:rPr>
          <w:rFonts w:asciiTheme="minorHAnsi" w:hAnsiTheme="minorHAnsi" w:cstheme="minorHAnsi"/>
        </w:rPr>
      </w:pPr>
    </w:p>
    <w:p w14:paraId="5537C91D" w14:textId="4F72E78B" w:rsidR="00E361DB" w:rsidRPr="000F22E7" w:rsidRDefault="00E361DB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E361DB" w:rsidRPr="000F22E7" w:rsidSect="003E0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2CAA65" w14:textId="1238627F" w:rsidR="00286848" w:rsidRPr="007B5E9E" w:rsidRDefault="00130DEA" w:rsidP="001B7C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5E9E">
        <w:rPr>
          <w:rFonts w:asciiTheme="minorHAnsi" w:hAnsiTheme="minorHAnsi" w:cstheme="minorHAnsi"/>
          <w:b/>
          <w:sz w:val="22"/>
          <w:szCs w:val="22"/>
        </w:rPr>
        <w:t>Rafinerije i marketing (uključujući Usluge kupcima i maloprodaju)</w:t>
      </w:r>
    </w:p>
    <w:p w14:paraId="0648D075" w14:textId="451A6CD5" w:rsidR="00A82493" w:rsidRPr="00A82493" w:rsidRDefault="00AB5EC9" w:rsidP="00A82493">
      <w:pPr>
        <w:spacing w:before="12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A82493">
        <w:rPr>
          <w:rFonts w:asciiTheme="minorHAnsi" w:hAnsiTheme="minorHAnsi" w:cstheme="minorHAnsi"/>
          <w:sz w:val="22"/>
          <w:szCs w:val="22"/>
        </w:rPr>
        <w:t xml:space="preserve">epovoljne komercijalne marže </w:t>
      </w:r>
      <w:r>
        <w:rPr>
          <w:rFonts w:asciiTheme="minorHAnsi" w:hAnsiTheme="minorHAnsi" w:cstheme="minorHAnsi"/>
          <w:sz w:val="22"/>
          <w:szCs w:val="22"/>
        </w:rPr>
        <w:t>u</w:t>
      </w:r>
      <w:r w:rsidR="00E278C1" w:rsidRPr="00A82493">
        <w:rPr>
          <w:rFonts w:asciiTheme="minorHAnsi" w:hAnsiTheme="minorHAnsi" w:cstheme="minorHAnsi"/>
          <w:sz w:val="22"/>
          <w:szCs w:val="22"/>
        </w:rPr>
        <w:t xml:space="preserve"> okruženju </w:t>
      </w:r>
      <w:r w:rsidR="00B57D01">
        <w:rPr>
          <w:rFonts w:asciiTheme="minorHAnsi" w:hAnsiTheme="minorHAnsi" w:cstheme="minorHAnsi"/>
          <w:sz w:val="22"/>
          <w:szCs w:val="22"/>
        </w:rPr>
        <w:t>pada</w:t>
      </w:r>
      <w:r w:rsidR="00E278C1" w:rsidRPr="00A82493">
        <w:rPr>
          <w:rFonts w:asciiTheme="minorHAnsi" w:hAnsiTheme="minorHAnsi" w:cstheme="minorHAnsi"/>
          <w:sz w:val="22"/>
          <w:szCs w:val="22"/>
        </w:rPr>
        <w:t xml:space="preserve"> cijena proizvoda</w:t>
      </w:r>
      <w:r w:rsidR="00E278C1">
        <w:rPr>
          <w:rFonts w:asciiTheme="minorHAnsi" w:hAnsiTheme="minorHAnsi" w:cstheme="minorHAnsi"/>
          <w:sz w:val="22"/>
          <w:szCs w:val="22"/>
        </w:rPr>
        <w:t xml:space="preserve"> </w:t>
      </w:r>
      <w:r w:rsidR="00A82493" w:rsidRPr="00A82493">
        <w:rPr>
          <w:rFonts w:asciiTheme="minorHAnsi" w:hAnsiTheme="minorHAnsi" w:cstheme="minorHAnsi"/>
          <w:sz w:val="22"/>
          <w:szCs w:val="22"/>
        </w:rPr>
        <w:t xml:space="preserve">predstavljale su snažan kontrast u </w:t>
      </w:r>
      <w:r>
        <w:rPr>
          <w:rFonts w:asciiTheme="minorHAnsi" w:hAnsiTheme="minorHAnsi" w:cstheme="minorHAnsi"/>
          <w:sz w:val="22"/>
          <w:szCs w:val="22"/>
        </w:rPr>
        <w:t>odnosu na</w:t>
      </w:r>
      <w:r w:rsidR="00A82493" w:rsidRPr="00A82493">
        <w:rPr>
          <w:rFonts w:asciiTheme="minorHAnsi" w:hAnsiTheme="minorHAnsi" w:cstheme="minorHAnsi"/>
          <w:sz w:val="22"/>
          <w:szCs w:val="22"/>
        </w:rPr>
        <w:t xml:space="preserve"> </w:t>
      </w:r>
      <w:r w:rsidR="00B57D01">
        <w:rPr>
          <w:rFonts w:asciiTheme="minorHAnsi" w:hAnsiTheme="minorHAnsi" w:cstheme="minorHAnsi"/>
          <w:sz w:val="22"/>
          <w:szCs w:val="22"/>
        </w:rPr>
        <w:t xml:space="preserve">vrtoglavi rast </w:t>
      </w:r>
      <w:r w:rsidR="00A82493" w:rsidRPr="00A82493">
        <w:rPr>
          <w:rFonts w:asciiTheme="minorHAnsi" w:hAnsiTheme="minorHAnsi" w:cstheme="minorHAnsi"/>
          <w:sz w:val="22"/>
          <w:szCs w:val="22"/>
        </w:rPr>
        <w:t>cijena</w:t>
      </w:r>
      <w:r>
        <w:rPr>
          <w:rFonts w:asciiTheme="minorHAnsi" w:hAnsiTheme="minorHAnsi" w:cstheme="minorHAnsi"/>
          <w:sz w:val="22"/>
          <w:szCs w:val="22"/>
        </w:rPr>
        <w:t xml:space="preserve"> koji je bio potaknut</w:t>
      </w:r>
      <w:r w:rsidR="00B57D01" w:rsidRPr="00A82493">
        <w:rPr>
          <w:rFonts w:asciiTheme="minorHAnsi" w:hAnsiTheme="minorHAnsi" w:cstheme="minorHAnsi"/>
          <w:sz w:val="22"/>
          <w:szCs w:val="22"/>
        </w:rPr>
        <w:t xml:space="preserve"> sukob</w:t>
      </w:r>
      <w:r>
        <w:rPr>
          <w:rFonts w:asciiTheme="minorHAnsi" w:hAnsiTheme="minorHAnsi" w:cstheme="minorHAnsi"/>
          <w:sz w:val="22"/>
          <w:szCs w:val="22"/>
        </w:rPr>
        <w:t>om</w:t>
      </w:r>
      <w:r w:rsidR="00B57D01" w:rsidRPr="00A82493">
        <w:rPr>
          <w:rFonts w:asciiTheme="minorHAnsi" w:hAnsiTheme="minorHAnsi" w:cstheme="minorHAnsi"/>
          <w:sz w:val="22"/>
          <w:szCs w:val="22"/>
        </w:rPr>
        <w:t xml:space="preserve"> između Rusije i Ukrajine </w:t>
      </w:r>
      <w:r w:rsidR="00A82493" w:rsidRPr="00A82493">
        <w:rPr>
          <w:rFonts w:asciiTheme="minorHAnsi" w:hAnsiTheme="minorHAnsi" w:cstheme="minorHAnsi"/>
          <w:sz w:val="22"/>
          <w:szCs w:val="22"/>
        </w:rPr>
        <w:t>u prvom tromjesečju 2022</w:t>
      </w:r>
      <w:r w:rsidR="00534665">
        <w:rPr>
          <w:rFonts w:asciiTheme="minorHAnsi" w:hAnsiTheme="minorHAnsi" w:cstheme="minorHAnsi"/>
          <w:sz w:val="22"/>
          <w:szCs w:val="22"/>
        </w:rPr>
        <w:t xml:space="preserve">. </w:t>
      </w:r>
      <w:r w:rsidR="00A82493" w:rsidRPr="00A82493">
        <w:rPr>
          <w:rFonts w:asciiTheme="minorHAnsi" w:hAnsiTheme="minorHAnsi" w:cstheme="minorHAnsi"/>
          <w:sz w:val="22"/>
          <w:szCs w:val="22"/>
        </w:rPr>
        <w:t xml:space="preserve">Dovršetak ulaganja u </w:t>
      </w:r>
      <w:r w:rsidR="0019763F">
        <w:rPr>
          <w:rFonts w:asciiTheme="minorHAnsi" w:hAnsiTheme="minorHAnsi" w:cstheme="minorHAnsi"/>
          <w:sz w:val="22"/>
          <w:szCs w:val="22"/>
        </w:rPr>
        <w:t>radov</w:t>
      </w:r>
      <w:r>
        <w:rPr>
          <w:rFonts w:asciiTheme="minorHAnsi" w:hAnsiTheme="minorHAnsi" w:cstheme="minorHAnsi"/>
          <w:sz w:val="22"/>
          <w:szCs w:val="22"/>
        </w:rPr>
        <w:t>e</w:t>
      </w:r>
      <w:r w:rsidR="0019763F">
        <w:rPr>
          <w:rFonts w:asciiTheme="minorHAnsi" w:hAnsiTheme="minorHAnsi" w:cstheme="minorHAnsi"/>
          <w:sz w:val="22"/>
          <w:szCs w:val="22"/>
        </w:rPr>
        <w:t xml:space="preserve"> na postojećim postrojenjima u okviru</w:t>
      </w:r>
      <w:r w:rsidR="00A82493" w:rsidRPr="00A82493">
        <w:rPr>
          <w:rFonts w:asciiTheme="minorHAnsi" w:hAnsiTheme="minorHAnsi" w:cstheme="minorHAnsi"/>
          <w:sz w:val="22"/>
          <w:szCs w:val="22"/>
        </w:rPr>
        <w:t xml:space="preserve"> Projekta nadogradnje Rafinerije Rijeka tijekom prvog tromjesečja 2023. zahtijevao je privremeno zaustavljanje </w:t>
      </w:r>
      <w:r w:rsidR="00A82493" w:rsidRPr="00A82493">
        <w:rPr>
          <w:rFonts w:asciiTheme="minorHAnsi" w:hAnsiTheme="minorHAnsi" w:cstheme="minorHAnsi"/>
          <w:sz w:val="22"/>
          <w:szCs w:val="22"/>
        </w:rPr>
        <w:lastRenderedPageBreak/>
        <w:t>rafinerijskih aktivnosti, podrazumijevajući opskrbu tržišta iz uvoza</w:t>
      </w:r>
      <w:r w:rsidR="0019763F">
        <w:rPr>
          <w:rFonts w:asciiTheme="minorHAnsi" w:hAnsiTheme="minorHAnsi" w:cstheme="minorHAnsi"/>
          <w:sz w:val="22"/>
          <w:szCs w:val="22"/>
        </w:rPr>
        <w:t xml:space="preserve">. </w:t>
      </w:r>
      <w:r w:rsidR="00A82493" w:rsidRPr="00A82493">
        <w:rPr>
          <w:rFonts w:asciiTheme="minorHAnsi" w:hAnsiTheme="minorHAnsi" w:cstheme="minorHAnsi"/>
          <w:sz w:val="22"/>
          <w:szCs w:val="22"/>
        </w:rPr>
        <w:t>Komercijalne aktivnosti bile su usmjerene na sigurnu i pravovremenu opskrbu proizvodima, uz veću prodaju na ključnim tržištima</w:t>
      </w:r>
      <w:r w:rsidR="0019763F">
        <w:rPr>
          <w:rFonts w:asciiTheme="minorHAnsi" w:hAnsiTheme="minorHAnsi" w:cstheme="minorHAnsi"/>
          <w:sz w:val="22"/>
          <w:szCs w:val="22"/>
        </w:rPr>
        <w:t>.</w:t>
      </w:r>
    </w:p>
    <w:p w14:paraId="33B5180A" w14:textId="0519E73D" w:rsidR="00FD76A7" w:rsidRDefault="00A82493" w:rsidP="00A82493">
      <w:pPr>
        <w:spacing w:before="12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93">
        <w:rPr>
          <w:rFonts w:asciiTheme="minorHAnsi" w:hAnsiTheme="minorHAnsi" w:cstheme="minorHAnsi"/>
          <w:sz w:val="22"/>
          <w:szCs w:val="22"/>
        </w:rPr>
        <w:t xml:space="preserve">Ukupna prodaja Maloprodaje u prvom tromjesečju 2023. iznosila je 263 kt, 13 </w:t>
      </w:r>
      <w:r w:rsidR="0019763F">
        <w:rPr>
          <w:rFonts w:asciiTheme="minorHAnsi" w:hAnsiTheme="minorHAnsi" w:cstheme="minorHAnsi"/>
          <w:sz w:val="22"/>
          <w:szCs w:val="22"/>
        </w:rPr>
        <w:t>posto</w:t>
      </w:r>
      <w:r w:rsidRPr="00A82493">
        <w:rPr>
          <w:rFonts w:asciiTheme="minorHAnsi" w:hAnsiTheme="minorHAnsi" w:cstheme="minorHAnsi"/>
          <w:sz w:val="22"/>
          <w:szCs w:val="22"/>
        </w:rPr>
        <w:t xml:space="preserve"> više od</w:t>
      </w:r>
      <w:r w:rsidR="00AB5EC9">
        <w:rPr>
          <w:rFonts w:asciiTheme="minorHAnsi" w:hAnsiTheme="minorHAnsi" w:cstheme="minorHAnsi"/>
          <w:sz w:val="22"/>
          <w:szCs w:val="22"/>
        </w:rPr>
        <w:t xml:space="preserve"> ostvarenog u</w:t>
      </w:r>
      <w:r w:rsidRPr="00A82493">
        <w:rPr>
          <w:rFonts w:asciiTheme="minorHAnsi" w:hAnsiTheme="minorHAnsi" w:cstheme="minorHAnsi"/>
          <w:sz w:val="22"/>
          <w:szCs w:val="22"/>
        </w:rPr>
        <w:t xml:space="preserve"> isto</w:t>
      </w:r>
      <w:r w:rsidR="00AB5EC9">
        <w:rPr>
          <w:rFonts w:asciiTheme="minorHAnsi" w:hAnsiTheme="minorHAnsi" w:cstheme="minorHAnsi"/>
          <w:sz w:val="22"/>
          <w:szCs w:val="22"/>
        </w:rPr>
        <w:t>m</w:t>
      </w:r>
      <w:r w:rsidRPr="00A82493">
        <w:rPr>
          <w:rFonts w:asciiTheme="minorHAnsi" w:hAnsiTheme="minorHAnsi" w:cstheme="minorHAnsi"/>
          <w:sz w:val="22"/>
          <w:szCs w:val="22"/>
        </w:rPr>
        <w:t xml:space="preserve"> razdoblj</w:t>
      </w:r>
      <w:r w:rsidR="00AB5EC9">
        <w:rPr>
          <w:rFonts w:asciiTheme="minorHAnsi" w:hAnsiTheme="minorHAnsi" w:cstheme="minorHAnsi"/>
          <w:sz w:val="22"/>
          <w:szCs w:val="22"/>
        </w:rPr>
        <w:t>u u</w:t>
      </w:r>
      <w:r w:rsidRPr="00A82493">
        <w:rPr>
          <w:rFonts w:asciiTheme="minorHAnsi" w:hAnsiTheme="minorHAnsi" w:cstheme="minorHAnsi"/>
          <w:sz w:val="22"/>
          <w:szCs w:val="22"/>
        </w:rPr>
        <w:t xml:space="preserve"> 2022., </w:t>
      </w:r>
      <w:r w:rsidR="0019763F">
        <w:rPr>
          <w:rFonts w:asciiTheme="minorHAnsi" w:hAnsiTheme="minorHAnsi" w:cstheme="minorHAnsi"/>
          <w:sz w:val="22"/>
          <w:szCs w:val="22"/>
        </w:rPr>
        <w:t xml:space="preserve">a </w:t>
      </w:r>
      <w:r w:rsidRPr="00A82493">
        <w:rPr>
          <w:rFonts w:asciiTheme="minorHAnsi" w:hAnsiTheme="minorHAnsi" w:cstheme="minorHAnsi"/>
          <w:sz w:val="22"/>
          <w:szCs w:val="22"/>
        </w:rPr>
        <w:t>uslijed porasta hrvatskog tržišta (+33,3 kt), ponajviše kao rezultat pozitivnih kretanja na tržištu i nižih cijena u odnosu na susjedne zemlje</w:t>
      </w:r>
      <w:r w:rsidR="0019763F">
        <w:rPr>
          <w:rFonts w:asciiTheme="minorHAnsi" w:hAnsiTheme="minorHAnsi" w:cstheme="minorHAnsi"/>
          <w:sz w:val="22"/>
          <w:szCs w:val="22"/>
        </w:rPr>
        <w:t xml:space="preserve">. </w:t>
      </w:r>
      <w:r w:rsidRPr="00A82493">
        <w:rPr>
          <w:rFonts w:asciiTheme="minorHAnsi" w:hAnsiTheme="minorHAnsi" w:cstheme="minorHAnsi"/>
          <w:sz w:val="22"/>
          <w:szCs w:val="22"/>
        </w:rPr>
        <w:t xml:space="preserve">Marža negoriva </w:t>
      </w:r>
      <w:r w:rsidR="00AB5EC9">
        <w:rPr>
          <w:rFonts w:asciiTheme="minorHAnsi" w:hAnsiTheme="minorHAnsi" w:cstheme="minorHAnsi"/>
          <w:sz w:val="22"/>
          <w:szCs w:val="22"/>
        </w:rPr>
        <w:t>porasla</w:t>
      </w:r>
      <w:r w:rsidRPr="00A82493">
        <w:rPr>
          <w:rFonts w:asciiTheme="minorHAnsi" w:hAnsiTheme="minorHAnsi" w:cstheme="minorHAnsi"/>
          <w:sz w:val="22"/>
          <w:szCs w:val="22"/>
        </w:rPr>
        <w:t xml:space="preserve"> je 25 </w:t>
      </w:r>
      <w:r w:rsidR="009C3815">
        <w:rPr>
          <w:rFonts w:asciiTheme="minorHAnsi" w:hAnsiTheme="minorHAnsi" w:cstheme="minorHAnsi"/>
          <w:sz w:val="22"/>
          <w:szCs w:val="22"/>
        </w:rPr>
        <w:t>posto</w:t>
      </w:r>
      <w:r w:rsidRPr="00A82493">
        <w:rPr>
          <w:rFonts w:asciiTheme="minorHAnsi" w:hAnsiTheme="minorHAnsi" w:cstheme="minorHAnsi"/>
          <w:sz w:val="22"/>
          <w:szCs w:val="22"/>
        </w:rPr>
        <w:t xml:space="preserve"> i odražava kontinuirano širenje ponude i usluga, porast broja otvorenih Fresh Corner lokacija i unapređenje prodajnih aktivnosti, zajedno s Ininim programom vjernosti</w:t>
      </w:r>
      <w:r w:rsidR="00AB5EC9">
        <w:rPr>
          <w:rFonts w:asciiTheme="minorHAnsi" w:hAnsiTheme="minorHAnsi" w:cstheme="minorHAnsi"/>
          <w:sz w:val="22"/>
          <w:szCs w:val="22"/>
        </w:rPr>
        <w:t xml:space="preserve"> INA Loyalty</w:t>
      </w:r>
      <w:r w:rsidRPr="00A82493">
        <w:rPr>
          <w:rFonts w:asciiTheme="minorHAnsi" w:hAnsiTheme="minorHAnsi" w:cstheme="minorHAnsi"/>
          <w:sz w:val="22"/>
          <w:szCs w:val="22"/>
        </w:rPr>
        <w:t xml:space="preserve"> koji je premašio 480 tisuća registriranih članova</w:t>
      </w:r>
      <w:r w:rsidR="00B143E6">
        <w:rPr>
          <w:rFonts w:asciiTheme="minorHAnsi" w:hAnsiTheme="minorHAnsi" w:cstheme="minorHAnsi"/>
          <w:sz w:val="22"/>
          <w:szCs w:val="22"/>
        </w:rPr>
        <w:t>.</w:t>
      </w:r>
    </w:p>
    <w:p w14:paraId="3163A90B" w14:textId="684C6265" w:rsidR="001C5502" w:rsidRPr="00EF1228" w:rsidRDefault="001C5502" w:rsidP="001E6CF5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228">
        <w:rPr>
          <w:rFonts w:asciiTheme="minorHAnsi" w:hAnsiTheme="minorHAnsi" w:cstheme="minorHAnsi"/>
          <w:sz w:val="22"/>
          <w:szCs w:val="22"/>
        </w:rPr>
        <w:t>Kapitalna ulaganja Rafinerija i marketinga iznosila su 37 milijuna eura</w:t>
      </w:r>
      <w:r w:rsidR="005F521F" w:rsidRPr="00EF1228">
        <w:rPr>
          <w:rFonts w:asciiTheme="minorHAnsi" w:hAnsiTheme="minorHAnsi" w:cstheme="minorHAnsi"/>
          <w:sz w:val="22"/>
          <w:szCs w:val="22"/>
        </w:rPr>
        <w:t xml:space="preserve"> s </w:t>
      </w:r>
      <w:r w:rsidRPr="00EF1228">
        <w:rPr>
          <w:rFonts w:asciiTheme="minorHAnsi" w:hAnsiTheme="minorHAnsi" w:cstheme="minorHAnsi"/>
          <w:sz w:val="22"/>
          <w:szCs w:val="22"/>
        </w:rPr>
        <w:t>Projekt</w:t>
      </w:r>
      <w:r w:rsidR="005F521F" w:rsidRPr="00EF1228">
        <w:rPr>
          <w:rFonts w:asciiTheme="minorHAnsi" w:hAnsiTheme="minorHAnsi" w:cstheme="minorHAnsi"/>
          <w:sz w:val="22"/>
          <w:szCs w:val="22"/>
        </w:rPr>
        <w:t>om</w:t>
      </w:r>
      <w:r w:rsidRPr="00EF1228">
        <w:rPr>
          <w:rFonts w:asciiTheme="minorHAnsi" w:hAnsiTheme="minorHAnsi" w:cstheme="minorHAnsi"/>
          <w:sz w:val="22"/>
          <w:szCs w:val="22"/>
        </w:rPr>
        <w:t xml:space="preserve"> nadogradnje Rafinerije nafte Rijeka </w:t>
      </w:r>
      <w:r w:rsidR="005F521F" w:rsidRPr="00EF1228">
        <w:rPr>
          <w:rFonts w:asciiTheme="minorHAnsi" w:hAnsiTheme="minorHAnsi" w:cstheme="minorHAnsi"/>
          <w:sz w:val="22"/>
          <w:szCs w:val="22"/>
        </w:rPr>
        <w:t xml:space="preserve">koji je </w:t>
      </w:r>
      <w:r w:rsidRPr="00EF1228">
        <w:rPr>
          <w:rFonts w:asciiTheme="minorHAnsi" w:hAnsiTheme="minorHAnsi" w:cstheme="minorHAnsi"/>
          <w:sz w:val="22"/>
          <w:szCs w:val="22"/>
        </w:rPr>
        <w:t xml:space="preserve">dosegao 74 </w:t>
      </w:r>
      <w:r w:rsidR="005F521F" w:rsidRPr="00EF1228">
        <w:rPr>
          <w:rFonts w:asciiTheme="minorHAnsi" w:hAnsiTheme="minorHAnsi" w:cstheme="minorHAnsi"/>
          <w:sz w:val="22"/>
          <w:szCs w:val="22"/>
        </w:rPr>
        <w:t xml:space="preserve">posto </w:t>
      </w:r>
      <w:r w:rsidR="002A5F97" w:rsidRPr="00EF1228">
        <w:rPr>
          <w:rFonts w:asciiTheme="minorHAnsi" w:hAnsiTheme="minorHAnsi" w:cstheme="minorHAnsi"/>
          <w:sz w:val="22"/>
          <w:szCs w:val="22"/>
        </w:rPr>
        <w:t xml:space="preserve">ukupne </w:t>
      </w:r>
      <w:r w:rsidR="005F521F" w:rsidRPr="00EF1228">
        <w:rPr>
          <w:rFonts w:asciiTheme="minorHAnsi" w:hAnsiTheme="minorHAnsi" w:cstheme="minorHAnsi"/>
          <w:sz w:val="22"/>
          <w:szCs w:val="22"/>
        </w:rPr>
        <w:t>dovršenosti</w:t>
      </w:r>
      <w:r w:rsidR="002A5F97" w:rsidRPr="00EF1228">
        <w:rPr>
          <w:rFonts w:asciiTheme="minorHAnsi" w:hAnsiTheme="minorHAnsi" w:cstheme="minorHAnsi"/>
          <w:sz w:val="22"/>
          <w:szCs w:val="22"/>
        </w:rPr>
        <w:t>,</w:t>
      </w:r>
      <w:r w:rsidRPr="00EF1228">
        <w:rPr>
          <w:rFonts w:asciiTheme="minorHAnsi" w:hAnsiTheme="minorHAnsi" w:cstheme="minorHAnsi"/>
          <w:sz w:val="22"/>
          <w:szCs w:val="22"/>
        </w:rPr>
        <w:t xml:space="preserve"> uz inženjering i nabavu iznad 99 </w:t>
      </w:r>
      <w:r w:rsidR="002A5F97" w:rsidRPr="00EF1228">
        <w:rPr>
          <w:rFonts w:asciiTheme="minorHAnsi" w:hAnsiTheme="minorHAnsi" w:cstheme="minorHAnsi"/>
          <w:sz w:val="22"/>
          <w:szCs w:val="22"/>
        </w:rPr>
        <w:t>posto</w:t>
      </w:r>
      <w:r w:rsidR="00AB5EC9">
        <w:rPr>
          <w:rFonts w:asciiTheme="minorHAnsi" w:hAnsiTheme="minorHAnsi" w:cstheme="minorHAnsi"/>
          <w:sz w:val="22"/>
          <w:szCs w:val="22"/>
        </w:rPr>
        <w:t xml:space="preserve"> dovršenosti</w:t>
      </w:r>
      <w:r w:rsidRPr="00EF1228">
        <w:rPr>
          <w:rFonts w:asciiTheme="minorHAnsi" w:hAnsiTheme="minorHAnsi" w:cstheme="minorHAnsi"/>
          <w:sz w:val="22"/>
          <w:szCs w:val="22"/>
        </w:rPr>
        <w:t xml:space="preserve">. Radovi </w:t>
      </w:r>
      <w:r w:rsidR="008A24AE" w:rsidRPr="00EF1228">
        <w:rPr>
          <w:rFonts w:asciiTheme="minorHAnsi" w:hAnsiTheme="minorHAnsi" w:cstheme="minorHAnsi"/>
          <w:sz w:val="22"/>
          <w:szCs w:val="22"/>
        </w:rPr>
        <w:t>na izgradnji</w:t>
      </w:r>
      <w:r w:rsidRPr="00EF1228">
        <w:rPr>
          <w:rFonts w:asciiTheme="minorHAnsi" w:hAnsiTheme="minorHAnsi" w:cstheme="minorHAnsi"/>
          <w:sz w:val="22"/>
          <w:szCs w:val="22"/>
        </w:rPr>
        <w:t xml:space="preserve"> dosegli </w:t>
      </w:r>
      <w:r w:rsidR="008A24AE" w:rsidRPr="00EF1228">
        <w:rPr>
          <w:rFonts w:asciiTheme="minorHAnsi" w:hAnsiTheme="minorHAnsi" w:cstheme="minorHAnsi"/>
          <w:sz w:val="22"/>
          <w:szCs w:val="22"/>
        </w:rPr>
        <w:t xml:space="preserve">su </w:t>
      </w:r>
      <w:r w:rsidRPr="00EF1228">
        <w:rPr>
          <w:rFonts w:asciiTheme="minorHAnsi" w:hAnsiTheme="minorHAnsi" w:cstheme="minorHAnsi"/>
          <w:sz w:val="22"/>
          <w:szCs w:val="22"/>
        </w:rPr>
        <w:t xml:space="preserve">gotovo 60 </w:t>
      </w:r>
      <w:r w:rsidR="008A24AE" w:rsidRPr="00EF1228">
        <w:rPr>
          <w:rFonts w:asciiTheme="minorHAnsi" w:hAnsiTheme="minorHAnsi" w:cstheme="minorHAnsi"/>
          <w:sz w:val="22"/>
          <w:szCs w:val="22"/>
        </w:rPr>
        <w:t>posto</w:t>
      </w:r>
      <w:r w:rsidRPr="00EF1228">
        <w:rPr>
          <w:rFonts w:asciiTheme="minorHAnsi" w:hAnsiTheme="minorHAnsi" w:cstheme="minorHAnsi"/>
          <w:sz w:val="22"/>
          <w:szCs w:val="22"/>
        </w:rPr>
        <w:t xml:space="preserve"> s fokusom na radovima tijekom obustave Rafinerije nafte Rijeka. </w:t>
      </w:r>
      <w:r w:rsidR="0048490E" w:rsidRPr="00EF1228">
        <w:rPr>
          <w:rFonts w:asciiTheme="minorHAnsi" w:hAnsiTheme="minorHAnsi" w:cstheme="minorHAnsi"/>
          <w:sz w:val="22"/>
          <w:szCs w:val="22"/>
        </w:rPr>
        <w:t xml:space="preserve">Prvi dio radova na </w:t>
      </w:r>
      <w:r w:rsidR="00211BDE" w:rsidRPr="00EF1228">
        <w:rPr>
          <w:rFonts w:asciiTheme="minorHAnsi" w:hAnsiTheme="minorHAnsi" w:cstheme="minorHAnsi"/>
          <w:sz w:val="22"/>
          <w:szCs w:val="22"/>
        </w:rPr>
        <w:t>Projektu p</w:t>
      </w:r>
      <w:r w:rsidRPr="00EF1228">
        <w:rPr>
          <w:rFonts w:asciiTheme="minorHAnsi" w:hAnsiTheme="minorHAnsi" w:cstheme="minorHAnsi"/>
          <w:sz w:val="22"/>
          <w:szCs w:val="22"/>
        </w:rPr>
        <w:t>oboljšanj</w:t>
      </w:r>
      <w:r w:rsidR="00211BDE" w:rsidRPr="00EF1228">
        <w:rPr>
          <w:rFonts w:asciiTheme="minorHAnsi" w:hAnsiTheme="minorHAnsi" w:cstheme="minorHAnsi"/>
          <w:sz w:val="22"/>
          <w:szCs w:val="22"/>
        </w:rPr>
        <w:t>a</w:t>
      </w:r>
      <w:r w:rsidRPr="00EF1228">
        <w:rPr>
          <w:rFonts w:asciiTheme="minorHAnsi" w:hAnsiTheme="minorHAnsi" w:cstheme="minorHAnsi"/>
          <w:sz w:val="22"/>
          <w:szCs w:val="22"/>
        </w:rPr>
        <w:t xml:space="preserve"> energetske učinkovitosti postrojenja za atmosfersku destilaciju odrađen je prema planu tijekom obustave Rafinerije nafte Rijeka</w:t>
      </w:r>
      <w:r w:rsidR="001E6CF5" w:rsidRPr="00EF1228">
        <w:rPr>
          <w:rFonts w:asciiTheme="minorHAnsi" w:hAnsiTheme="minorHAnsi" w:cstheme="minorHAnsi"/>
          <w:sz w:val="22"/>
          <w:szCs w:val="22"/>
        </w:rPr>
        <w:t>. Vezano uz z</w:t>
      </w:r>
      <w:r w:rsidRPr="00EF1228">
        <w:rPr>
          <w:rFonts w:asciiTheme="minorHAnsi" w:hAnsiTheme="minorHAnsi" w:cstheme="minorHAnsi"/>
          <w:sz w:val="22"/>
          <w:szCs w:val="22"/>
        </w:rPr>
        <w:t>amjen</w:t>
      </w:r>
      <w:r w:rsidR="001E6CF5" w:rsidRPr="00EF1228">
        <w:rPr>
          <w:rFonts w:asciiTheme="minorHAnsi" w:hAnsiTheme="minorHAnsi" w:cstheme="minorHAnsi"/>
          <w:sz w:val="22"/>
          <w:szCs w:val="22"/>
        </w:rPr>
        <w:t>u</w:t>
      </w:r>
      <w:r w:rsidRPr="00EF1228">
        <w:rPr>
          <w:rFonts w:asciiTheme="minorHAnsi" w:hAnsiTheme="minorHAnsi" w:cstheme="minorHAnsi"/>
          <w:sz w:val="22"/>
          <w:szCs w:val="22"/>
        </w:rPr>
        <w:t xml:space="preserve"> kondenzacijskih turbina s električnim pogonima</w:t>
      </w:r>
      <w:r w:rsidR="001E6CF5" w:rsidRPr="00EF1228">
        <w:rPr>
          <w:rFonts w:asciiTheme="minorHAnsi" w:hAnsiTheme="minorHAnsi" w:cstheme="minorHAnsi"/>
          <w:sz w:val="22"/>
          <w:szCs w:val="22"/>
        </w:rPr>
        <w:t>, g</w:t>
      </w:r>
      <w:r w:rsidRPr="00EF1228">
        <w:rPr>
          <w:rFonts w:asciiTheme="minorHAnsi" w:hAnsiTheme="minorHAnsi" w:cstheme="minorHAnsi"/>
          <w:sz w:val="22"/>
          <w:szCs w:val="22"/>
        </w:rPr>
        <w:t>lavni projekt je dovršen</w:t>
      </w:r>
      <w:r w:rsidR="005904D4" w:rsidRPr="00EF1228">
        <w:rPr>
          <w:rFonts w:asciiTheme="minorHAnsi" w:hAnsiTheme="minorHAnsi" w:cstheme="minorHAnsi"/>
          <w:sz w:val="22"/>
          <w:szCs w:val="22"/>
        </w:rPr>
        <w:t xml:space="preserve">, a </w:t>
      </w:r>
      <w:r w:rsidRPr="00EF1228">
        <w:rPr>
          <w:rFonts w:asciiTheme="minorHAnsi" w:hAnsiTheme="minorHAnsi" w:cstheme="minorHAnsi"/>
          <w:sz w:val="22"/>
          <w:szCs w:val="22"/>
        </w:rPr>
        <w:t>iskopi na postrojenju</w:t>
      </w:r>
      <w:r w:rsidR="00EF1228" w:rsidRPr="00EF1228">
        <w:rPr>
          <w:rFonts w:asciiTheme="minorHAnsi" w:hAnsiTheme="minorHAnsi" w:cstheme="minorHAnsi"/>
          <w:sz w:val="22"/>
          <w:szCs w:val="22"/>
        </w:rPr>
        <w:t xml:space="preserve"> </w:t>
      </w:r>
      <w:r w:rsidR="000A23F8" w:rsidRPr="000A23F8">
        <w:rPr>
          <w:rFonts w:asciiTheme="minorHAnsi" w:hAnsiTheme="minorHAnsi" w:cstheme="minorHAnsi"/>
          <w:sz w:val="22"/>
          <w:szCs w:val="22"/>
        </w:rPr>
        <w:t>za katalitički kreking</w:t>
      </w:r>
      <w:r w:rsidR="000A23F8">
        <w:rPr>
          <w:rFonts w:asciiTheme="minorHAnsi" w:hAnsiTheme="minorHAnsi" w:cstheme="minorHAnsi"/>
          <w:sz w:val="22"/>
          <w:szCs w:val="22"/>
        </w:rPr>
        <w:t xml:space="preserve"> (FCC)</w:t>
      </w:r>
      <w:r w:rsidR="000A23F8" w:rsidRPr="000A23F8">
        <w:rPr>
          <w:rFonts w:asciiTheme="minorHAnsi" w:hAnsiTheme="minorHAnsi" w:cstheme="minorHAnsi"/>
          <w:sz w:val="22"/>
          <w:szCs w:val="22"/>
        </w:rPr>
        <w:t xml:space="preserve"> </w:t>
      </w:r>
      <w:r w:rsidR="00EF1228" w:rsidRPr="00EF1228">
        <w:rPr>
          <w:rFonts w:asciiTheme="minorHAnsi" w:hAnsiTheme="minorHAnsi" w:cstheme="minorHAnsi"/>
          <w:sz w:val="22"/>
          <w:szCs w:val="22"/>
        </w:rPr>
        <w:t>su u tijeku.</w:t>
      </w:r>
    </w:p>
    <w:p w14:paraId="5758CD02" w14:textId="77777777" w:rsidR="001C5502" w:rsidRPr="00AA03C7" w:rsidRDefault="001C5502" w:rsidP="001C5502">
      <w:pPr>
        <w:pStyle w:val="ListParagraph"/>
        <w:spacing w:line="252" w:lineRule="auto"/>
        <w:ind w:left="1440"/>
        <w:jc w:val="both"/>
        <w:rPr>
          <w:rFonts w:ascii="Arial" w:hAnsi="Arial" w:cs="Arial"/>
          <w:color w:val="FF0000"/>
          <w:sz w:val="17"/>
          <w:szCs w:val="17"/>
          <w:highlight w:val="yellow"/>
        </w:rPr>
      </w:pPr>
    </w:p>
    <w:p w14:paraId="04BDA08B" w14:textId="7A818156" w:rsidR="001C5502" w:rsidRPr="00794C57" w:rsidRDefault="001C5502" w:rsidP="001C550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94C57">
        <w:rPr>
          <w:rFonts w:asciiTheme="minorHAnsi" w:eastAsiaTheme="minorHAnsi" w:hAnsiTheme="minorHAnsi" w:cstheme="minorHAnsi"/>
          <w:sz w:val="22"/>
          <w:szCs w:val="22"/>
        </w:rPr>
        <w:t>Kapitalna ulaganja u</w:t>
      </w:r>
      <w:r w:rsidR="00247548" w:rsidRPr="00794C57">
        <w:rPr>
          <w:rFonts w:asciiTheme="minorHAnsi" w:eastAsiaTheme="minorHAnsi" w:hAnsiTheme="minorHAnsi" w:cstheme="minorHAnsi"/>
          <w:sz w:val="22"/>
          <w:szCs w:val="22"/>
        </w:rPr>
        <w:t xml:space="preserve"> djelatnosti</w:t>
      </w:r>
      <w:r w:rsidRPr="00794C57">
        <w:rPr>
          <w:rFonts w:asciiTheme="minorHAnsi" w:eastAsiaTheme="minorHAnsi" w:hAnsiTheme="minorHAnsi" w:cstheme="minorHAnsi"/>
          <w:sz w:val="22"/>
          <w:szCs w:val="22"/>
        </w:rPr>
        <w:t xml:space="preserve"> Uslug</w:t>
      </w:r>
      <w:r w:rsidR="00247548" w:rsidRPr="00794C57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794C57">
        <w:rPr>
          <w:rFonts w:asciiTheme="minorHAnsi" w:eastAsiaTheme="minorHAnsi" w:hAnsiTheme="minorHAnsi" w:cstheme="minorHAnsi"/>
          <w:sz w:val="22"/>
          <w:szCs w:val="22"/>
        </w:rPr>
        <w:t xml:space="preserve"> kupcima i maloprodaj</w:t>
      </w:r>
      <w:r w:rsidR="00247548" w:rsidRPr="00794C57">
        <w:rPr>
          <w:rFonts w:asciiTheme="minorHAnsi" w:eastAsiaTheme="minorHAnsi" w:hAnsiTheme="minorHAnsi" w:cstheme="minorHAnsi"/>
          <w:sz w:val="22"/>
          <w:szCs w:val="22"/>
        </w:rPr>
        <w:t>e</w:t>
      </w:r>
      <w:r w:rsidR="008840AD" w:rsidRPr="00794C57">
        <w:rPr>
          <w:rFonts w:asciiTheme="minorHAnsi" w:eastAsiaTheme="minorHAnsi" w:hAnsiTheme="minorHAnsi" w:cstheme="minorHAnsi"/>
          <w:sz w:val="22"/>
          <w:szCs w:val="22"/>
        </w:rPr>
        <w:t xml:space="preserve"> u prvom tromjesečju 2023.</w:t>
      </w:r>
      <w:r w:rsidR="00247548" w:rsidRPr="00794C5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94C57">
        <w:rPr>
          <w:rFonts w:asciiTheme="minorHAnsi" w:eastAsiaTheme="minorHAnsi" w:hAnsiTheme="minorHAnsi" w:cstheme="minorHAnsi"/>
          <w:sz w:val="22"/>
          <w:szCs w:val="22"/>
        </w:rPr>
        <w:t>iznosila su 1,6 milijuna eura</w:t>
      </w:r>
      <w:r w:rsidR="008840AD" w:rsidRPr="00794C57">
        <w:rPr>
          <w:rFonts w:asciiTheme="minorHAnsi" w:eastAsiaTheme="minorHAnsi" w:hAnsiTheme="minorHAnsi" w:cstheme="minorHAnsi"/>
          <w:sz w:val="22"/>
          <w:szCs w:val="22"/>
        </w:rPr>
        <w:t>. Naglasak je na</w:t>
      </w:r>
      <w:r w:rsidRPr="00794C57">
        <w:rPr>
          <w:rFonts w:asciiTheme="minorHAnsi" w:eastAsiaTheme="minorHAnsi" w:hAnsiTheme="minorHAnsi" w:cstheme="minorHAnsi"/>
          <w:sz w:val="22"/>
          <w:szCs w:val="22"/>
        </w:rPr>
        <w:t xml:space="preserve"> širenj</w:t>
      </w:r>
      <w:r w:rsidR="008840AD" w:rsidRPr="00794C57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794C57">
        <w:rPr>
          <w:rFonts w:asciiTheme="minorHAnsi" w:eastAsiaTheme="minorHAnsi" w:hAnsiTheme="minorHAnsi" w:cstheme="minorHAnsi"/>
          <w:sz w:val="22"/>
          <w:szCs w:val="22"/>
        </w:rPr>
        <w:t xml:space="preserve"> mreže, što je rezultiralo otvaranjem triju novih maloprodajnih mjesta, čime je dostignuta brojka od ukupno 507 Ininih maloprodajnih mjesta (od čega 390 u Hrvatskoj)</w:t>
      </w:r>
      <w:r w:rsidR="00794C57" w:rsidRPr="00794C57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298E154" w14:textId="77777777" w:rsidR="00393EAA" w:rsidRDefault="00393EAA" w:rsidP="00ED34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E57887" w14:textId="2C221553" w:rsidR="007B5E9E" w:rsidRPr="000F22E7" w:rsidRDefault="007B5E9E" w:rsidP="00ED34D1">
      <w:pPr>
        <w:jc w:val="both"/>
        <w:rPr>
          <w:rFonts w:asciiTheme="minorHAnsi" w:hAnsiTheme="minorHAnsi" w:cstheme="minorHAnsi"/>
          <w:sz w:val="20"/>
          <w:szCs w:val="20"/>
        </w:rPr>
        <w:sectPr w:rsidR="007B5E9E" w:rsidRPr="000F22E7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4DAB63" w14:textId="6256AFE1" w:rsidR="008C6D6F" w:rsidRPr="000F22E7" w:rsidRDefault="00006E81" w:rsidP="008D5236">
      <w:pPr>
        <w:spacing w:line="360" w:lineRule="auto"/>
        <w:jc w:val="both"/>
        <w:rPr>
          <w:rFonts w:asciiTheme="minorHAnsi" w:hAnsiTheme="minorHAnsi" w:cstheme="minorHAnsi"/>
        </w:rPr>
        <w:sectPr w:rsidR="008C6D6F" w:rsidRPr="000F22E7" w:rsidSect="008C6D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0C7D21B" wp14:editId="43FFB22D">
            <wp:extent cx="2297875" cy="1739757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67" cy="1749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323">
        <w:rPr>
          <w:rFonts w:asciiTheme="minorHAnsi" w:hAnsiTheme="minorHAnsi" w:cstheme="minorHAnsi"/>
          <w:noProof/>
        </w:rPr>
        <w:drawing>
          <wp:inline distT="0" distB="0" distL="0" distR="0" wp14:anchorId="6505C043" wp14:editId="38ADC780">
            <wp:extent cx="2505693" cy="1917175"/>
            <wp:effectExtent l="0" t="0" r="952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8" cy="192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5DD">
        <w:rPr>
          <w:rFonts w:asciiTheme="minorHAnsi" w:hAnsiTheme="minorHAnsi" w:cstheme="minorHAnsi"/>
          <w:noProof/>
        </w:rPr>
        <w:drawing>
          <wp:inline distT="0" distB="0" distL="0" distR="0" wp14:anchorId="742B4D8E" wp14:editId="75ADD9E6">
            <wp:extent cx="2321626" cy="1765866"/>
            <wp:effectExtent l="0" t="0" r="254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39" cy="17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4660">
        <w:rPr>
          <w:rFonts w:asciiTheme="minorHAnsi" w:hAnsiTheme="minorHAnsi" w:cstheme="minorHAnsi"/>
          <w:noProof/>
        </w:rPr>
        <w:drawing>
          <wp:inline distT="0" distB="0" distL="0" distR="0" wp14:anchorId="22279534" wp14:editId="46C7B0E0">
            <wp:extent cx="2155372" cy="164601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16" cy="16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6B395DDF" w14:textId="6F7E93FB" w:rsidR="0051395B" w:rsidRPr="000F22E7" w:rsidRDefault="0051395B" w:rsidP="00633A21">
      <w:pPr>
        <w:rPr>
          <w:rFonts w:asciiTheme="minorHAnsi" w:hAnsiTheme="minorHAnsi" w:cstheme="minorHAnsi"/>
        </w:rPr>
      </w:pPr>
    </w:p>
    <w:sectPr w:rsidR="0051395B" w:rsidRPr="000F22E7" w:rsidSect="00621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59A3" w14:textId="77777777" w:rsidR="001971A9" w:rsidRDefault="001971A9" w:rsidP="00A07306">
      <w:r>
        <w:separator/>
      </w:r>
    </w:p>
  </w:endnote>
  <w:endnote w:type="continuationSeparator" w:id="0">
    <w:p w14:paraId="3E7FA859" w14:textId="77777777" w:rsidR="001971A9" w:rsidRDefault="001971A9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22FE" w14:textId="77777777" w:rsidR="0018042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180429" w:rsidRPr="00713B78" w14:paraId="2510D754" w14:textId="77777777" w:rsidTr="009F556D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1D905892" w14:textId="77777777" w:rsidR="00180429" w:rsidRDefault="00180429" w:rsidP="0018042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45A29AE7" w14:textId="77777777" w:rsidR="00180429" w:rsidRPr="002B598A" w:rsidRDefault="00180429" w:rsidP="0018042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A1D5CCC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7DBF86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2A29411C" w14:textId="77777777" w:rsidR="00180429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0BB3A950" w14:textId="77777777" w:rsidR="00180429" w:rsidRPr="00B871AD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6732940" w14:textId="77777777" w:rsidR="00180429" w:rsidRPr="002B598A" w:rsidRDefault="00180429" w:rsidP="0018042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021ECC" w14:textId="77777777" w:rsidR="00180429" w:rsidRDefault="00180429" w:rsidP="0018042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B642178" w14:textId="77777777" w:rsidR="00180429" w:rsidRPr="00713B78" w:rsidRDefault="00180429" w:rsidP="0018042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B64DC9F" w14:textId="77777777" w:rsidR="00180429" w:rsidRPr="00713B78" w:rsidRDefault="00180429" w:rsidP="0018042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70AC7B" w14:textId="77777777" w:rsidR="00180429" w:rsidRPr="00713B78" w:rsidRDefault="00180429" w:rsidP="0018042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95DA1A" w14:textId="77777777" w:rsidR="00180429" w:rsidRPr="00713B78" w:rsidRDefault="00180429" w:rsidP="0018042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57DCF51B" w14:textId="77777777" w:rsidR="00180429" w:rsidRPr="00713B78" w:rsidRDefault="00180429" w:rsidP="0018042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52B3E898" w14:textId="77777777" w:rsidR="00180429" w:rsidRPr="00713B78" w:rsidRDefault="00180429" w:rsidP="0018042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AEEFC9D" w14:textId="77777777" w:rsidR="00180429" w:rsidRPr="00713B78" w:rsidRDefault="00180429" w:rsidP="0018042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D5DF45F" w14:textId="77777777" w:rsidR="00180429" w:rsidRPr="00713B78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3874921D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6B1645D0" w14:textId="77777777" w:rsidR="00180429" w:rsidRPr="00713B78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0813040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724F27A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F76E306" w14:textId="77777777" w:rsidR="00180429" w:rsidRPr="00713B78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7EF03990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60DD4817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4238116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011BDD99" w14:textId="77777777" w:rsidR="00180429" w:rsidRPr="00713B78" w:rsidRDefault="00180429" w:rsidP="0018042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180429" w:rsidRPr="002B598A" w14:paraId="6633DC67" w14:textId="77777777" w:rsidTr="009F556D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2217375" w14:textId="77777777" w:rsidR="00180429" w:rsidRPr="002B598A" w:rsidRDefault="00180429" w:rsidP="0018042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857087D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2DED6F5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08D599E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057E6969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D9E903C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27104100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359A6E13" w14:textId="77777777" w:rsidR="00180429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007D96E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6D133179" w14:textId="77777777" w:rsidR="00180429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45DDE14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01D72A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4C4D5F3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7E509E38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5D2CD77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32149A3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1F12D25A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301C7BE5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4FC9D8AE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0D8A78E9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144D3320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0AF1A1B" w14:textId="77777777" w:rsidR="00180429" w:rsidRPr="00713B78" w:rsidRDefault="00180429" w:rsidP="0018042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8896297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997FA2C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665301D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22F3C957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D7FCB5E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AA9E144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5233BAF4" w14:textId="77777777" w:rsidR="00180429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59806E6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544D5A61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6911740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735CE2F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80429" w:rsidRPr="002B598A" w14:paraId="41ED2D56" w14:textId="77777777" w:rsidTr="009F556D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E9B5B05" w14:textId="77777777" w:rsidR="00180429" w:rsidRPr="002B598A" w:rsidRDefault="00180429" w:rsidP="0018042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58FFB578" w14:textId="7124F6FF" w:rsidR="00180429" w:rsidRPr="002B598A" w:rsidRDefault="00180429" w:rsidP="0018042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Ratatics, </w:t>
          </w:r>
          <w:r w:rsidR="00A333E0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64E190BC" w14:textId="77777777" w:rsidR="00180429" w:rsidRPr="002B598A" w:rsidRDefault="00180429" w:rsidP="0018042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C7A7BD3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80429" w:rsidRPr="002B598A" w14:paraId="5CC3E0E0" w14:textId="77777777" w:rsidTr="009F556D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2F1145C" w14:textId="77777777" w:rsidR="00180429" w:rsidRDefault="00180429" w:rsidP="0018042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A6D847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B9BBC19" w14:textId="5D7531EC" w:rsidR="003E20D9" w:rsidRPr="00095236" w:rsidRDefault="00180429" w:rsidP="00180429">
    <w:pPr>
      <w:pStyle w:val="Footer"/>
      <w:tabs>
        <w:tab w:val="left" w:pos="250"/>
        <w:tab w:val="right" w:pos="9354"/>
      </w:tabs>
    </w:pPr>
    <w:r>
      <w:rPr>
        <w:rFonts w:cs="Arial"/>
        <w:sz w:val="11"/>
        <w:szCs w:val="11"/>
      </w:rPr>
      <w:tab/>
    </w:r>
    <w:r w:rsidR="003E20D9">
      <w:rPr>
        <w:rFonts w:cs="Arial"/>
        <w:sz w:val="11"/>
        <w:szCs w:val="11"/>
      </w:rPr>
      <w:tab/>
    </w:r>
    <w:r w:rsidR="003E20D9" w:rsidRPr="003F5049">
      <w:rPr>
        <w:rFonts w:cs="Arial"/>
        <w:sz w:val="11"/>
        <w:szCs w:val="11"/>
      </w:rPr>
      <w:t xml:space="preserve">str. - </w:t>
    </w:r>
    <w:r w:rsidR="003E20D9" w:rsidRPr="003F5049">
      <w:rPr>
        <w:rFonts w:cs="Arial"/>
        <w:i/>
        <w:sz w:val="11"/>
        <w:szCs w:val="11"/>
      </w:rPr>
      <w:t>page</w:t>
    </w:r>
    <w:r w:rsidR="003E20D9" w:rsidRPr="003F5049">
      <w:rPr>
        <w:rFonts w:cs="Arial"/>
        <w:sz w:val="11"/>
        <w:szCs w:val="11"/>
      </w:rPr>
      <w:t xml:space="preserve"> </w:t>
    </w:r>
    <w:r w:rsidR="003E20D9" w:rsidRPr="003F5049">
      <w:rPr>
        <w:rFonts w:cs="Arial"/>
        <w:sz w:val="11"/>
        <w:szCs w:val="11"/>
      </w:rPr>
      <w:fldChar w:fldCharType="begin"/>
    </w:r>
    <w:r w:rsidR="003E20D9" w:rsidRPr="003F5049">
      <w:rPr>
        <w:rFonts w:cs="Arial"/>
        <w:sz w:val="11"/>
        <w:szCs w:val="11"/>
      </w:rPr>
      <w:instrText xml:space="preserve"> PAGE   \* MERGEFORMAT </w:instrText>
    </w:r>
    <w:r w:rsidR="003E20D9" w:rsidRPr="003F5049">
      <w:rPr>
        <w:rFonts w:cs="Arial"/>
        <w:sz w:val="11"/>
        <w:szCs w:val="11"/>
      </w:rPr>
      <w:fldChar w:fldCharType="separate"/>
    </w:r>
    <w:r w:rsidR="003E20D9">
      <w:rPr>
        <w:rFonts w:cs="Arial"/>
        <w:sz w:val="11"/>
        <w:szCs w:val="11"/>
      </w:rPr>
      <w:t>1</w:t>
    </w:r>
    <w:r w:rsidR="003E20D9" w:rsidRPr="003F5049">
      <w:rPr>
        <w:rFonts w:cs="Arial"/>
        <w:sz w:val="11"/>
        <w:szCs w:val="11"/>
      </w:rPr>
      <w:fldChar w:fldCharType="end"/>
    </w:r>
    <w:r w:rsidR="003E20D9" w:rsidRPr="003F5049">
      <w:rPr>
        <w:rFonts w:cs="Arial"/>
        <w:sz w:val="11"/>
        <w:szCs w:val="11"/>
      </w:rPr>
      <w:t>/</w:t>
    </w:r>
    <w:r w:rsidR="003E20D9" w:rsidRPr="003F5049">
      <w:rPr>
        <w:rFonts w:cs="Arial"/>
        <w:sz w:val="11"/>
        <w:szCs w:val="11"/>
      </w:rPr>
      <w:fldChar w:fldCharType="begin"/>
    </w:r>
    <w:r w:rsidR="003E20D9" w:rsidRPr="003F5049">
      <w:rPr>
        <w:rFonts w:cs="Arial"/>
        <w:sz w:val="11"/>
        <w:szCs w:val="11"/>
      </w:rPr>
      <w:instrText xml:space="preserve"> NUMPAGES   \* MERGEFORMAT </w:instrText>
    </w:r>
    <w:r w:rsidR="003E20D9" w:rsidRPr="003F5049">
      <w:rPr>
        <w:rFonts w:cs="Arial"/>
        <w:sz w:val="11"/>
        <w:szCs w:val="11"/>
      </w:rPr>
      <w:fldChar w:fldCharType="separate"/>
    </w:r>
    <w:r w:rsidR="003E20D9">
      <w:rPr>
        <w:rFonts w:cs="Arial"/>
        <w:sz w:val="11"/>
        <w:szCs w:val="11"/>
      </w:rPr>
      <w:t>1</w:t>
    </w:r>
    <w:r w:rsidR="003E20D9" w:rsidRPr="003F5049">
      <w:rPr>
        <w:rFonts w:cs="Arial"/>
        <w:sz w:val="11"/>
        <w:szCs w:val="11"/>
      </w:rPr>
      <w:fldChar w:fldCharType="end"/>
    </w:r>
  </w:p>
  <w:p w14:paraId="108BD60D" w14:textId="77777777" w:rsidR="003E20D9" w:rsidRDefault="003E20D9" w:rsidP="003E20D9"/>
  <w:p w14:paraId="6C8E22B2" w14:textId="77777777" w:rsidR="00C0068C" w:rsidRPr="003E20D9" w:rsidRDefault="00C0068C" w:rsidP="003E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41B0" w14:textId="77777777" w:rsidR="00A07306" w:rsidRDefault="00A07306">
    <w:pPr>
      <w:pStyle w:val="Footer"/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BC4CF6" w:rsidRPr="00713B78" w14:paraId="7B00A1F8" w14:textId="77777777" w:rsidTr="009F556D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69578ED8" w14:textId="77777777" w:rsidR="00BC4CF6" w:rsidRDefault="00BC4CF6" w:rsidP="00BC4CF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F0FE948" w14:textId="77777777" w:rsidR="00BC4CF6" w:rsidRPr="002B598A" w:rsidRDefault="00BC4CF6" w:rsidP="00BC4CF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0754FD1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F83C48B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D17C423" w14:textId="77777777" w:rsidR="00BC4CF6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43CC6E89" w14:textId="77777777" w:rsidR="00BC4CF6" w:rsidRPr="00B871AD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4B94AB9" w14:textId="77777777" w:rsidR="00BC4CF6" w:rsidRPr="002B598A" w:rsidRDefault="00BC4CF6" w:rsidP="00BC4CF6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746397" w14:textId="77777777" w:rsidR="00BC4CF6" w:rsidRDefault="00BC4CF6" w:rsidP="00BC4CF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31D5D2A" w14:textId="77777777" w:rsidR="00BC4CF6" w:rsidRPr="00713B78" w:rsidRDefault="00BC4CF6" w:rsidP="00BC4CF6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8BEEC5" w14:textId="77777777" w:rsidR="00BC4CF6" w:rsidRPr="00713B78" w:rsidRDefault="00BC4CF6" w:rsidP="00BC4CF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B53E598" w14:textId="77777777" w:rsidR="00BC4CF6" w:rsidRPr="00713B78" w:rsidRDefault="00BC4CF6" w:rsidP="00BC4CF6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C9BAC85" w14:textId="77777777" w:rsidR="00BC4CF6" w:rsidRPr="00713B78" w:rsidRDefault="00BC4CF6" w:rsidP="00BC4CF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6B363BE9" w14:textId="77777777" w:rsidR="00BC4CF6" w:rsidRPr="00713B78" w:rsidRDefault="00BC4CF6" w:rsidP="00BC4CF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AA5526E" w14:textId="77777777" w:rsidR="00BC4CF6" w:rsidRPr="00713B78" w:rsidRDefault="00BC4CF6" w:rsidP="00BC4CF6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358184E" w14:textId="77777777" w:rsidR="00BC4CF6" w:rsidRPr="00713B78" w:rsidRDefault="00BC4CF6" w:rsidP="00BC4CF6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75A95A13" w14:textId="77777777" w:rsidR="00BC4CF6" w:rsidRPr="00713B78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7CF180C3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57E5AE67" w14:textId="77777777" w:rsidR="00BC4CF6" w:rsidRPr="00713B78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1607F1C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DF918E9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83D5DEA" w14:textId="77777777" w:rsidR="00BC4CF6" w:rsidRPr="00713B78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548A77C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5F4E12D7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135B74B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4C59563" w14:textId="77777777" w:rsidR="00BC4CF6" w:rsidRPr="00713B78" w:rsidRDefault="00BC4CF6" w:rsidP="00BC4CF6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BC4CF6" w:rsidRPr="002B598A" w14:paraId="04ED3EAD" w14:textId="77777777" w:rsidTr="009F556D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252B156" w14:textId="77777777" w:rsidR="00BC4CF6" w:rsidRPr="002B598A" w:rsidRDefault="00BC4CF6" w:rsidP="00BC4CF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96A0F07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4CF50C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05A452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21B8364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048C835A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D97B604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02E7245" w14:textId="77777777" w:rsidR="00BC4CF6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0E2B17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3BEC107" w14:textId="77777777" w:rsidR="00BC4CF6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7FFF633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194AF0A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00BC210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E20B8D5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685F7A39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1E0DB69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1A4E2AE8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3D0BF01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Viale Innocenzo XI n.71, 22100 COMO</w:t>
          </w:r>
        </w:p>
        <w:p w14:paraId="3A3C5019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36D9948B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Schottengasse 6-8, A-1010 Wien</w:t>
          </w:r>
        </w:p>
        <w:p w14:paraId="54245A95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11B3E7EA" w14:textId="77777777" w:rsidR="00BC4CF6" w:rsidRPr="00713B78" w:rsidRDefault="00BC4CF6" w:rsidP="00BC4CF6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DD4B10F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3995701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CAB90F0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CE41D47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64421AF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ECCF7D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184CAE9A" w14:textId="77777777" w:rsidR="00BC4CF6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50D3061D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A9E5AE7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8123DFD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EE0E63B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C4CF6" w:rsidRPr="002B598A" w14:paraId="2BD8D98F" w14:textId="77777777" w:rsidTr="009F556D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C8A3323" w14:textId="77777777" w:rsidR="00BC4CF6" w:rsidRPr="002B598A" w:rsidRDefault="00BC4CF6" w:rsidP="00BC4CF6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CD899B5" w14:textId="67D80B51" w:rsidR="00BC4CF6" w:rsidRPr="002B598A" w:rsidRDefault="00BC4CF6" w:rsidP="00BC4CF6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Ratatics, </w:t>
          </w:r>
          <w:r w:rsidR="00A333E0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1C8DA659" w14:textId="77777777" w:rsidR="00BC4CF6" w:rsidRPr="002B598A" w:rsidRDefault="00BC4CF6" w:rsidP="00BC4CF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13365E6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C4CF6" w:rsidRPr="002B598A" w14:paraId="6CCAAD2C" w14:textId="77777777" w:rsidTr="009F556D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91F14D9" w14:textId="77777777" w:rsidR="00BC4CF6" w:rsidRDefault="00BC4CF6" w:rsidP="00BC4CF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F9C43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2C4EDC5" w14:textId="77777777" w:rsidR="00A07306" w:rsidRPr="00095236" w:rsidRDefault="00A07306" w:rsidP="00A07306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r w:rsidRPr="003F5049">
      <w:rPr>
        <w:rFonts w:cs="Arial"/>
        <w:i/>
        <w:sz w:val="11"/>
        <w:szCs w:val="11"/>
      </w:rPr>
      <w:t>page</w:t>
    </w:r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D936" w14:textId="77777777" w:rsidR="001971A9" w:rsidRDefault="001971A9" w:rsidP="00A07306">
      <w:r>
        <w:separator/>
      </w:r>
    </w:p>
  </w:footnote>
  <w:footnote w:type="continuationSeparator" w:id="0">
    <w:p w14:paraId="4A110BF1" w14:textId="77777777" w:rsidR="001971A9" w:rsidRDefault="001971A9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0A0" w14:textId="44462D8B" w:rsidR="00C0068C" w:rsidRDefault="0013372E">
    <w:pPr>
      <w:pStyle w:val="Header"/>
    </w:pPr>
    <w:r>
      <w:rPr>
        <w:noProof/>
      </w:rPr>
      <w:drawing>
        <wp:inline distT="0" distB="0" distL="0" distR="0" wp14:anchorId="534E0B01" wp14:editId="74091993">
          <wp:extent cx="1212850" cy="450850"/>
          <wp:effectExtent l="0" t="0" r="6350" b="635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10B4" w14:textId="77777777" w:rsidR="00C0068C" w:rsidRDefault="00C0068C"/>
  <w:p w14:paraId="2086966B" w14:textId="77777777" w:rsidR="00C0068C" w:rsidRDefault="00C00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4B0" w14:textId="77777777" w:rsidR="00A07306" w:rsidRPr="00A07306" w:rsidRDefault="00A07306" w:rsidP="00A07306">
    <w:pPr>
      <w:tabs>
        <w:tab w:val="center" w:pos="4536"/>
        <w:tab w:val="right" w:pos="9072"/>
      </w:tabs>
      <w:rPr>
        <w:rFonts w:ascii="Calibri" w:eastAsia="Calibri" w:hAnsi="Calibri" w:cs="Arial"/>
      </w:rPr>
    </w:pPr>
    <w:r w:rsidRPr="00A07306">
      <w:rPr>
        <w:rFonts w:ascii="Calibri" w:eastAsia="Calibri" w:hAnsi="Calibri" w:cs="Arial"/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F01097" wp14:editId="12B93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E98D4" w14:textId="77777777" w:rsidR="00A07306" w:rsidRPr="00A07306" w:rsidRDefault="00A07306" w:rsidP="00A07306">
    <w:pPr>
      <w:rPr>
        <w:rFonts w:ascii="Calibri" w:eastAsia="Calibri" w:hAnsi="Calibri" w:cs="Arial"/>
      </w:rPr>
    </w:pPr>
  </w:p>
  <w:p w14:paraId="1E69BE48" w14:textId="77777777" w:rsidR="00A07306" w:rsidRDefault="00A0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29"/>
    <w:multiLevelType w:val="hybridMultilevel"/>
    <w:tmpl w:val="3C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1F8"/>
    <w:multiLevelType w:val="hybridMultilevel"/>
    <w:tmpl w:val="A33E1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172B"/>
    <w:multiLevelType w:val="hybridMultilevel"/>
    <w:tmpl w:val="38987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7F3FEA"/>
    <w:multiLevelType w:val="hybridMultilevel"/>
    <w:tmpl w:val="4AB45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7D85"/>
    <w:multiLevelType w:val="hybridMultilevel"/>
    <w:tmpl w:val="70606FC2"/>
    <w:lvl w:ilvl="0" w:tplc="CE9A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296"/>
    <w:multiLevelType w:val="hybridMultilevel"/>
    <w:tmpl w:val="39D86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9F0"/>
    <w:multiLevelType w:val="hybridMultilevel"/>
    <w:tmpl w:val="FE36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7768"/>
    <w:multiLevelType w:val="hybridMultilevel"/>
    <w:tmpl w:val="66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8863076"/>
    <w:multiLevelType w:val="hybridMultilevel"/>
    <w:tmpl w:val="7AE0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7A72"/>
    <w:multiLevelType w:val="hybridMultilevel"/>
    <w:tmpl w:val="898E8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7A59"/>
    <w:multiLevelType w:val="hybridMultilevel"/>
    <w:tmpl w:val="E1063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22FC"/>
    <w:multiLevelType w:val="hybridMultilevel"/>
    <w:tmpl w:val="685C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3025">
    <w:abstractNumId w:val="9"/>
  </w:num>
  <w:num w:numId="2" w16cid:durableId="1403287241">
    <w:abstractNumId w:val="4"/>
  </w:num>
  <w:num w:numId="3" w16cid:durableId="264315604">
    <w:abstractNumId w:val="3"/>
  </w:num>
  <w:num w:numId="4" w16cid:durableId="875003299">
    <w:abstractNumId w:val="5"/>
  </w:num>
  <w:num w:numId="5" w16cid:durableId="1564292082">
    <w:abstractNumId w:val="0"/>
  </w:num>
  <w:num w:numId="6" w16cid:durableId="1233151919">
    <w:abstractNumId w:val="10"/>
  </w:num>
  <w:num w:numId="7" w16cid:durableId="1146430015">
    <w:abstractNumId w:val="8"/>
  </w:num>
  <w:num w:numId="8" w16cid:durableId="1213616684">
    <w:abstractNumId w:val="7"/>
  </w:num>
  <w:num w:numId="9" w16cid:durableId="73288306">
    <w:abstractNumId w:val="12"/>
  </w:num>
  <w:num w:numId="10" w16cid:durableId="61023671">
    <w:abstractNumId w:val="1"/>
  </w:num>
  <w:num w:numId="11" w16cid:durableId="707072946">
    <w:abstractNumId w:val="6"/>
  </w:num>
  <w:num w:numId="12" w16cid:durableId="2045864109">
    <w:abstractNumId w:val="2"/>
  </w:num>
  <w:num w:numId="13" w16cid:durableId="479031996">
    <w:abstractNumId w:val="13"/>
  </w:num>
  <w:num w:numId="14" w16cid:durableId="3748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6"/>
    <w:rsid w:val="00002A40"/>
    <w:rsid w:val="000038FF"/>
    <w:rsid w:val="000063B9"/>
    <w:rsid w:val="00006E81"/>
    <w:rsid w:val="00013155"/>
    <w:rsid w:val="00015028"/>
    <w:rsid w:val="00020961"/>
    <w:rsid w:val="0002784A"/>
    <w:rsid w:val="00033B41"/>
    <w:rsid w:val="000377F6"/>
    <w:rsid w:val="00046E7F"/>
    <w:rsid w:val="00053C7A"/>
    <w:rsid w:val="00056079"/>
    <w:rsid w:val="00056C94"/>
    <w:rsid w:val="000650D0"/>
    <w:rsid w:val="00077B63"/>
    <w:rsid w:val="000A23F8"/>
    <w:rsid w:val="000A4619"/>
    <w:rsid w:val="000A4AF2"/>
    <w:rsid w:val="000B0FA6"/>
    <w:rsid w:val="000B1739"/>
    <w:rsid w:val="000B23EC"/>
    <w:rsid w:val="000B4616"/>
    <w:rsid w:val="000B4B2F"/>
    <w:rsid w:val="000B55F3"/>
    <w:rsid w:val="000C07C4"/>
    <w:rsid w:val="000C1E53"/>
    <w:rsid w:val="000C45DD"/>
    <w:rsid w:val="000D0E27"/>
    <w:rsid w:val="000D260B"/>
    <w:rsid w:val="000D3B90"/>
    <w:rsid w:val="000D4F03"/>
    <w:rsid w:val="000D6447"/>
    <w:rsid w:val="000F0BD0"/>
    <w:rsid w:val="000F22E7"/>
    <w:rsid w:val="000F7BEB"/>
    <w:rsid w:val="0010463D"/>
    <w:rsid w:val="0011001B"/>
    <w:rsid w:val="0011446D"/>
    <w:rsid w:val="00123656"/>
    <w:rsid w:val="001246B7"/>
    <w:rsid w:val="00130434"/>
    <w:rsid w:val="00130DEA"/>
    <w:rsid w:val="0013261A"/>
    <w:rsid w:val="001332BB"/>
    <w:rsid w:val="0013372E"/>
    <w:rsid w:val="0013483A"/>
    <w:rsid w:val="00136293"/>
    <w:rsid w:val="001362A0"/>
    <w:rsid w:val="00142E5B"/>
    <w:rsid w:val="00143592"/>
    <w:rsid w:val="001442AC"/>
    <w:rsid w:val="00146E49"/>
    <w:rsid w:val="00151BC7"/>
    <w:rsid w:val="00153675"/>
    <w:rsid w:val="00155099"/>
    <w:rsid w:val="00155781"/>
    <w:rsid w:val="00166F62"/>
    <w:rsid w:val="00177372"/>
    <w:rsid w:val="00180429"/>
    <w:rsid w:val="001852F8"/>
    <w:rsid w:val="00186BEB"/>
    <w:rsid w:val="001971A9"/>
    <w:rsid w:val="0019763F"/>
    <w:rsid w:val="001A170A"/>
    <w:rsid w:val="001A239C"/>
    <w:rsid w:val="001A2DAF"/>
    <w:rsid w:val="001A7AB3"/>
    <w:rsid w:val="001B3B73"/>
    <w:rsid w:val="001B7CDD"/>
    <w:rsid w:val="001C1648"/>
    <w:rsid w:val="001C5502"/>
    <w:rsid w:val="001D44E7"/>
    <w:rsid w:val="001D66A1"/>
    <w:rsid w:val="001E6CF5"/>
    <w:rsid w:val="001F7AF9"/>
    <w:rsid w:val="002013F2"/>
    <w:rsid w:val="002030E3"/>
    <w:rsid w:val="00210979"/>
    <w:rsid w:val="00211910"/>
    <w:rsid w:val="00211BDE"/>
    <w:rsid w:val="00213E81"/>
    <w:rsid w:val="00215588"/>
    <w:rsid w:val="00224197"/>
    <w:rsid w:val="002251EF"/>
    <w:rsid w:val="00233D9B"/>
    <w:rsid w:val="00242079"/>
    <w:rsid w:val="00247548"/>
    <w:rsid w:val="002504DB"/>
    <w:rsid w:val="002552FC"/>
    <w:rsid w:val="00255FAC"/>
    <w:rsid w:val="00257C78"/>
    <w:rsid w:val="00260049"/>
    <w:rsid w:val="00275190"/>
    <w:rsid w:val="0027681D"/>
    <w:rsid w:val="00281C18"/>
    <w:rsid w:val="00281CD2"/>
    <w:rsid w:val="00284F13"/>
    <w:rsid w:val="0028546A"/>
    <w:rsid w:val="0028614C"/>
    <w:rsid w:val="002863F0"/>
    <w:rsid w:val="00286848"/>
    <w:rsid w:val="002956FD"/>
    <w:rsid w:val="00297E52"/>
    <w:rsid w:val="002A501B"/>
    <w:rsid w:val="002A5F97"/>
    <w:rsid w:val="002B318E"/>
    <w:rsid w:val="002B51C0"/>
    <w:rsid w:val="002C0805"/>
    <w:rsid w:val="002C08C0"/>
    <w:rsid w:val="002D182C"/>
    <w:rsid w:val="002D6798"/>
    <w:rsid w:val="002D78B1"/>
    <w:rsid w:val="002E7872"/>
    <w:rsid w:val="002F5C25"/>
    <w:rsid w:val="00306F07"/>
    <w:rsid w:val="003139DA"/>
    <w:rsid w:val="00322007"/>
    <w:rsid w:val="00323641"/>
    <w:rsid w:val="00325E61"/>
    <w:rsid w:val="00326D06"/>
    <w:rsid w:val="0033024F"/>
    <w:rsid w:val="00337D1C"/>
    <w:rsid w:val="0034205C"/>
    <w:rsid w:val="00345FE9"/>
    <w:rsid w:val="003462DF"/>
    <w:rsid w:val="003541F5"/>
    <w:rsid w:val="003601E7"/>
    <w:rsid w:val="003624DD"/>
    <w:rsid w:val="00370457"/>
    <w:rsid w:val="003709D6"/>
    <w:rsid w:val="0037692E"/>
    <w:rsid w:val="00377692"/>
    <w:rsid w:val="00377C00"/>
    <w:rsid w:val="00381112"/>
    <w:rsid w:val="003816EE"/>
    <w:rsid w:val="0038285C"/>
    <w:rsid w:val="0038479A"/>
    <w:rsid w:val="003868E8"/>
    <w:rsid w:val="00386DE4"/>
    <w:rsid w:val="00393EAA"/>
    <w:rsid w:val="00396C71"/>
    <w:rsid w:val="003A421B"/>
    <w:rsid w:val="003A613E"/>
    <w:rsid w:val="003A6C33"/>
    <w:rsid w:val="003A78DB"/>
    <w:rsid w:val="003A7C73"/>
    <w:rsid w:val="003C0074"/>
    <w:rsid w:val="003C53F4"/>
    <w:rsid w:val="003D1715"/>
    <w:rsid w:val="003E06B6"/>
    <w:rsid w:val="003E0A2F"/>
    <w:rsid w:val="003E20D9"/>
    <w:rsid w:val="003E57F0"/>
    <w:rsid w:val="003F1190"/>
    <w:rsid w:val="003F4E80"/>
    <w:rsid w:val="00404954"/>
    <w:rsid w:val="0040504A"/>
    <w:rsid w:val="00406CA8"/>
    <w:rsid w:val="004151D9"/>
    <w:rsid w:val="00415444"/>
    <w:rsid w:val="00415533"/>
    <w:rsid w:val="0041696C"/>
    <w:rsid w:val="0042153C"/>
    <w:rsid w:val="00426D55"/>
    <w:rsid w:val="00427095"/>
    <w:rsid w:val="00430E83"/>
    <w:rsid w:val="00433D66"/>
    <w:rsid w:val="00436285"/>
    <w:rsid w:val="00436313"/>
    <w:rsid w:val="0044150E"/>
    <w:rsid w:val="00442645"/>
    <w:rsid w:val="00445DD8"/>
    <w:rsid w:val="00453AA6"/>
    <w:rsid w:val="004570D8"/>
    <w:rsid w:val="00460579"/>
    <w:rsid w:val="00461720"/>
    <w:rsid w:val="004621E0"/>
    <w:rsid w:val="004623F9"/>
    <w:rsid w:val="004628D3"/>
    <w:rsid w:val="00462E4D"/>
    <w:rsid w:val="004630D6"/>
    <w:rsid w:val="00467C83"/>
    <w:rsid w:val="00474D14"/>
    <w:rsid w:val="00483FFD"/>
    <w:rsid w:val="0048490E"/>
    <w:rsid w:val="00484B0F"/>
    <w:rsid w:val="0049064C"/>
    <w:rsid w:val="00491F45"/>
    <w:rsid w:val="004A180B"/>
    <w:rsid w:val="004A3A03"/>
    <w:rsid w:val="004B02CF"/>
    <w:rsid w:val="004B5284"/>
    <w:rsid w:val="004B6416"/>
    <w:rsid w:val="004C4C8E"/>
    <w:rsid w:val="004D08BA"/>
    <w:rsid w:val="004F012E"/>
    <w:rsid w:val="0050011D"/>
    <w:rsid w:val="00510CC9"/>
    <w:rsid w:val="005137CB"/>
    <w:rsid w:val="0051395B"/>
    <w:rsid w:val="0051433C"/>
    <w:rsid w:val="00515D1E"/>
    <w:rsid w:val="00522D26"/>
    <w:rsid w:val="00522D28"/>
    <w:rsid w:val="00526B69"/>
    <w:rsid w:val="00531824"/>
    <w:rsid w:val="00532A73"/>
    <w:rsid w:val="0053395D"/>
    <w:rsid w:val="00534665"/>
    <w:rsid w:val="005359BD"/>
    <w:rsid w:val="00541913"/>
    <w:rsid w:val="00546BB0"/>
    <w:rsid w:val="00552DEC"/>
    <w:rsid w:val="00560A00"/>
    <w:rsid w:val="00565775"/>
    <w:rsid w:val="00565C51"/>
    <w:rsid w:val="00565CF5"/>
    <w:rsid w:val="005756D5"/>
    <w:rsid w:val="00576F4A"/>
    <w:rsid w:val="00580CD7"/>
    <w:rsid w:val="00583D23"/>
    <w:rsid w:val="00587046"/>
    <w:rsid w:val="005904D4"/>
    <w:rsid w:val="00596333"/>
    <w:rsid w:val="00597DDB"/>
    <w:rsid w:val="005A26EF"/>
    <w:rsid w:val="005B1EFD"/>
    <w:rsid w:val="005B1F93"/>
    <w:rsid w:val="005B3C95"/>
    <w:rsid w:val="005B4B12"/>
    <w:rsid w:val="005C01E8"/>
    <w:rsid w:val="005C02B3"/>
    <w:rsid w:val="005C054B"/>
    <w:rsid w:val="005D4E66"/>
    <w:rsid w:val="005E098D"/>
    <w:rsid w:val="005F521F"/>
    <w:rsid w:val="005F6034"/>
    <w:rsid w:val="005F7E9A"/>
    <w:rsid w:val="00600748"/>
    <w:rsid w:val="006007BD"/>
    <w:rsid w:val="00601C32"/>
    <w:rsid w:val="006131C1"/>
    <w:rsid w:val="006215E4"/>
    <w:rsid w:val="00621EAF"/>
    <w:rsid w:val="006276DA"/>
    <w:rsid w:val="006277CA"/>
    <w:rsid w:val="006305DF"/>
    <w:rsid w:val="00633A21"/>
    <w:rsid w:val="0063609D"/>
    <w:rsid w:val="00641BF4"/>
    <w:rsid w:val="006424D1"/>
    <w:rsid w:val="00643A4F"/>
    <w:rsid w:val="00653CEC"/>
    <w:rsid w:val="00656ECA"/>
    <w:rsid w:val="00657BEF"/>
    <w:rsid w:val="00660CCF"/>
    <w:rsid w:val="006657BC"/>
    <w:rsid w:val="00672D8E"/>
    <w:rsid w:val="006736AE"/>
    <w:rsid w:val="00673DC2"/>
    <w:rsid w:val="00673F89"/>
    <w:rsid w:val="00677952"/>
    <w:rsid w:val="006802C8"/>
    <w:rsid w:val="00680FC4"/>
    <w:rsid w:val="0068119F"/>
    <w:rsid w:val="00683097"/>
    <w:rsid w:val="0068470D"/>
    <w:rsid w:val="0068709E"/>
    <w:rsid w:val="00687F22"/>
    <w:rsid w:val="006900BF"/>
    <w:rsid w:val="00692C7D"/>
    <w:rsid w:val="00693673"/>
    <w:rsid w:val="00693C6F"/>
    <w:rsid w:val="006957B9"/>
    <w:rsid w:val="006A4331"/>
    <w:rsid w:val="006A5EF5"/>
    <w:rsid w:val="006A6577"/>
    <w:rsid w:val="006A6D32"/>
    <w:rsid w:val="006B1AA3"/>
    <w:rsid w:val="006B25B3"/>
    <w:rsid w:val="006B3DBB"/>
    <w:rsid w:val="006B457D"/>
    <w:rsid w:val="006B4BE5"/>
    <w:rsid w:val="006B6DC9"/>
    <w:rsid w:val="006D1601"/>
    <w:rsid w:val="006D62BF"/>
    <w:rsid w:val="006E7C4D"/>
    <w:rsid w:val="006F14E0"/>
    <w:rsid w:val="006F27EA"/>
    <w:rsid w:val="006F313B"/>
    <w:rsid w:val="006F3506"/>
    <w:rsid w:val="006F402E"/>
    <w:rsid w:val="006F6090"/>
    <w:rsid w:val="00707041"/>
    <w:rsid w:val="00710AD7"/>
    <w:rsid w:val="00714838"/>
    <w:rsid w:val="0071669B"/>
    <w:rsid w:val="00723A4B"/>
    <w:rsid w:val="007476E5"/>
    <w:rsid w:val="00756EF3"/>
    <w:rsid w:val="007579C7"/>
    <w:rsid w:val="00766E95"/>
    <w:rsid w:val="007711E3"/>
    <w:rsid w:val="00771313"/>
    <w:rsid w:val="00775160"/>
    <w:rsid w:val="00781374"/>
    <w:rsid w:val="007875EB"/>
    <w:rsid w:val="00787EB8"/>
    <w:rsid w:val="00791A27"/>
    <w:rsid w:val="00794C57"/>
    <w:rsid w:val="007A1369"/>
    <w:rsid w:val="007B1294"/>
    <w:rsid w:val="007B5E9E"/>
    <w:rsid w:val="007C4493"/>
    <w:rsid w:val="007D66C5"/>
    <w:rsid w:val="007E0400"/>
    <w:rsid w:val="007E42F7"/>
    <w:rsid w:val="007E4644"/>
    <w:rsid w:val="007E5FAA"/>
    <w:rsid w:val="007E76D7"/>
    <w:rsid w:val="007F01ED"/>
    <w:rsid w:val="007F4ACA"/>
    <w:rsid w:val="00804C7D"/>
    <w:rsid w:val="00805E3D"/>
    <w:rsid w:val="00807532"/>
    <w:rsid w:val="008109C8"/>
    <w:rsid w:val="0081162E"/>
    <w:rsid w:val="00817C0A"/>
    <w:rsid w:val="00820ED8"/>
    <w:rsid w:val="00822615"/>
    <w:rsid w:val="008301A3"/>
    <w:rsid w:val="00830CEF"/>
    <w:rsid w:val="00834B24"/>
    <w:rsid w:val="00843029"/>
    <w:rsid w:val="00847347"/>
    <w:rsid w:val="00847BCE"/>
    <w:rsid w:val="0085055B"/>
    <w:rsid w:val="00851BBC"/>
    <w:rsid w:val="00852724"/>
    <w:rsid w:val="008631C3"/>
    <w:rsid w:val="0088007E"/>
    <w:rsid w:val="00881BCD"/>
    <w:rsid w:val="00881BD3"/>
    <w:rsid w:val="0088242C"/>
    <w:rsid w:val="008840AD"/>
    <w:rsid w:val="0088659E"/>
    <w:rsid w:val="00886BC9"/>
    <w:rsid w:val="00891960"/>
    <w:rsid w:val="008A24AE"/>
    <w:rsid w:val="008A52E8"/>
    <w:rsid w:val="008B13EE"/>
    <w:rsid w:val="008B7B05"/>
    <w:rsid w:val="008C1447"/>
    <w:rsid w:val="008C5A11"/>
    <w:rsid w:val="008C693D"/>
    <w:rsid w:val="008C6D6F"/>
    <w:rsid w:val="008D5236"/>
    <w:rsid w:val="008E0E2D"/>
    <w:rsid w:val="008E299C"/>
    <w:rsid w:val="008E2A75"/>
    <w:rsid w:val="008E40A7"/>
    <w:rsid w:val="008E7941"/>
    <w:rsid w:val="008F2611"/>
    <w:rsid w:val="008F2696"/>
    <w:rsid w:val="008F4A07"/>
    <w:rsid w:val="008F5C56"/>
    <w:rsid w:val="00900453"/>
    <w:rsid w:val="00901CFC"/>
    <w:rsid w:val="00905F4A"/>
    <w:rsid w:val="00906323"/>
    <w:rsid w:val="00906B86"/>
    <w:rsid w:val="0090739B"/>
    <w:rsid w:val="00917254"/>
    <w:rsid w:val="00917C24"/>
    <w:rsid w:val="009301F7"/>
    <w:rsid w:val="009346E6"/>
    <w:rsid w:val="00942E3B"/>
    <w:rsid w:val="00967926"/>
    <w:rsid w:val="00972D29"/>
    <w:rsid w:val="00972DCF"/>
    <w:rsid w:val="00974362"/>
    <w:rsid w:val="00974E20"/>
    <w:rsid w:val="00975881"/>
    <w:rsid w:val="009864AD"/>
    <w:rsid w:val="00986572"/>
    <w:rsid w:val="0098703D"/>
    <w:rsid w:val="009936D3"/>
    <w:rsid w:val="009A6D79"/>
    <w:rsid w:val="009B09EC"/>
    <w:rsid w:val="009B0FA5"/>
    <w:rsid w:val="009B1CD9"/>
    <w:rsid w:val="009B2111"/>
    <w:rsid w:val="009B340B"/>
    <w:rsid w:val="009B4C66"/>
    <w:rsid w:val="009B571F"/>
    <w:rsid w:val="009B6EF1"/>
    <w:rsid w:val="009C37EC"/>
    <w:rsid w:val="009C3815"/>
    <w:rsid w:val="009E34B2"/>
    <w:rsid w:val="009E4660"/>
    <w:rsid w:val="009E5361"/>
    <w:rsid w:val="009E69BB"/>
    <w:rsid w:val="009F1B60"/>
    <w:rsid w:val="00A0382F"/>
    <w:rsid w:val="00A045DA"/>
    <w:rsid w:val="00A07306"/>
    <w:rsid w:val="00A116DA"/>
    <w:rsid w:val="00A13F71"/>
    <w:rsid w:val="00A17332"/>
    <w:rsid w:val="00A223F1"/>
    <w:rsid w:val="00A22F22"/>
    <w:rsid w:val="00A24D91"/>
    <w:rsid w:val="00A25D3E"/>
    <w:rsid w:val="00A31E2E"/>
    <w:rsid w:val="00A32000"/>
    <w:rsid w:val="00A3253D"/>
    <w:rsid w:val="00A333E0"/>
    <w:rsid w:val="00A36A27"/>
    <w:rsid w:val="00A37E41"/>
    <w:rsid w:val="00A37F75"/>
    <w:rsid w:val="00A440A7"/>
    <w:rsid w:val="00A52265"/>
    <w:rsid w:val="00A55262"/>
    <w:rsid w:val="00A64523"/>
    <w:rsid w:val="00A72DAC"/>
    <w:rsid w:val="00A738E1"/>
    <w:rsid w:val="00A74024"/>
    <w:rsid w:val="00A82493"/>
    <w:rsid w:val="00A83BE9"/>
    <w:rsid w:val="00A86066"/>
    <w:rsid w:val="00A87B9F"/>
    <w:rsid w:val="00A94556"/>
    <w:rsid w:val="00AA1EFF"/>
    <w:rsid w:val="00AB2D56"/>
    <w:rsid w:val="00AB5EC9"/>
    <w:rsid w:val="00AC1D42"/>
    <w:rsid w:val="00AC6405"/>
    <w:rsid w:val="00AD0302"/>
    <w:rsid w:val="00AD3DC7"/>
    <w:rsid w:val="00AD6297"/>
    <w:rsid w:val="00AD6E1B"/>
    <w:rsid w:val="00AE6DA4"/>
    <w:rsid w:val="00AF0FE3"/>
    <w:rsid w:val="00AF326E"/>
    <w:rsid w:val="00B044EC"/>
    <w:rsid w:val="00B05CB1"/>
    <w:rsid w:val="00B05CD0"/>
    <w:rsid w:val="00B103EE"/>
    <w:rsid w:val="00B1068D"/>
    <w:rsid w:val="00B143E6"/>
    <w:rsid w:val="00B167D5"/>
    <w:rsid w:val="00B20E20"/>
    <w:rsid w:val="00B21E71"/>
    <w:rsid w:val="00B3034A"/>
    <w:rsid w:val="00B35605"/>
    <w:rsid w:val="00B42C3D"/>
    <w:rsid w:val="00B57D01"/>
    <w:rsid w:val="00B61DB1"/>
    <w:rsid w:val="00B6326C"/>
    <w:rsid w:val="00B642D2"/>
    <w:rsid w:val="00B71D91"/>
    <w:rsid w:val="00B71E9D"/>
    <w:rsid w:val="00B75445"/>
    <w:rsid w:val="00B81375"/>
    <w:rsid w:val="00B909C7"/>
    <w:rsid w:val="00B909DF"/>
    <w:rsid w:val="00B91963"/>
    <w:rsid w:val="00BA7A5F"/>
    <w:rsid w:val="00BB3CF4"/>
    <w:rsid w:val="00BB3DC8"/>
    <w:rsid w:val="00BB6AC9"/>
    <w:rsid w:val="00BC39F8"/>
    <w:rsid w:val="00BC4CF6"/>
    <w:rsid w:val="00BC616F"/>
    <w:rsid w:val="00BC6246"/>
    <w:rsid w:val="00BC7CEF"/>
    <w:rsid w:val="00BD0D11"/>
    <w:rsid w:val="00BD6224"/>
    <w:rsid w:val="00BD6403"/>
    <w:rsid w:val="00BE0699"/>
    <w:rsid w:val="00BE29ED"/>
    <w:rsid w:val="00BE2CC1"/>
    <w:rsid w:val="00BE6D6C"/>
    <w:rsid w:val="00BF06AD"/>
    <w:rsid w:val="00C0068C"/>
    <w:rsid w:val="00C027E1"/>
    <w:rsid w:val="00C04ED3"/>
    <w:rsid w:val="00C0601C"/>
    <w:rsid w:val="00C11194"/>
    <w:rsid w:val="00C11534"/>
    <w:rsid w:val="00C1231D"/>
    <w:rsid w:val="00C14AFF"/>
    <w:rsid w:val="00C15454"/>
    <w:rsid w:val="00C159C5"/>
    <w:rsid w:val="00C17025"/>
    <w:rsid w:val="00C23532"/>
    <w:rsid w:val="00C237C5"/>
    <w:rsid w:val="00C24F05"/>
    <w:rsid w:val="00C24FB8"/>
    <w:rsid w:val="00C25445"/>
    <w:rsid w:val="00C25C17"/>
    <w:rsid w:val="00C34BDC"/>
    <w:rsid w:val="00C35631"/>
    <w:rsid w:val="00C42C3E"/>
    <w:rsid w:val="00C44347"/>
    <w:rsid w:val="00C47B49"/>
    <w:rsid w:val="00C57483"/>
    <w:rsid w:val="00C57659"/>
    <w:rsid w:val="00C57F34"/>
    <w:rsid w:val="00C619F3"/>
    <w:rsid w:val="00C639B3"/>
    <w:rsid w:val="00C75B59"/>
    <w:rsid w:val="00C87009"/>
    <w:rsid w:val="00C95700"/>
    <w:rsid w:val="00C95B25"/>
    <w:rsid w:val="00CA0D42"/>
    <w:rsid w:val="00CA5002"/>
    <w:rsid w:val="00CA67A6"/>
    <w:rsid w:val="00CC0320"/>
    <w:rsid w:val="00CC3B08"/>
    <w:rsid w:val="00CC5716"/>
    <w:rsid w:val="00CC7A1E"/>
    <w:rsid w:val="00CD0BE2"/>
    <w:rsid w:val="00CD6145"/>
    <w:rsid w:val="00CD697A"/>
    <w:rsid w:val="00CE6C07"/>
    <w:rsid w:val="00CE76AF"/>
    <w:rsid w:val="00CF1D06"/>
    <w:rsid w:val="00CF7FC1"/>
    <w:rsid w:val="00D067D9"/>
    <w:rsid w:val="00D27D63"/>
    <w:rsid w:val="00D323C2"/>
    <w:rsid w:val="00D35B8C"/>
    <w:rsid w:val="00D374E5"/>
    <w:rsid w:val="00D443DC"/>
    <w:rsid w:val="00D458B6"/>
    <w:rsid w:val="00D4664D"/>
    <w:rsid w:val="00D46695"/>
    <w:rsid w:val="00D63F00"/>
    <w:rsid w:val="00D666B0"/>
    <w:rsid w:val="00D77C98"/>
    <w:rsid w:val="00D80DB1"/>
    <w:rsid w:val="00D82CA9"/>
    <w:rsid w:val="00D841A5"/>
    <w:rsid w:val="00D9254A"/>
    <w:rsid w:val="00D946BC"/>
    <w:rsid w:val="00D9723B"/>
    <w:rsid w:val="00DA3A5A"/>
    <w:rsid w:val="00DB1E8A"/>
    <w:rsid w:val="00DB3EC3"/>
    <w:rsid w:val="00DC3F4B"/>
    <w:rsid w:val="00DC5BEF"/>
    <w:rsid w:val="00DC676C"/>
    <w:rsid w:val="00DC6E09"/>
    <w:rsid w:val="00DD0260"/>
    <w:rsid w:val="00DD2235"/>
    <w:rsid w:val="00DD584B"/>
    <w:rsid w:val="00DD7D8F"/>
    <w:rsid w:val="00DE25D5"/>
    <w:rsid w:val="00DE5854"/>
    <w:rsid w:val="00DE5C19"/>
    <w:rsid w:val="00DE61CC"/>
    <w:rsid w:val="00DE7779"/>
    <w:rsid w:val="00DF4E76"/>
    <w:rsid w:val="00DF5003"/>
    <w:rsid w:val="00DF6F5C"/>
    <w:rsid w:val="00E0713F"/>
    <w:rsid w:val="00E12DF3"/>
    <w:rsid w:val="00E15F4E"/>
    <w:rsid w:val="00E17464"/>
    <w:rsid w:val="00E25474"/>
    <w:rsid w:val="00E27430"/>
    <w:rsid w:val="00E278C1"/>
    <w:rsid w:val="00E34E11"/>
    <w:rsid w:val="00E361DB"/>
    <w:rsid w:val="00E37B1D"/>
    <w:rsid w:val="00E41120"/>
    <w:rsid w:val="00E55AED"/>
    <w:rsid w:val="00E6038A"/>
    <w:rsid w:val="00E61424"/>
    <w:rsid w:val="00E70ECF"/>
    <w:rsid w:val="00E827F2"/>
    <w:rsid w:val="00E82B37"/>
    <w:rsid w:val="00E921F9"/>
    <w:rsid w:val="00EA0B90"/>
    <w:rsid w:val="00EA64ED"/>
    <w:rsid w:val="00EB429C"/>
    <w:rsid w:val="00EC3A2C"/>
    <w:rsid w:val="00EC3D8C"/>
    <w:rsid w:val="00ED1C60"/>
    <w:rsid w:val="00ED34D1"/>
    <w:rsid w:val="00EE2EE3"/>
    <w:rsid w:val="00EE4723"/>
    <w:rsid w:val="00EF0CA0"/>
    <w:rsid w:val="00EF1228"/>
    <w:rsid w:val="00EF1309"/>
    <w:rsid w:val="00EF187B"/>
    <w:rsid w:val="00EF300B"/>
    <w:rsid w:val="00EF3972"/>
    <w:rsid w:val="00F02807"/>
    <w:rsid w:val="00F031C1"/>
    <w:rsid w:val="00F0349D"/>
    <w:rsid w:val="00F0462D"/>
    <w:rsid w:val="00F12590"/>
    <w:rsid w:val="00F14A7C"/>
    <w:rsid w:val="00F16A9A"/>
    <w:rsid w:val="00F245A3"/>
    <w:rsid w:val="00F27909"/>
    <w:rsid w:val="00F34818"/>
    <w:rsid w:val="00F3544C"/>
    <w:rsid w:val="00F40DBC"/>
    <w:rsid w:val="00F43346"/>
    <w:rsid w:val="00F5178E"/>
    <w:rsid w:val="00F545CC"/>
    <w:rsid w:val="00F57147"/>
    <w:rsid w:val="00F621CD"/>
    <w:rsid w:val="00F6770C"/>
    <w:rsid w:val="00F7085C"/>
    <w:rsid w:val="00F80843"/>
    <w:rsid w:val="00F8459A"/>
    <w:rsid w:val="00F848DD"/>
    <w:rsid w:val="00F84D2B"/>
    <w:rsid w:val="00F91097"/>
    <w:rsid w:val="00F92756"/>
    <w:rsid w:val="00F953F1"/>
    <w:rsid w:val="00F964E2"/>
    <w:rsid w:val="00FA14BD"/>
    <w:rsid w:val="00FA5D51"/>
    <w:rsid w:val="00FB0626"/>
    <w:rsid w:val="00FB1710"/>
    <w:rsid w:val="00FB52EC"/>
    <w:rsid w:val="00FB5D4E"/>
    <w:rsid w:val="00FD289F"/>
    <w:rsid w:val="00FD2D90"/>
    <w:rsid w:val="00FD30F0"/>
    <w:rsid w:val="00FD577C"/>
    <w:rsid w:val="00FD76A7"/>
    <w:rsid w:val="00FE58DB"/>
    <w:rsid w:val="00FE6E38"/>
    <w:rsid w:val="00FF057D"/>
    <w:rsid w:val="00FF05F8"/>
    <w:rsid w:val="00FF0C7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3D48"/>
  <w15:chartTrackingRefBased/>
  <w15:docId w15:val="{34C3D77B-0838-430E-A0CD-D317D75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9C7"/>
    <w:pPr>
      <w:keepNext/>
      <w:keepLines/>
      <w:spacing w:before="200" w:after="200"/>
      <w:jc w:val="both"/>
      <w:outlineLvl w:val="1"/>
    </w:pPr>
    <w:rPr>
      <w:rFonts w:ascii="Arial" w:eastAsiaTheme="majorEastAsia" w:hAnsi="Arial" w:cstheme="majorBidi"/>
      <w:b/>
      <w:color w:val="004676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7306"/>
  </w:style>
  <w:style w:type="paragraph" w:styleId="Footer">
    <w:name w:val="footer"/>
    <w:basedOn w:val="Normal"/>
    <w:link w:val="Foot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7306"/>
  </w:style>
  <w:style w:type="character" w:styleId="Hyperlink">
    <w:name w:val="Hyperlink"/>
    <w:rsid w:val="00C006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6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6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rmal_FR"/>
    <w:uiPriority w:val="1"/>
    <w:qFormat/>
    <w:rsid w:val="00C0068C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9C7"/>
    <w:rPr>
      <w:rFonts w:ascii="Arial" w:eastAsiaTheme="majorEastAsia" w:hAnsi="Arial" w:cstheme="majorBidi"/>
      <w:b/>
      <w:color w:val="00467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38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59C5"/>
    <w:rPr>
      <w:color w:val="605E5C"/>
      <w:shd w:val="clear" w:color="auto" w:fill="E1DFDD"/>
    </w:rPr>
  </w:style>
  <w:style w:type="paragraph" w:customStyle="1" w:styleId="Default">
    <w:name w:val="Default"/>
    <w:rsid w:val="005B1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FDB-8E9C-4EB2-B42B-0CC4F20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Đolo Sandra</dc:creator>
  <cp:keywords/>
  <dc:description/>
  <cp:lastModifiedBy>Majić Crnković Marina</cp:lastModifiedBy>
  <cp:revision>37</cp:revision>
  <cp:lastPrinted>2021-07-29T11:14:00Z</cp:lastPrinted>
  <dcterms:created xsi:type="dcterms:W3CDTF">2023-04-27T10:05:00Z</dcterms:created>
  <dcterms:modified xsi:type="dcterms:W3CDTF">2023-04-27T12:57:00Z</dcterms:modified>
</cp:coreProperties>
</file>