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D8BE" w14:textId="77777777" w:rsidR="00C0068C" w:rsidRPr="003F55E0" w:rsidRDefault="00C0068C" w:rsidP="00C0068C">
      <w:pPr>
        <w:jc w:val="both"/>
        <w:rPr>
          <w:rFonts w:asciiTheme="minorHAnsi" w:hAnsiTheme="minorHAnsi" w:cstheme="minorHAnsi"/>
          <w:sz w:val="22"/>
          <w:szCs w:val="22"/>
          <w:lang w:val="en-GB"/>
        </w:rPr>
      </w:pPr>
      <w:bookmarkStart w:id="0" w:name="_Hlk101870254"/>
      <w:bookmarkEnd w:id="0"/>
    </w:p>
    <w:p w14:paraId="4F7FB7C1" w14:textId="77777777" w:rsidR="00C0068C" w:rsidRPr="003F55E0" w:rsidRDefault="00C0068C" w:rsidP="00C0068C">
      <w:pPr>
        <w:jc w:val="both"/>
        <w:rPr>
          <w:rFonts w:asciiTheme="minorHAnsi" w:hAnsiTheme="minorHAnsi" w:cstheme="minorHAnsi"/>
          <w:sz w:val="22"/>
          <w:szCs w:val="22"/>
          <w:lang w:val="en-GB"/>
        </w:rPr>
      </w:pPr>
    </w:p>
    <w:p w14:paraId="71B952EF" w14:textId="77777777" w:rsidR="00C0068C" w:rsidRPr="003F55E0" w:rsidRDefault="00C0068C" w:rsidP="00C0068C">
      <w:pPr>
        <w:jc w:val="both"/>
        <w:rPr>
          <w:rFonts w:asciiTheme="minorHAnsi" w:hAnsiTheme="minorHAnsi" w:cstheme="minorHAnsi"/>
          <w:sz w:val="22"/>
          <w:szCs w:val="22"/>
          <w:lang w:val="en-GB"/>
        </w:rPr>
      </w:pPr>
    </w:p>
    <w:p w14:paraId="6DAF8346" w14:textId="77777777" w:rsidR="00C0068C" w:rsidRPr="003F55E0" w:rsidRDefault="00C0068C" w:rsidP="00C0068C">
      <w:pPr>
        <w:jc w:val="both"/>
        <w:rPr>
          <w:rFonts w:asciiTheme="minorHAnsi" w:hAnsiTheme="minorHAnsi" w:cstheme="minorHAnsi"/>
          <w:sz w:val="22"/>
          <w:szCs w:val="22"/>
          <w:lang w:val="en-GB"/>
        </w:rPr>
      </w:pPr>
    </w:p>
    <w:p w14:paraId="014BF65D" w14:textId="77777777" w:rsidR="00C0068C" w:rsidRPr="003F55E0" w:rsidRDefault="00C0068C" w:rsidP="00C0068C">
      <w:pPr>
        <w:jc w:val="both"/>
        <w:rPr>
          <w:rFonts w:asciiTheme="minorHAnsi" w:hAnsiTheme="minorHAnsi" w:cstheme="minorHAnsi"/>
          <w:sz w:val="22"/>
          <w:szCs w:val="22"/>
          <w:lang w:val="en-GB"/>
        </w:rPr>
      </w:pPr>
    </w:p>
    <w:p w14:paraId="5A3710D8" w14:textId="77777777" w:rsidR="00C0068C" w:rsidRPr="003F55E0" w:rsidRDefault="00C0068C" w:rsidP="00C0068C">
      <w:pPr>
        <w:jc w:val="both"/>
        <w:rPr>
          <w:rFonts w:asciiTheme="minorHAnsi" w:hAnsiTheme="minorHAnsi" w:cstheme="minorHAnsi"/>
          <w:sz w:val="22"/>
          <w:szCs w:val="22"/>
          <w:lang w:val="en-GB"/>
        </w:rPr>
      </w:pPr>
    </w:p>
    <w:p w14:paraId="0D8E1E1E" w14:textId="77777777" w:rsidR="00C0068C" w:rsidRPr="003F55E0" w:rsidRDefault="00C0068C" w:rsidP="00C0068C">
      <w:pPr>
        <w:jc w:val="both"/>
        <w:rPr>
          <w:rFonts w:asciiTheme="minorHAnsi" w:hAnsiTheme="minorHAnsi" w:cstheme="minorHAnsi"/>
          <w:sz w:val="22"/>
          <w:szCs w:val="22"/>
          <w:lang w:val="en-GB"/>
        </w:rPr>
      </w:pPr>
    </w:p>
    <w:p w14:paraId="20261634" w14:textId="77777777" w:rsidR="00C0068C" w:rsidRPr="003F55E0" w:rsidRDefault="00C0068C" w:rsidP="00C0068C">
      <w:pPr>
        <w:jc w:val="both"/>
        <w:rPr>
          <w:rFonts w:asciiTheme="minorHAnsi" w:hAnsiTheme="minorHAnsi" w:cstheme="minorHAnsi"/>
          <w:b/>
          <w:bCs/>
          <w:sz w:val="40"/>
          <w:szCs w:val="40"/>
          <w:lang w:val="en-GB"/>
        </w:rPr>
      </w:pPr>
    </w:p>
    <w:p w14:paraId="702E904B" w14:textId="77777777" w:rsidR="00C0068C" w:rsidRPr="003F55E0" w:rsidRDefault="00C0068C" w:rsidP="00C0068C">
      <w:pPr>
        <w:jc w:val="center"/>
        <w:rPr>
          <w:rFonts w:asciiTheme="minorHAnsi" w:hAnsiTheme="minorHAnsi" w:cstheme="minorHAnsi"/>
          <w:b/>
          <w:bCs/>
          <w:sz w:val="40"/>
          <w:szCs w:val="40"/>
          <w:lang w:val="en-GB"/>
        </w:rPr>
      </w:pPr>
      <w:r w:rsidRPr="003F55E0">
        <w:rPr>
          <w:rFonts w:asciiTheme="minorHAnsi" w:hAnsiTheme="minorHAnsi" w:cstheme="minorHAnsi"/>
          <w:b/>
          <w:bCs/>
          <w:sz w:val="40"/>
          <w:szCs w:val="40"/>
          <w:lang w:val="en-GB"/>
        </w:rPr>
        <w:t>FINANCIAL RESULTS</w:t>
      </w:r>
    </w:p>
    <w:p w14:paraId="4562916B" w14:textId="5ADF67FE" w:rsidR="00C0068C" w:rsidRPr="003F55E0" w:rsidRDefault="005E5C4D" w:rsidP="00C0068C">
      <w:pPr>
        <w:jc w:val="center"/>
        <w:rPr>
          <w:rFonts w:asciiTheme="minorHAnsi" w:hAnsiTheme="minorHAnsi" w:cstheme="minorHAnsi"/>
          <w:b/>
          <w:bCs/>
          <w:sz w:val="40"/>
          <w:szCs w:val="40"/>
          <w:lang w:val="en-GB"/>
        </w:rPr>
      </w:pPr>
      <w:r>
        <w:rPr>
          <w:rFonts w:asciiTheme="minorHAnsi" w:hAnsiTheme="minorHAnsi" w:cstheme="minorHAnsi"/>
          <w:b/>
          <w:bCs/>
          <w:sz w:val="40"/>
          <w:szCs w:val="40"/>
          <w:lang w:val="en-GB"/>
        </w:rPr>
        <w:t>H1</w:t>
      </w:r>
      <w:r w:rsidRPr="003F55E0">
        <w:rPr>
          <w:rFonts w:asciiTheme="minorHAnsi" w:hAnsiTheme="minorHAnsi" w:cstheme="minorHAnsi"/>
          <w:b/>
          <w:bCs/>
          <w:sz w:val="40"/>
          <w:szCs w:val="40"/>
          <w:lang w:val="en-GB"/>
        </w:rPr>
        <w:t xml:space="preserve"> </w:t>
      </w:r>
      <w:r w:rsidR="00C0068C" w:rsidRPr="003F55E0">
        <w:rPr>
          <w:rFonts w:asciiTheme="minorHAnsi" w:hAnsiTheme="minorHAnsi" w:cstheme="minorHAnsi"/>
          <w:b/>
          <w:bCs/>
          <w:sz w:val="40"/>
          <w:szCs w:val="40"/>
          <w:lang w:val="en-GB"/>
        </w:rPr>
        <w:t>202</w:t>
      </w:r>
      <w:r w:rsidR="003C2A56" w:rsidRPr="003F55E0">
        <w:rPr>
          <w:rFonts w:asciiTheme="minorHAnsi" w:hAnsiTheme="minorHAnsi" w:cstheme="minorHAnsi"/>
          <w:b/>
          <w:bCs/>
          <w:sz w:val="40"/>
          <w:szCs w:val="40"/>
          <w:lang w:val="en-GB"/>
        </w:rPr>
        <w:t>3</w:t>
      </w:r>
    </w:p>
    <w:p w14:paraId="71719F98" w14:textId="77777777" w:rsidR="00C0068C" w:rsidRPr="003F55E0" w:rsidRDefault="00C0068C" w:rsidP="00C0068C">
      <w:pPr>
        <w:jc w:val="both"/>
        <w:rPr>
          <w:rFonts w:asciiTheme="minorHAnsi" w:hAnsiTheme="minorHAnsi" w:cstheme="minorHAnsi"/>
          <w:b/>
          <w:bCs/>
          <w:sz w:val="40"/>
          <w:szCs w:val="40"/>
          <w:lang w:val="en-GB"/>
        </w:rPr>
      </w:pPr>
    </w:p>
    <w:p w14:paraId="2F046F60" w14:textId="77777777" w:rsidR="00C0068C" w:rsidRPr="003F55E0" w:rsidRDefault="00C0068C" w:rsidP="00C0068C">
      <w:pPr>
        <w:jc w:val="both"/>
        <w:rPr>
          <w:rFonts w:asciiTheme="minorHAnsi" w:hAnsiTheme="minorHAnsi" w:cstheme="minorHAnsi"/>
          <w:sz w:val="22"/>
          <w:szCs w:val="22"/>
          <w:lang w:val="en-GB"/>
        </w:rPr>
      </w:pPr>
    </w:p>
    <w:p w14:paraId="583171BE" w14:textId="77777777" w:rsidR="00C0068C" w:rsidRPr="003F55E0" w:rsidRDefault="00C0068C" w:rsidP="00C0068C">
      <w:pPr>
        <w:jc w:val="both"/>
        <w:rPr>
          <w:rFonts w:asciiTheme="minorHAnsi" w:hAnsiTheme="minorHAnsi" w:cstheme="minorHAnsi"/>
          <w:sz w:val="22"/>
          <w:szCs w:val="22"/>
          <w:lang w:val="en-GB"/>
        </w:rPr>
      </w:pPr>
    </w:p>
    <w:p w14:paraId="7BE564E1" w14:textId="77777777" w:rsidR="00C0068C" w:rsidRPr="003F55E0" w:rsidRDefault="00C0068C" w:rsidP="00C0068C">
      <w:pPr>
        <w:jc w:val="both"/>
        <w:rPr>
          <w:rFonts w:asciiTheme="minorHAnsi" w:hAnsiTheme="minorHAnsi" w:cstheme="minorHAnsi"/>
          <w:sz w:val="22"/>
          <w:szCs w:val="22"/>
          <w:lang w:val="en-GB"/>
        </w:rPr>
      </w:pPr>
    </w:p>
    <w:p w14:paraId="2A5C0A4B" w14:textId="77777777" w:rsidR="00C0068C" w:rsidRPr="003F55E0" w:rsidRDefault="00C0068C" w:rsidP="00C0068C">
      <w:pPr>
        <w:jc w:val="both"/>
        <w:rPr>
          <w:rFonts w:asciiTheme="minorHAnsi" w:hAnsiTheme="minorHAnsi" w:cstheme="minorHAnsi"/>
          <w:sz w:val="22"/>
          <w:szCs w:val="22"/>
          <w:lang w:val="en-GB"/>
        </w:rPr>
      </w:pPr>
    </w:p>
    <w:p w14:paraId="30AFA060" w14:textId="77777777" w:rsidR="00C0068C" w:rsidRPr="003F55E0" w:rsidRDefault="00C0068C" w:rsidP="00C0068C">
      <w:pPr>
        <w:jc w:val="both"/>
        <w:rPr>
          <w:rFonts w:asciiTheme="minorHAnsi" w:hAnsiTheme="minorHAnsi" w:cstheme="minorHAnsi"/>
          <w:sz w:val="22"/>
          <w:szCs w:val="22"/>
          <w:lang w:val="en-GB"/>
        </w:rPr>
      </w:pPr>
    </w:p>
    <w:p w14:paraId="5CA844BC" w14:textId="77777777" w:rsidR="00C0068C" w:rsidRPr="003F55E0" w:rsidRDefault="00C0068C" w:rsidP="00C0068C">
      <w:pPr>
        <w:jc w:val="both"/>
        <w:rPr>
          <w:rFonts w:asciiTheme="minorHAnsi" w:hAnsiTheme="minorHAnsi" w:cstheme="minorHAnsi"/>
          <w:sz w:val="22"/>
          <w:szCs w:val="22"/>
          <w:lang w:val="en-GB"/>
        </w:rPr>
      </w:pPr>
    </w:p>
    <w:p w14:paraId="3E61D389" w14:textId="77777777" w:rsidR="00C0068C" w:rsidRPr="003F55E0" w:rsidRDefault="00C0068C" w:rsidP="00C0068C">
      <w:pPr>
        <w:jc w:val="both"/>
        <w:rPr>
          <w:rFonts w:asciiTheme="minorHAnsi" w:hAnsiTheme="minorHAnsi" w:cstheme="minorHAnsi"/>
          <w:sz w:val="22"/>
          <w:szCs w:val="22"/>
          <w:lang w:val="en-GB"/>
        </w:rPr>
      </w:pPr>
    </w:p>
    <w:p w14:paraId="49FD168C" w14:textId="77777777" w:rsidR="00C0068C" w:rsidRPr="003F55E0" w:rsidRDefault="00C0068C" w:rsidP="00C0068C">
      <w:pPr>
        <w:jc w:val="both"/>
        <w:rPr>
          <w:rFonts w:asciiTheme="minorHAnsi" w:hAnsiTheme="minorHAnsi" w:cstheme="minorHAnsi"/>
          <w:sz w:val="22"/>
          <w:szCs w:val="22"/>
          <w:lang w:val="en-GB"/>
        </w:rPr>
      </w:pPr>
    </w:p>
    <w:p w14:paraId="0D56C24B" w14:textId="77777777" w:rsidR="00C0068C" w:rsidRPr="003F55E0" w:rsidRDefault="00C0068C" w:rsidP="00C0068C">
      <w:pPr>
        <w:jc w:val="both"/>
        <w:rPr>
          <w:rFonts w:asciiTheme="minorHAnsi" w:hAnsiTheme="minorHAnsi" w:cstheme="minorHAnsi"/>
          <w:sz w:val="22"/>
          <w:szCs w:val="22"/>
          <w:lang w:val="en-GB"/>
        </w:rPr>
      </w:pPr>
    </w:p>
    <w:p w14:paraId="54686B05" w14:textId="77777777" w:rsidR="00C0068C" w:rsidRPr="003F55E0" w:rsidRDefault="00C0068C" w:rsidP="00C0068C">
      <w:pPr>
        <w:jc w:val="both"/>
        <w:rPr>
          <w:rFonts w:asciiTheme="minorHAnsi" w:hAnsiTheme="minorHAnsi" w:cstheme="minorHAnsi"/>
          <w:sz w:val="22"/>
          <w:szCs w:val="22"/>
          <w:lang w:val="en-GB"/>
        </w:rPr>
      </w:pPr>
    </w:p>
    <w:p w14:paraId="28BB94B1" w14:textId="77777777" w:rsidR="00C0068C" w:rsidRPr="003F55E0" w:rsidRDefault="00C0068C" w:rsidP="00C0068C">
      <w:pPr>
        <w:jc w:val="both"/>
        <w:rPr>
          <w:rFonts w:asciiTheme="minorHAnsi" w:hAnsiTheme="minorHAnsi" w:cstheme="minorHAnsi"/>
          <w:sz w:val="22"/>
          <w:szCs w:val="22"/>
          <w:lang w:val="en-GB"/>
        </w:rPr>
      </w:pPr>
    </w:p>
    <w:p w14:paraId="3F441A06" w14:textId="18EFFEF2" w:rsidR="00C0068C" w:rsidRPr="003F55E0" w:rsidRDefault="001F5ECF" w:rsidP="00C0068C">
      <w:pPr>
        <w:jc w:val="both"/>
        <w:rPr>
          <w:rFonts w:asciiTheme="minorHAnsi" w:hAnsiTheme="minorHAnsi" w:cstheme="minorHAnsi"/>
          <w:color w:val="808080" w:themeColor="background1" w:themeShade="80"/>
          <w:sz w:val="22"/>
          <w:szCs w:val="22"/>
          <w:lang w:val="en-GB"/>
        </w:rPr>
      </w:pPr>
      <w:r w:rsidRPr="003F55E0">
        <w:rPr>
          <w:rFonts w:asciiTheme="minorHAnsi" w:hAnsiTheme="minorHAnsi" w:cstheme="minorHAnsi"/>
          <w:color w:val="808080" w:themeColor="background1" w:themeShade="80"/>
          <w:sz w:val="22"/>
          <w:szCs w:val="22"/>
          <w:lang w:val="en-GB"/>
        </w:rPr>
        <w:t xml:space="preserve">Press </w:t>
      </w:r>
      <w:r w:rsidR="00C0068C" w:rsidRPr="003F55E0">
        <w:rPr>
          <w:rFonts w:asciiTheme="minorHAnsi" w:hAnsiTheme="minorHAnsi" w:cstheme="minorHAnsi"/>
          <w:color w:val="808080" w:themeColor="background1" w:themeShade="80"/>
          <w:sz w:val="22"/>
          <w:szCs w:val="22"/>
          <w:lang w:val="en-GB"/>
        </w:rPr>
        <w:t>Contact:</w:t>
      </w:r>
    </w:p>
    <w:p w14:paraId="4A145A50" w14:textId="77777777" w:rsidR="001F5ECF" w:rsidRPr="003F55E0" w:rsidRDefault="001F5ECF" w:rsidP="00C0068C">
      <w:pPr>
        <w:jc w:val="both"/>
        <w:rPr>
          <w:rFonts w:asciiTheme="minorHAnsi" w:hAnsiTheme="minorHAnsi" w:cstheme="minorHAnsi"/>
          <w:color w:val="808080" w:themeColor="background1" w:themeShade="80"/>
          <w:sz w:val="22"/>
          <w:szCs w:val="22"/>
          <w:lang w:val="en-GB"/>
        </w:rPr>
      </w:pPr>
    </w:p>
    <w:p w14:paraId="32A73C36" w14:textId="4F5F66FF" w:rsidR="00C0068C" w:rsidRPr="003F55E0" w:rsidRDefault="00C0068C" w:rsidP="00C0068C">
      <w:pPr>
        <w:jc w:val="both"/>
        <w:rPr>
          <w:rFonts w:asciiTheme="minorHAnsi" w:hAnsiTheme="minorHAnsi" w:cstheme="minorHAnsi"/>
          <w:color w:val="808080" w:themeColor="background1" w:themeShade="80"/>
          <w:sz w:val="22"/>
          <w:szCs w:val="22"/>
          <w:lang w:val="en-GB"/>
        </w:rPr>
      </w:pPr>
      <w:r w:rsidRPr="003F55E0">
        <w:rPr>
          <w:rFonts w:asciiTheme="minorHAnsi" w:hAnsiTheme="minorHAnsi" w:cstheme="minorHAnsi"/>
          <w:color w:val="808080" w:themeColor="background1" w:themeShade="80"/>
          <w:sz w:val="22"/>
          <w:szCs w:val="22"/>
          <w:lang w:val="en-GB"/>
        </w:rPr>
        <w:t>INA</w:t>
      </w:r>
      <w:r w:rsidR="0092012F" w:rsidRPr="003F55E0">
        <w:rPr>
          <w:rFonts w:asciiTheme="minorHAnsi" w:hAnsiTheme="minorHAnsi" w:cstheme="minorHAnsi"/>
          <w:color w:val="808080" w:themeColor="background1" w:themeShade="80"/>
          <w:sz w:val="22"/>
          <w:szCs w:val="22"/>
          <w:lang w:val="en-GB"/>
        </w:rPr>
        <w:t>, d.d.</w:t>
      </w:r>
    </w:p>
    <w:p w14:paraId="54BDA9E6" w14:textId="77777777" w:rsidR="00C0068C" w:rsidRPr="003F55E0" w:rsidRDefault="00C0068C" w:rsidP="00C0068C">
      <w:pPr>
        <w:jc w:val="both"/>
        <w:rPr>
          <w:rFonts w:asciiTheme="minorHAnsi" w:hAnsiTheme="minorHAnsi" w:cstheme="minorHAnsi"/>
          <w:color w:val="808080" w:themeColor="background1" w:themeShade="80"/>
          <w:sz w:val="22"/>
          <w:szCs w:val="22"/>
          <w:lang w:val="en-GB"/>
        </w:rPr>
      </w:pPr>
      <w:r w:rsidRPr="003F55E0">
        <w:rPr>
          <w:rFonts w:asciiTheme="minorHAnsi" w:hAnsiTheme="minorHAnsi" w:cstheme="minorHAnsi"/>
          <w:color w:val="808080" w:themeColor="background1" w:themeShade="80"/>
          <w:sz w:val="22"/>
          <w:szCs w:val="22"/>
          <w:lang w:val="en-GB"/>
        </w:rPr>
        <w:t>Corporate Communications and Marketing</w:t>
      </w:r>
    </w:p>
    <w:p w14:paraId="0B2BC4EF" w14:textId="77777777" w:rsidR="00C0068C" w:rsidRPr="003F55E0" w:rsidRDefault="00C0068C" w:rsidP="00C0068C">
      <w:pPr>
        <w:jc w:val="both"/>
        <w:rPr>
          <w:rFonts w:asciiTheme="minorHAnsi" w:hAnsiTheme="minorHAnsi" w:cstheme="minorHAnsi"/>
          <w:color w:val="808080" w:themeColor="background1" w:themeShade="80"/>
          <w:sz w:val="22"/>
          <w:szCs w:val="22"/>
          <w:lang w:val="en-GB"/>
        </w:rPr>
      </w:pPr>
      <w:r w:rsidRPr="003F55E0">
        <w:rPr>
          <w:rFonts w:asciiTheme="minorHAnsi" w:hAnsiTheme="minorHAnsi" w:cstheme="minorHAnsi"/>
          <w:color w:val="808080" w:themeColor="background1" w:themeShade="80"/>
          <w:sz w:val="22"/>
          <w:szCs w:val="22"/>
          <w:lang w:val="en-GB"/>
        </w:rPr>
        <w:t>Avenija Većeslava Holjevca 10, Zagreb</w:t>
      </w:r>
    </w:p>
    <w:p w14:paraId="292EB947" w14:textId="77777777" w:rsidR="00C0068C" w:rsidRPr="003F55E0" w:rsidRDefault="00C0068C" w:rsidP="00C0068C">
      <w:pPr>
        <w:jc w:val="both"/>
        <w:rPr>
          <w:rFonts w:asciiTheme="minorHAnsi" w:hAnsiTheme="minorHAnsi" w:cstheme="minorHAnsi"/>
          <w:color w:val="808080" w:themeColor="background1" w:themeShade="80"/>
          <w:sz w:val="22"/>
          <w:szCs w:val="22"/>
          <w:lang w:val="en-GB"/>
        </w:rPr>
      </w:pPr>
    </w:p>
    <w:p w14:paraId="459A7AE9" w14:textId="77777777" w:rsidR="00C0068C" w:rsidRPr="003F55E0" w:rsidRDefault="00C0068C" w:rsidP="00C0068C">
      <w:pPr>
        <w:jc w:val="both"/>
        <w:rPr>
          <w:rFonts w:asciiTheme="minorHAnsi" w:hAnsiTheme="minorHAnsi" w:cstheme="minorHAnsi"/>
          <w:color w:val="808080" w:themeColor="background1" w:themeShade="80"/>
          <w:sz w:val="22"/>
          <w:szCs w:val="22"/>
          <w:lang w:val="en-GB"/>
        </w:rPr>
      </w:pPr>
      <w:r w:rsidRPr="003F55E0">
        <w:rPr>
          <w:rFonts w:asciiTheme="minorHAnsi" w:hAnsiTheme="minorHAnsi" w:cstheme="minorHAnsi"/>
          <w:color w:val="808080" w:themeColor="background1" w:themeShade="80"/>
          <w:sz w:val="22"/>
          <w:szCs w:val="22"/>
          <w:lang w:val="en-GB"/>
        </w:rPr>
        <w:t xml:space="preserve">E-mail:  </w:t>
      </w:r>
      <w:hyperlink r:id="rId8" w:history="1">
        <w:r w:rsidRPr="003F55E0">
          <w:rPr>
            <w:rStyle w:val="Hyperlink"/>
            <w:rFonts w:asciiTheme="minorHAnsi" w:hAnsiTheme="minorHAnsi" w:cstheme="minorHAnsi"/>
            <w:sz w:val="22"/>
            <w:szCs w:val="22"/>
            <w:lang w:val="en-GB"/>
          </w:rPr>
          <w:t>pr@ina.hr</w:t>
        </w:r>
      </w:hyperlink>
      <w:r w:rsidRPr="003F55E0">
        <w:rPr>
          <w:rFonts w:asciiTheme="minorHAnsi" w:hAnsiTheme="minorHAnsi" w:cstheme="minorHAnsi"/>
          <w:color w:val="808080" w:themeColor="background1" w:themeShade="80"/>
          <w:sz w:val="22"/>
          <w:szCs w:val="22"/>
          <w:lang w:val="en-GB"/>
        </w:rPr>
        <w:t xml:space="preserve"> </w:t>
      </w:r>
      <w:hyperlink r:id="rId9" w:history="1"/>
      <w:r w:rsidRPr="003F55E0">
        <w:rPr>
          <w:rFonts w:asciiTheme="minorHAnsi" w:hAnsiTheme="minorHAnsi" w:cstheme="minorHAnsi"/>
          <w:sz w:val="22"/>
          <w:szCs w:val="22"/>
          <w:lang w:val="en-GB"/>
        </w:rPr>
        <w:t xml:space="preserve"> </w:t>
      </w:r>
    </w:p>
    <w:p w14:paraId="526A0FBE" w14:textId="00FD903B" w:rsidR="00C0068C" w:rsidRPr="003F55E0" w:rsidRDefault="00000000" w:rsidP="00C0068C">
      <w:pPr>
        <w:jc w:val="both"/>
        <w:rPr>
          <w:rFonts w:asciiTheme="minorHAnsi" w:hAnsiTheme="minorHAnsi" w:cstheme="minorHAnsi"/>
          <w:color w:val="808080" w:themeColor="background1" w:themeShade="80"/>
          <w:sz w:val="22"/>
          <w:szCs w:val="22"/>
          <w:lang w:val="en-GB"/>
        </w:rPr>
      </w:pPr>
      <w:hyperlink r:id="rId10" w:history="1">
        <w:r w:rsidR="00C0068C" w:rsidRPr="003F55E0">
          <w:rPr>
            <w:rStyle w:val="Hyperlink"/>
            <w:rFonts w:asciiTheme="minorHAnsi" w:hAnsiTheme="minorHAnsi" w:cstheme="minorHAnsi"/>
            <w:sz w:val="22"/>
            <w:szCs w:val="22"/>
            <w:lang w:val="en-GB"/>
          </w:rPr>
          <w:t>Press Centre</w:t>
        </w:r>
      </w:hyperlink>
      <w:r w:rsidR="00C0068C" w:rsidRPr="003F55E0">
        <w:rPr>
          <w:rFonts w:asciiTheme="minorHAnsi" w:hAnsiTheme="minorHAnsi" w:cstheme="minorHAnsi"/>
          <w:color w:val="808080" w:themeColor="background1" w:themeShade="80"/>
          <w:sz w:val="22"/>
          <w:szCs w:val="22"/>
          <w:lang w:val="en-GB"/>
        </w:rPr>
        <w:t xml:space="preserve"> at </w:t>
      </w:r>
      <w:hyperlink r:id="rId11" w:history="1">
        <w:r w:rsidR="00C0068C" w:rsidRPr="003F55E0">
          <w:rPr>
            <w:rStyle w:val="Hyperlink"/>
            <w:rFonts w:asciiTheme="minorHAnsi" w:hAnsiTheme="minorHAnsi" w:cstheme="minorHAnsi"/>
            <w:color w:val="808080" w:themeColor="background1" w:themeShade="80"/>
            <w:sz w:val="22"/>
            <w:szCs w:val="22"/>
            <w:lang w:val="en-GB"/>
          </w:rPr>
          <w:t>www.ina.hr</w:t>
        </w:r>
      </w:hyperlink>
      <w:r w:rsidR="00C0068C" w:rsidRPr="003F55E0">
        <w:rPr>
          <w:rFonts w:asciiTheme="minorHAnsi" w:hAnsiTheme="minorHAnsi" w:cstheme="minorHAnsi"/>
          <w:color w:val="808080" w:themeColor="background1" w:themeShade="80"/>
          <w:sz w:val="22"/>
          <w:szCs w:val="22"/>
          <w:lang w:val="en-GB"/>
        </w:rPr>
        <w:t xml:space="preserve"> </w:t>
      </w:r>
    </w:p>
    <w:p w14:paraId="49EABBD2" w14:textId="77777777" w:rsidR="00C0068C" w:rsidRPr="003F55E0" w:rsidRDefault="00C0068C" w:rsidP="00C0068C">
      <w:pPr>
        <w:jc w:val="both"/>
        <w:rPr>
          <w:rFonts w:asciiTheme="minorHAnsi" w:hAnsiTheme="minorHAnsi" w:cstheme="minorHAnsi"/>
          <w:sz w:val="22"/>
          <w:szCs w:val="22"/>
          <w:lang w:val="en-GB"/>
        </w:rPr>
        <w:sectPr w:rsidR="00C0068C" w:rsidRPr="003F55E0" w:rsidSect="0039152A">
          <w:headerReference w:type="default" r:id="rId12"/>
          <w:footerReference w:type="default" r:id="rId13"/>
          <w:pgSz w:w="11906" w:h="16838" w:code="9"/>
          <w:pgMar w:top="3402" w:right="1134" w:bottom="1843" w:left="1418" w:header="851" w:footer="459" w:gutter="0"/>
          <w:cols w:space="708"/>
          <w:docGrid w:linePitch="360"/>
        </w:sectPr>
      </w:pPr>
    </w:p>
    <w:p w14:paraId="4D345249" w14:textId="011BF1EE" w:rsidR="00C0068C" w:rsidRPr="003F55E0" w:rsidRDefault="00C0068C" w:rsidP="00C0068C">
      <w:pPr>
        <w:jc w:val="both"/>
        <w:rPr>
          <w:rFonts w:asciiTheme="minorHAnsi" w:hAnsiTheme="minorHAnsi" w:cstheme="minorHAnsi"/>
          <w:b/>
          <w:sz w:val="22"/>
          <w:szCs w:val="22"/>
          <w:lang w:val="en-GB"/>
        </w:rPr>
      </w:pPr>
      <w:bookmarkStart w:id="1" w:name="OLE_LINK1"/>
    </w:p>
    <w:p w14:paraId="698CC5BE" w14:textId="7A54AA62" w:rsidR="00C0068C" w:rsidRPr="003F55E0" w:rsidRDefault="00C0068C" w:rsidP="00C0068C">
      <w:pPr>
        <w:jc w:val="center"/>
        <w:rPr>
          <w:rFonts w:asciiTheme="minorHAnsi" w:hAnsiTheme="minorHAnsi" w:cstheme="minorHAnsi"/>
          <w:b/>
          <w:sz w:val="22"/>
          <w:szCs w:val="22"/>
          <w:lang w:val="en-GB"/>
        </w:rPr>
      </w:pPr>
    </w:p>
    <w:p w14:paraId="02541A2A" w14:textId="4883A2AE" w:rsidR="003A5418" w:rsidRPr="00CB2C78" w:rsidRDefault="00CB2C78" w:rsidP="00CB2C78">
      <w:pPr>
        <w:jc w:val="center"/>
        <w:rPr>
          <w:rFonts w:asciiTheme="minorHAnsi" w:hAnsiTheme="minorHAnsi" w:cstheme="minorHAnsi"/>
          <w:b/>
          <w:sz w:val="32"/>
          <w:szCs w:val="32"/>
          <w:lang w:val="en-GB"/>
        </w:rPr>
      </w:pPr>
      <w:r w:rsidRPr="00CB2C78">
        <w:rPr>
          <w:rFonts w:asciiTheme="minorHAnsi" w:hAnsiTheme="minorHAnsi" w:cstheme="minorHAnsi"/>
          <w:b/>
          <w:sz w:val="32"/>
          <w:szCs w:val="32"/>
          <w:lang w:val="en-GB"/>
        </w:rPr>
        <w:t xml:space="preserve">Despite </w:t>
      </w:r>
      <w:r w:rsidR="007F7010">
        <w:rPr>
          <w:rFonts w:asciiTheme="minorHAnsi" w:hAnsiTheme="minorHAnsi" w:cstheme="minorHAnsi"/>
          <w:b/>
          <w:sz w:val="32"/>
          <w:szCs w:val="32"/>
          <w:lang w:val="en-GB"/>
        </w:rPr>
        <w:t xml:space="preserve">the </w:t>
      </w:r>
      <w:r w:rsidRPr="00CB2C78">
        <w:rPr>
          <w:rFonts w:asciiTheme="minorHAnsi" w:hAnsiTheme="minorHAnsi" w:cstheme="minorHAnsi"/>
          <w:b/>
          <w:sz w:val="32"/>
          <w:szCs w:val="32"/>
          <w:lang w:val="en-GB"/>
        </w:rPr>
        <w:t xml:space="preserve">challenges, </w:t>
      </w:r>
      <w:r w:rsidR="007D01D5" w:rsidRPr="00CB2C78">
        <w:rPr>
          <w:rFonts w:asciiTheme="minorHAnsi" w:hAnsiTheme="minorHAnsi" w:cstheme="minorHAnsi"/>
          <w:b/>
          <w:sz w:val="32"/>
          <w:szCs w:val="32"/>
          <w:lang w:val="en-GB"/>
        </w:rPr>
        <w:t>INA’s financial position remains robust</w:t>
      </w:r>
    </w:p>
    <w:p w14:paraId="60B68759" w14:textId="77777777" w:rsidR="007D01D5" w:rsidRPr="003F55E0" w:rsidRDefault="007D01D5" w:rsidP="00776947">
      <w:pPr>
        <w:rPr>
          <w:rFonts w:asciiTheme="minorHAnsi" w:hAnsiTheme="minorHAnsi" w:cstheme="minorHAnsi"/>
          <w:b/>
          <w:lang w:val="en-GB"/>
        </w:rPr>
      </w:pPr>
    </w:p>
    <w:p w14:paraId="43F3D4F7" w14:textId="53952F31" w:rsidR="006353CC" w:rsidRPr="003F55E0" w:rsidRDefault="00B90A2E" w:rsidP="009A4026">
      <w:pPr>
        <w:pStyle w:val="ListParagraph"/>
        <w:numPr>
          <w:ilvl w:val="0"/>
          <w:numId w:val="32"/>
        </w:numPr>
        <w:spacing w:after="120"/>
        <w:jc w:val="both"/>
        <w:rPr>
          <w:rFonts w:asciiTheme="minorHAnsi" w:hAnsiTheme="minorHAnsi" w:cstheme="minorHAnsi"/>
          <w:b/>
          <w:lang w:val="en-GB"/>
        </w:rPr>
      </w:pPr>
      <w:r w:rsidRPr="003F55E0">
        <w:rPr>
          <w:rFonts w:asciiTheme="minorHAnsi" w:hAnsiTheme="minorHAnsi" w:cstheme="minorHAnsi"/>
          <w:b/>
          <w:lang w:val="en-GB"/>
        </w:rPr>
        <w:t>In terms of external environment</w:t>
      </w:r>
      <w:r w:rsidR="001C4FAA" w:rsidRPr="003F55E0">
        <w:rPr>
          <w:rFonts w:asciiTheme="minorHAnsi" w:hAnsiTheme="minorHAnsi" w:cstheme="minorHAnsi"/>
          <w:b/>
          <w:lang w:val="en-GB"/>
        </w:rPr>
        <w:t>,</w:t>
      </w:r>
      <w:r w:rsidRPr="003F55E0">
        <w:rPr>
          <w:rFonts w:asciiTheme="minorHAnsi" w:hAnsiTheme="minorHAnsi" w:cstheme="minorHAnsi"/>
          <w:b/>
          <w:lang w:val="en-GB"/>
        </w:rPr>
        <w:t xml:space="preserve"> </w:t>
      </w:r>
      <w:r w:rsidR="00657979">
        <w:rPr>
          <w:rFonts w:asciiTheme="minorHAnsi" w:hAnsiTheme="minorHAnsi" w:cstheme="minorHAnsi"/>
          <w:b/>
          <w:lang w:val="en-GB"/>
        </w:rPr>
        <w:t>the first half of</w:t>
      </w:r>
      <w:r w:rsidRPr="003F55E0">
        <w:rPr>
          <w:rFonts w:asciiTheme="minorHAnsi" w:hAnsiTheme="minorHAnsi" w:cstheme="minorHAnsi"/>
          <w:b/>
          <w:lang w:val="en-GB"/>
        </w:rPr>
        <w:t xml:space="preserve"> 2023 was marked by </w:t>
      </w:r>
      <w:r w:rsidR="00CF77E0" w:rsidRPr="00CF77E0">
        <w:rPr>
          <w:rFonts w:asciiTheme="minorHAnsi" w:hAnsiTheme="minorHAnsi" w:cstheme="minorHAnsi"/>
          <w:b/>
          <w:lang w:val="en-GB"/>
        </w:rPr>
        <w:t>stabilization of oil price</w:t>
      </w:r>
      <w:r w:rsidR="00CF77E0">
        <w:rPr>
          <w:rFonts w:asciiTheme="minorHAnsi" w:hAnsiTheme="minorHAnsi" w:cstheme="minorHAnsi"/>
          <w:b/>
          <w:lang w:val="en-GB"/>
        </w:rPr>
        <w:t>,</w:t>
      </w:r>
      <w:r w:rsidR="00CF77E0" w:rsidRPr="00CF77E0">
        <w:rPr>
          <w:rFonts w:asciiTheme="minorHAnsi" w:hAnsiTheme="minorHAnsi" w:cstheme="minorHAnsi"/>
          <w:b/>
          <w:lang w:val="en-GB"/>
        </w:rPr>
        <w:t xml:space="preserve"> decline in gas prices </w:t>
      </w:r>
      <w:r w:rsidRPr="003F55E0">
        <w:rPr>
          <w:rFonts w:asciiTheme="minorHAnsi" w:hAnsiTheme="minorHAnsi" w:cstheme="minorHAnsi"/>
          <w:b/>
          <w:lang w:val="en-GB"/>
        </w:rPr>
        <w:t>and continuation of regulatory constraints</w:t>
      </w:r>
      <w:r w:rsidR="009D3923" w:rsidRPr="003F55E0">
        <w:rPr>
          <w:rFonts w:asciiTheme="minorHAnsi" w:hAnsiTheme="minorHAnsi" w:cstheme="minorHAnsi"/>
          <w:b/>
          <w:lang w:val="en-GB"/>
        </w:rPr>
        <w:t>, which had</w:t>
      </w:r>
      <w:r w:rsidR="00FC5CC3" w:rsidRPr="003F55E0">
        <w:rPr>
          <w:rFonts w:asciiTheme="minorHAnsi" w:hAnsiTheme="minorHAnsi" w:cstheme="minorHAnsi"/>
          <w:b/>
          <w:lang w:val="en-GB"/>
        </w:rPr>
        <w:t xml:space="preserve"> a negative impact on </w:t>
      </w:r>
      <w:r w:rsidR="006D39BE">
        <w:rPr>
          <w:rFonts w:asciiTheme="minorHAnsi" w:hAnsiTheme="minorHAnsi" w:cstheme="minorHAnsi"/>
          <w:b/>
          <w:lang w:val="en-GB"/>
        </w:rPr>
        <w:t>H1</w:t>
      </w:r>
      <w:r w:rsidR="009D3923" w:rsidRPr="003F55E0">
        <w:rPr>
          <w:rFonts w:asciiTheme="minorHAnsi" w:hAnsiTheme="minorHAnsi" w:cstheme="minorHAnsi"/>
          <w:b/>
          <w:lang w:val="en-GB"/>
        </w:rPr>
        <w:t xml:space="preserve"> </w:t>
      </w:r>
      <w:r w:rsidR="00C051CC" w:rsidRPr="003F55E0">
        <w:rPr>
          <w:rFonts w:asciiTheme="minorHAnsi" w:hAnsiTheme="minorHAnsi" w:cstheme="minorHAnsi"/>
          <w:b/>
          <w:lang w:val="en-GB"/>
        </w:rPr>
        <w:t xml:space="preserve">2023 </w:t>
      </w:r>
      <w:r w:rsidR="009D3923" w:rsidRPr="003F55E0">
        <w:rPr>
          <w:rFonts w:asciiTheme="minorHAnsi" w:hAnsiTheme="minorHAnsi" w:cstheme="minorHAnsi"/>
          <w:b/>
          <w:lang w:val="en-GB"/>
        </w:rPr>
        <w:t>result.</w:t>
      </w:r>
    </w:p>
    <w:p w14:paraId="33227FE0" w14:textId="77777777" w:rsidR="009A4026" w:rsidRPr="003F55E0" w:rsidRDefault="009A4026" w:rsidP="009A4026">
      <w:pPr>
        <w:pStyle w:val="ListParagraph"/>
        <w:spacing w:after="120"/>
        <w:jc w:val="both"/>
        <w:rPr>
          <w:rFonts w:asciiTheme="minorHAnsi" w:hAnsiTheme="minorHAnsi" w:cstheme="minorHAnsi"/>
          <w:b/>
          <w:lang w:val="en-GB"/>
        </w:rPr>
      </w:pPr>
    </w:p>
    <w:p w14:paraId="455FF1C4" w14:textId="6DAD1B57" w:rsidR="004A4ED5" w:rsidRPr="00F7439E" w:rsidRDefault="00494525" w:rsidP="009077E7">
      <w:pPr>
        <w:pStyle w:val="ListParagraph"/>
        <w:numPr>
          <w:ilvl w:val="0"/>
          <w:numId w:val="32"/>
        </w:numPr>
        <w:spacing w:after="120"/>
        <w:jc w:val="both"/>
        <w:rPr>
          <w:rFonts w:asciiTheme="minorHAnsi" w:hAnsiTheme="minorHAnsi" w:cstheme="minorHAnsi"/>
          <w:b/>
          <w:lang w:val="en-GB"/>
        </w:rPr>
      </w:pPr>
      <w:r w:rsidRPr="00F7439E">
        <w:rPr>
          <w:rFonts w:asciiTheme="minorHAnsi" w:hAnsiTheme="minorHAnsi" w:cstheme="minorHAnsi"/>
          <w:b/>
          <w:lang w:val="en-GB"/>
        </w:rPr>
        <w:t>In line with the reduced prices, EBITDA of Exploration and Production declined by 22%, still staying rather strong with EUR 214 million in first half of 2023</w:t>
      </w:r>
      <w:r w:rsidR="00297125" w:rsidRPr="00F7439E">
        <w:rPr>
          <w:rFonts w:asciiTheme="minorHAnsi" w:hAnsiTheme="minorHAnsi" w:cstheme="minorHAnsi"/>
          <w:b/>
          <w:lang w:val="en-GB"/>
        </w:rPr>
        <w:t xml:space="preserve">. </w:t>
      </w:r>
      <w:r w:rsidR="004A4ED5" w:rsidRPr="00F7439E">
        <w:rPr>
          <w:rFonts w:asciiTheme="minorHAnsi" w:hAnsiTheme="minorHAnsi" w:cstheme="minorHAnsi"/>
          <w:b/>
          <w:lang w:val="en-GB"/>
        </w:rPr>
        <w:t>Natural decline of production amounted to only 3%, which is a good result taking into consideration the portfolio maturity.</w:t>
      </w:r>
    </w:p>
    <w:p w14:paraId="0CCABDA7" w14:textId="77777777" w:rsidR="004A4ED5" w:rsidRPr="004A4ED5" w:rsidRDefault="004A4ED5" w:rsidP="004A4ED5">
      <w:pPr>
        <w:pStyle w:val="ListParagraph"/>
        <w:rPr>
          <w:rFonts w:asciiTheme="minorHAnsi" w:hAnsiTheme="minorHAnsi" w:cstheme="minorHAnsi"/>
          <w:b/>
          <w:lang w:val="en-GB"/>
        </w:rPr>
      </w:pPr>
    </w:p>
    <w:p w14:paraId="48741C0F" w14:textId="7B2C3E04" w:rsidR="004A4ED5" w:rsidRPr="004A4ED5" w:rsidRDefault="004A4ED5" w:rsidP="00B37CB2">
      <w:pPr>
        <w:pStyle w:val="ListParagraph"/>
        <w:numPr>
          <w:ilvl w:val="0"/>
          <w:numId w:val="32"/>
        </w:numPr>
        <w:spacing w:after="120"/>
        <w:jc w:val="both"/>
        <w:rPr>
          <w:rFonts w:asciiTheme="minorHAnsi" w:hAnsiTheme="minorHAnsi" w:cstheme="minorHAnsi"/>
          <w:b/>
          <w:lang w:val="en-GB"/>
        </w:rPr>
      </w:pPr>
      <w:r w:rsidRPr="004A4ED5">
        <w:rPr>
          <w:rFonts w:asciiTheme="minorHAnsi" w:hAnsiTheme="minorHAnsi" w:cstheme="minorHAnsi"/>
          <w:b/>
          <w:lang w:val="en-GB"/>
        </w:rPr>
        <w:t>Refining and Marketing incl. Consumer services and Retail segment result remains negatively impacted by adverse margin environment, although the sales on captive markets stayed strong</w:t>
      </w:r>
      <w:r>
        <w:rPr>
          <w:rFonts w:asciiTheme="minorHAnsi" w:hAnsiTheme="minorHAnsi" w:cstheme="minorHAnsi"/>
          <w:b/>
          <w:lang w:val="en-GB"/>
        </w:rPr>
        <w:t>.</w:t>
      </w:r>
    </w:p>
    <w:p w14:paraId="2AC454B7" w14:textId="77777777" w:rsidR="004A4ED5" w:rsidRDefault="004A4ED5" w:rsidP="00433F2A">
      <w:pPr>
        <w:pStyle w:val="ListParagraph"/>
        <w:rPr>
          <w:rFonts w:asciiTheme="minorHAnsi" w:hAnsiTheme="minorHAnsi" w:cstheme="minorHAnsi"/>
          <w:b/>
          <w:lang w:val="en-GB"/>
        </w:rPr>
      </w:pPr>
    </w:p>
    <w:p w14:paraId="1FD25C8C" w14:textId="2A7DD5A4" w:rsidR="005A407C" w:rsidRPr="00FB6F58" w:rsidRDefault="00F84A86" w:rsidP="00D805F4">
      <w:pPr>
        <w:pStyle w:val="ListParagraph"/>
        <w:numPr>
          <w:ilvl w:val="0"/>
          <w:numId w:val="32"/>
        </w:numPr>
        <w:spacing w:after="120"/>
        <w:jc w:val="both"/>
        <w:rPr>
          <w:rFonts w:asciiTheme="minorHAnsi" w:hAnsiTheme="minorHAnsi" w:cstheme="minorHAnsi"/>
          <w:b/>
          <w:lang w:val="en-GB"/>
        </w:rPr>
      </w:pPr>
      <w:r w:rsidRPr="00FB6F58">
        <w:rPr>
          <w:rFonts w:asciiTheme="minorHAnsi" w:hAnsiTheme="minorHAnsi" w:cstheme="minorHAnsi"/>
          <w:b/>
          <w:lang w:val="en-GB"/>
        </w:rPr>
        <w:t>Investment activities resulted in EUR 21</w:t>
      </w:r>
      <w:r w:rsidR="001263D6">
        <w:rPr>
          <w:rFonts w:asciiTheme="minorHAnsi" w:hAnsiTheme="minorHAnsi" w:cstheme="minorHAnsi"/>
          <w:b/>
          <w:lang w:val="en-GB"/>
        </w:rPr>
        <w:t>8</w:t>
      </w:r>
      <w:r w:rsidRPr="00FB6F58">
        <w:rPr>
          <w:rFonts w:asciiTheme="minorHAnsi" w:hAnsiTheme="minorHAnsi" w:cstheme="minorHAnsi"/>
          <w:b/>
          <w:lang w:val="en-GB"/>
        </w:rPr>
        <w:t xml:space="preserve"> million spending, out of which EUR 85 million is related to acquisition of 25.25% share in OMV Slovenija d.o.o., increasing INA’s share to 33%, in addition to EUR </w:t>
      </w:r>
      <w:r w:rsidR="00240342">
        <w:rPr>
          <w:rFonts w:asciiTheme="minorHAnsi" w:hAnsiTheme="minorHAnsi" w:cstheme="minorHAnsi"/>
          <w:b/>
          <w:lang w:val="en-GB"/>
        </w:rPr>
        <w:t>132</w:t>
      </w:r>
      <w:r w:rsidR="00240342" w:rsidRPr="00FB6F58">
        <w:rPr>
          <w:rFonts w:asciiTheme="minorHAnsi" w:hAnsiTheme="minorHAnsi" w:cstheme="minorHAnsi"/>
          <w:b/>
          <w:lang w:val="en-GB"/>
        </w:rPr>
        <w:t xml:space="preserve"> </w:t>
      </w:r>
      <w:r w:rsidRPr="00FB6F58">
        <w:rPr>
          <w:rFonts w:asciiTheme="minorHAnsi" w:hAnsiTheme="minorHAnsi" w:cstheme="minorHAnsi"/>
          <w:b/>
          <w:lang w:val="en-GB"/>
        </w:rPr>
        <w:t>million of Capital Expenditures</w:t>
      </w:r>
      <w:r w:rsidR="00623B67">
        <w:rPr>
          <w:rFonts w:asciiTheme="minorHAnsi" w:hAnsiTheme="minorHAnsi" w:cstheme="minorHAnsi"/>
          <w:b/>
          <w:lang w:val="en-GB"/>
        </w:rPr>
        <w:t xml:space="preserve"> (CAPEX)</w:t>
      </w:r>
      <w:r w:rsidRPr="00FB6F58">
        <w:rPr>
          <w:rFonts w:asciiTheme="minorHAnsi" w:hAnsiTheme="minorHAnsi" w:cstheme="minorHAnsi"/>
          <w:b/>
          <w:lang w:val="en-GB"/>
        </w:rPr>
        <w:t>. Rijeka Refinery Upgrade Project</w:t>
      </w:r>
      <w:r w:rsidR="002E2E7E">
        <w:rPr>
          <w:rFonts w:asciiTheme="minorHAnsi" w:hAnsiTheme="minorHAnsi" w:cstheme="minorHAnsi"/>
          <w:b/>
          <w:lang w:val="en-GB"/>
        </w:rPr>
        <w:t>,</w:t>
      </w:r>
      <w:r w:rsidR="00FB6F58" w:rsidRPr="00FB6F58">
        <w:rPr>
          <w:rFonts w:asciiTheme="minorHAnsi" w:hAnsiTheme="minorHAnsi" w:cstheme="minorHAnsi"/>
          <w:b/>
          <w:lang w:val="en-GB"/>
        </w:rPr>
        <w:t xml:space="preserve"> </w:t>
      </w:r>
      <w:r w:rsidR="00FB6F58" w:rsidRPr="003F55E0">
        <w:rPr>
          <w:rFonts w:asciiTheme="minorHAnsi" w:hAnsiTheme="minorHAnsi" w:cstheme="minorHAnsi"/>
          <w:b/>
          <w:lang w:val="en-GB"/>
        </w:rPr>
        <w:t xml:space="preserve">which reached </w:t>
      </w:r>
      <w:r w:rsidR="00FB6F58" w:rsidRPr="000D375C">
        <w:rPr>
          <w:rFonts w:asciiTheme="minorHAnsi" w:hAnsiTheme="minorHAnsi" w:cstheme="minorHAnsi"/>
          <w:b/>
          <w:lang w:val="en-GB"/>
        </w:rPr>
        <w:t>7</w:t>
      </w:r>
      <w:r w:rsidR="000D375C" w:rsidRPr="00612708">
        <w:rPr>
          <w:rFonts w:asciiTheme="minorHAnsi" w:hAnsiTheme="minorHAnsi" w:cstheme="minorHAnsi"/>
          <w:b/>
          <w:lang w:val="en-GB"/>
        </w:rPr>
        <w:t>8</w:t>
      </w:r>
      <w:r w:rsidR="00FB6F58" w:rsidRPr="000D375C">
        <w:rPr>
          <w:rFonts w:asciiTheme="minorHAnsi" w:hAnsiTheme="minorHAnsi" w:cstheme="minorHAnsi"/>
          <w:b/>
          <w:lang w:val="en-GB"/>
        </w:rPr>
        <w:t>%</w:t>
      </w:r>
      <w:r w:rsidR="00FB6F58" w:rsidRPr="003F55E0">
        <w:rPr>
          <w:rFonts w:asciiTheme="minorHAnsi" w:hAnsiTheme="minorHAnsi" w:cstheme="minorHAnsi"/>
          <w:b/>
          <w:lang w:val="en-GB"/>
        </w:rPr>
        <w:t xml:space="preserve"> completion in </w:t>
      </w:r>
      <w:r w:rsidR="005E5C4D">
        <w:rPr>
          <w:rFonts w:asciiTheme="minorHAnsi" w:hAnsiTheme="minorHAnsi" w:cstheme="minorHAnsi"/>
          <w:b/>
          <w:lang w:val="en-GB"/>
        </w:rPr>
        <w:t>H1</w:t>
      </w:r>
      <w:r w:rsidR="00FB6F58" w:rsidRPr="003F55E0">
        <w:rPr>
          <w:rFonts w:asciiTheme="minorHAnsi" w:hAnsiTheme="minorHAnsi" w:cstheme="minorHAnsi"/>
          <w:b/>
          <w:lang w:val="en-GB"/>
        </w:rPr>
        <w:t xml:space="preserve"> 2023</w:t>
      </w:r>
      <w:r w:rsidR="002E2E7E">
        <w:rPr>
          <w:rFonts w:asciiTheme="minorHAnsi" w:hAnsiTheme="minorHAnsi" w:cstheme="minorHAnsi"/>
          <w:b/>
          <w:lang w:val="en-GB"/>
        </w:rPr>
        <w:t>,</w:t>
      </w:r>
      <w:r w:rsidRPr="00FB6F58">
        <w:rPr>
          <w:rFonts w:asciiTheme="minorHAnsi" w:hAnsiTheme="minorHAnsi" w:cstheme="minorHAnsi"/>
          <w:b/>
          <w:lang w:val="en-GB"/>
        </w:rPr>
        <w:t xml:space="preserve"> remained </w:t>
      </w:r>
      <w:r w:rsidR="00FB6F58" w:rsidRPr="00FB6F58">
        <w:rPr>
          <w:rFonts w:asciiTheme="minorHAnsi" w:hAnsiTheme="minorHAnsi" w:cstheme="minorHAnsi"/>
          <w:b/>
          <w:lang w:val="en-GB"/>
        </w:rPr>
        <w:t xml:space="preserve">in </w:t>
      </w:r>
      <w:r w:rsidRPr="00FB6F58">
        <w:rPr>
          <w:rFonts w:asciiTheme="minorHAnsi" w:hAnsiTheme="minorHAnsi" w:cstheme="minorHAnsi"/>
          <w:b/>
          <w:lang w:val="en-GB"/>
        </w:rPr>
        <w:t xml:space="preserve">the focus of </w:t>
      </w:r>
      <w:r w:rsidR="00623B67">
        <w:rPr>
          <w:rFonts w:asciiTheme="minorHAnsi" w:hAnsiTheme="minorHAnsi" w:cstheme="minorHAnsi"/>
          <w:b/>
          <w:lang w:val="en-GB"/>
        </w:rPr>
        <w:t>CAPEX</w:t>
      </w:r>
      <w:r w:rsidRPr="00FB6F58">
        <w:rPr>
          <w:rFonts w:asciiTheme="minorHAnsi" w:hAnsiTheme="minorHAnsi" w:cstheme="minorHAnsi"/>
          <w:b/>
          <w:lang w:val="en-GB"/>
        </w:rPr>
        <w:t xml:space="preserve">. </w:t>
      </w:r>
    </w:p>
    <w:p w14:paraId="64352160" w14:textId="77777777" w:rsidR="005A407C" w:rsidRPr="005A407C" w:rsidRDefault="005A407C" w:rsidP="005A407C">
      <w:pPr>
        <w:pStyle w:val="ListParagraph"/>
        <w:rPr>
          <w:rFonts w:asciiTheme="minorHAnsi" w:hAnsiTheme="minorHAnsi" w:cstheme="minorHAnsi"/>
          <w:sz w:val="22"/>
          <w:szCs w:val="22"/>
          <w:lang w:val="en-GB"/>
        </w:rPr>
      </w:pPr>
    </w:p>
    <w:p w14:paraId="238CB85E" w14:textId="315187C5" w:rsidR="00F84A86" w:rsidRPr="00FB6F58" w:rsidRDefault="00F84A86" w:rsidP="00F84A86">
      <w:pPr>
        <w:pStyle w:val="ListParagraph"/>
        <w:numPr>
          <w:ilvl w:val="0"/>
          <w:numId w:val="32"/>
        </w:numPr>
        <w:spacing w:after="120"/>
        <w:jc w:val="both"/>
        <w:rPr>
          <w:rFonts w:asciiTheme="minorHAnsi" w:hAnsiTheme="minorHAnsi" w:cstheme="minorHAnsi"/>
          <w:b/>
          <w:lang w:val="en-GB"/>
        </w:rPr>
      </w:pPr>
      <w:r w:rsidRPr="00FB6F58">
        <w:rPr>
          <w:rFonts w:asciiTheme="minorHAnsi" w:hAnsiTheme="minorHAnsi" w:cstheme="minorHAnsi"/>
          <w:b/>
          <w:lang w:val="en-GB"/>
        </w:rPr>
        <w:t>Financial position remains robust with net debt almost unchanged compared to the same period last year.</w:t>
      </w:r>
    </w:p>
    <w:p w14:paraId="1BA94574" w14:textId="77777777" w:rsidR="00B90A2E" w:rsidRDefault="00B90A2E" w:rsidP="00B63859">
      <w:pPr>
        <w:pStyle w:val="ListParagraph"/>
        <w:spacing w:after="120"/>
        <w:ind w:left="0"/>
        <w:jc w:val="both"/>
        <w:rPr>
          <w:rFonts w:asciiTheme="minorHAnsi" w:hAnsiTheme="minorHAnsi" w:cstheme="minorHAnsi"/>
          <w:b/>
          <w:lang w:val="en-GB"/>
        </w:rPr>
      </w:pPr>
    </w:p>
    <w:p w14:paraId="331B594F" w14:textId="77777777" w:rsidR="00890BB2" w:rsidRPr="003F55E0" w:rsidRDefault="00890BB2" w:rsidP="00B63859">
      <w:pPr>
        <w:pStyle w:val="ListParagraph"/>
        <w:spacing w:after="120"/>
        <w:ind w:left="0"/>
        <w:jc w:val="both"/>
        <w:rPr>
          <w:rFonts w:asciiTheme="minorHAnsi" w:hAnsiTheme="minorHAnsi" w:cstheme="minorHAnsi"/>
          <w:b/>
          <w:lang w:val="en-GB"/>
        </w:rPr>
      </w:pPr>
    </w:p>
    <w:p w14:paraId="123AA7C6" w14:textId="6C7FF564" w:rsidR="00C0068C" w:rsidRPr="003F55E0" w:rsidRDefault="00C0068C" w:rsidP="00F848DD">
      <w:pPr>
        <w:pStyle w:val="ListParagraph"/>
        <w:spacing w:line="360" w:lineRule="auto"/>
        <w:ind w:left="0"/>
        <w:jc w:val="both"/>
        <w:rPr>
          <w:rFonts w:asciiTheme="minorHAnsi" w:hAnsiTheme="minorHAnsi" w:cstheme="minorHAnsi"/>
          <w:b/>
          <w:lang w:val="en-GB"/>
        </w:rPr>
      </w:pPr>
      <w:r w:rsidRPr="003F55E0">
        <w:rPr>
          <w:rFonts w:asciiTheme="minorHAnsi" w:hAnsiTheme="minorHAnsi" w:cstheme="minorHAnsi"/>
          <w:b/>
          <w:lang w:val="en-GB"/>
        </w:rPr>
        <w:t xml:space="preserve">Key </w:t>
      </w:r>
      <w:r w:rsidR="00604157" w:rsidRPr="003F55E0">
        <w:rPr>
          <w:rFonts w:asciiTheme="minorHAnsi" w:hAnsiTheme="minorHAnsi" w:cstheme="minorHAnsi"/>
          <w:b/>
          <w:lang w:val="en-GB"/>
        </w:rPr>
        <w:t>figures</w:t>
      </w:r>
      <w:r w:rsidRPr="003F55E0">
        <w:rPr>
          <w:rFonts w:asciiTheme="minorHAnsi" w:hAnsiTheme="minorHAnsi" w:cstheme="minorHAnsi"/>
          <w:b/>
          <w:lang w:val="en-GB"/>
        </w:rPr>
        <w:t>:</w:t>
      </w:r>
    </w:p>
    <w:p w14:paraId="6F4302D6" w14:textId="04D7BE8C" w:rsidR="00C0068C" w:rsidRPr="003F55E0" w:rsidRDefault="00C0068C" w:rsidP="00C0068C">
      <w:pPr>
        <w:pStyle w:val="ListParagraph"/>
        <w:numPr>
          <w:ilvl w:val="0"/>
          <w:numId w:val="1"/>
        </w:numPr>
        <w:spacing w:line="360" w:lineRule="auto"/>
        <w:jc w:val="both"/>
        <w:rPr>
          <w:rFonts w:asciiTheme="minorHAnsi" w:hAnsiTheme="minorHAnsi" w:cstheme="minorHAnsi"/>
          <w:b/>
          <w:bCs/>
          <w:lang w:val="en-GB"/>
        </w:rPr>
      </w:pPr>
      <w:r w:rsidRPr="003F55E0">
        <w:rPr>
          <w:rFonts w:asciiTheme="minorHAnsi" w:hAnsiTheme="minorHAnsi" w:cstheme="minorHAnsi"/>
          <w:b/>
          <w:bCs/>
          <w:lang w:val="en-GB"/>
        </w:rPr>
        <w:t xml:space="preserve">Net sales revenues amounted to </w:t>
      </w:r>
      <w:r w:rsidR="00FA09CA" w:rsidRPr="003F55E0">
        <w:rPr>
          <w:rFonts w:asciiTheme="minorHAnsi" w:hAnsiTheme="minorHAnsi" w:cstheme="minorHAnsi"/>
          <w:b/>
          <w:bCs/>
          <w:lang w:val="en-GB"/>
        </w:rPr>
        <w:t xml:space="preserve">EUR </w:t>
      </w:r>
      <w:r w:rsidR="00742C7A">
        <w:rPr>
          <w:rFonts w:asciiTheme="minorHAnsi" w:hAnsiTheme="minorHAnsi" w:cstheme="minorHAnsi"/>
          <w:b/>
          <w:bCs/>
          <w:lang w:val="en-GB"/>
        </w:rPr>
        <w:t>1.7</w:t>
      </w:r>
      <w:r w:rsidR="00CE1EA3" w:rsidRPr="003F55E0">
        <w:rPr>
          <w:rFonts w:asciiTheme="minorHAnsi" w:hAnsiTheme="minorHAnsi" w:cstheme="minorHAnsi"/>
          <w:b/>
          <w:bCs/>
          <w:lang w:val="en-GB"/>
        </w:rPr>
        <w:t xml:space="preserve"> </w:t>
      </w:r>
      <w:r w:rsidR="00742C7A">
        <w:rPr>
          <w:rFonts w:asciiTheme="minorHAnsi" w:hAnsiTheme="minorHAnsi" w:cstheme="minorHAnsi"/>
          <w:b/>
          <w:bCs/>
          <w:lang w:val="en-GB"/>
        </w:rPr>
        <w:t>b</w:t>
      </w:r>
      <w:r w:rsidR="003A0B54" w:rsidRPr="003F55E0">
        <w:rPr>
          <w:rFonts w:asciiTheme="minorHAnsi" w:hAnsiTheme="minorHAnsi" w:cstheme="minorHAnsi"/>
          <w:b/>
          <w:bCs/>
          <w:lang w:val="en-GB"/>
        </w:rPr>
        <w:t>ln</w:t>
      </w:r>
    </w:p>
    <w:p w14:paraId="78D0B683" w14:textId="090C4F19" w:rsidR="00C0068C" w:rsidRPr="003F55E0" w:rsidRDefault="009A2B29" w:rsidP="00C0068C">
      <w:pPr>
        <w:pStyle w:val="ListParagraph"/>
        <w:numPr>
          <w:ilvl w:val="0"/>
          <w:numId w:val="1"/>
        </w:numPr>
        <w:spacing w:line="360" w:lineRule="auto"/>
        <w:jc w:val="both"/>
        <w:rPr>
          <w:rFonts w:asciiTheme="minorHAnsi" w:hAnsiTheme="minorHAnsi" w:cstheme="minorHAnsi"/>
          <w:b/>
          <w:bCs/>
          <w:lang w:val="en-GB"/>
        </w:rPr>
      </w:pPr>
      <w:r w:rsidRPr="003F55E0">
        <w:rPr>
          <w:rFonts w:asciiTheme="minorHAnsi" w:hAnsiTheme="minorHAnsi" w:cstheme="minorHAnsi"/>
          <w:b/>
          <w:bCs/>
          <w:lang w:val="en-GB"/>
        </w:rPr>
        <w:t xml:space="preserve">CCS </w:t>
      </w:r>
      <w:r w:rsidR="002C08C0" w:rsidRPr="003F55E0">
        <w:rPr>
          <w:rFonts w:asciiTheme="minorHAnsi" w:hAnsiTheme="minorHAnsi" w:cstheme="minorHAnsi"/>
          <w:b/>
          <w:bCs/>
          <w:lang w:val="en-GB"/>
        </w:rPr>
        <w:t>EBIT</w:t>
      </w:r>
      <w:r w:rsidR="00C0068C" w:rsidRPr="003F55E0">
        <w:rPr>
          <w:rFonts w:asciiTheme="minorHAnsi" w:hAnsiTheme="minorHAnsi" w:cstheme="minorHAnsi"/>
          <w:b/>
          <w:bCs/>
          <w:lang w:val="en-GB"/>
        </w:rPr>
        <w:t xml:space="preserve">DA amounted to </w:t>
      </w:r>
      <w:r w:rsidR="00364F23" w:rsidRPr="003F55E0">
        <w:rPr>
          <w:rFonts w:asciiTheme="minorHAnsi" w:hAnsiTheme="minorHAnsi" w:cstheme="minorHAnsi"/>
          <w:b/>
          <w:bCs/>
          <w:lang w:val="en-GB"/>
        </w:rPr>
        <w:t xml:space="preserve">EUR </w:t>
      </w:r>
      <w:r w:rsidR="00117BDF">
        <w:rPr>
          <w:rFonts w:asciiTheme="minorHAnsi" w:hAnsiTheme="minorHAnsi" w:cstheme="minorHAnsi"/>
          <w:b/>
          <w:bCs/>
          <w:lang w:val="en-GB"/>
        </w:rPr>
        <w:t>163.6</w:t>
      </w:r>
      <w:r w:rsidR="00C051CC" w:rsidRPr="003F55E0">
        <w:rPr>
          <w:rFonts w:asciiTheme="minorHAnsi" w:hAnsiTheme="minorHAnsi" w:cstheme="minorHAnsi"/>
          <w:b/>
          <w:bCs/>
          <w:lang w:val="en-GB"/>
        </w:rPr>
        <w:t xml:space="preserve"> </w:t>
      </w:r>
      <w:r w:rsidR="003C65FB" w:rsidRPr="003F55E0">
        <w:rPr>
          <w:rFonts w:asciiTheme="minorHAnsi" w:hAnsiTheme="minorHAnsi" w:cstheme="minorHAnsi"/>
          <w:b/>
          <w:bCs/>
          <w:lang w:val="en-GB"/>
        </w:rPr>
        <w:t>mln</w:t>
      </w:r>
    </w:p>
    <w:p w14:paraId="79F6B9A5" w14:textId="323BC434" w:rsidR="00C0068C" w:rsidRPr="003F55E0" w:rsidRDefault="00240342" w:rsidP="00C0068C">
      <w:pPr>
        <w:pStyle w:val="ListParagraph"/>
        <w:numPr>
          <w:ilvl w:val="0"/>
          <w:numId w:val="1"/>
        </w:numPr>
        <w:spacing w:line="360" w:lineRule="auto"/>
        <w:jc w:val="both"/>
        <w:rPr>
          <w:rFonts w:asciiTheme="minorHAnsi" w:hAnsiTheme="minorHAnsi" w:cstheme="minorHAnsi"/>
          <w:b/>
          <w:bCs/>
          <w:lang w:val="en-GB"/>
        </w:rPr>
      </w:pPr>
      <w:r>
        <w:rPr>
          <w:rFonts w:asciiTheme="minorHAnsi" w:hAnsiTheme="minorHAnsi" w:cstheme="minorHAnsi"/>
          <w:b/>
          <w:bCs/>
          <w:lang w:val="en-GB"/>
        </w:rPr>
        <w:t>Investments</w:t>
      </w:r>
      <w:r w:rsidRPr="003F55E0">
        <w:rPr>
          <w:rFonts w:asciiTheme="minorHAnsi" w:hAnsiTheme="minorHAnsi" w:cstheme="minorHAnsi"/>
          <w:b/>
          <w:bCs/>
          <w:lang w:val="en-GB"/>
        </w:rPr>
        <w:t xml:space="preserve"> </w:t>
      </w:r>
      <w:r w:rsidR="00380A8E" w:rsidRPr="003F55E0">
        <w:rPr>
          <w:rFonts w:asciiTheme="minorHAnsi" w:hAnsiTheme="minorHAnsi" w:cstheme="minorHAnsi"/>
          <w:b/>
          <w:bCs/>
          <w:lang w:val="en-GB"/>
        </w:rPr>
        <w:t xml:space="preserve">amounted to </w:t>
      </w:r>
      <w:r w:rsidR="00CF0B87" w:rsidRPr="003F55E0">
        <w:rPr>
          <w:rFonts w:asciiTheme="minorHAnsi" w:hAnsiTheme="minorHAnsi" w:cstheme="minorHAnsi"/>
          <w:b/>
          <w:bCs/>
          <w:lang w:val="en-GB"/>
        </w:rPr>
        <w:t xml:space="preserve">EUR </w:t>
      </w:r>
      <w:r w:rsidR="00F84A86">
        <w:rPr>
          <w:rFonts w:asciiTheme="minorHAnsi" w:hAnsiTheme="minorHAnsi" w:cstheme="minorHAnsi"/>
          <w:b/>
          <w:bCs/>
          <w:lang w:val="en-GB"/>
        </w:rPr>
        <w:t>218</w:t>
      </w:r>
      <w:r w:rsidR="00380A8E" w:rsidRPr="003F55E0">
        <w:rPr>
          <w:rFonts w:asciiTheme="minorHAnsi" w:hAnsiTheme="minorHAnsi" w:cstheme="minorHAnsi"/>
          <w:b/>
          <w:bCs/>
          <w:lang w:val="en-GB"/>
        </w:rPr>
        <w:t xml:space="preserve"> mln</w:t>
      </w:r>
    </w:p>
    <w:p w14:paraId="0113F72D" w14:textId="77777777" w:rsidR="00C0068C" w:rsidRPr="003F55E0" w:rsidRDefault="00C0068C" w:rsidP="00C0068C">
      <w:pPr>
        <w:spacing w:line="360" w:lineRule="auto"/>
        <w:jc w:val="both"/>
        <w:rPr>
          <w:rFonts w:asciiTheme="minorHAnsi" w:hAnsiTheme="minorHAnsi" w:cstheme="minorHAnsi"/>
          <w:b/>
          <w:sz w:val="22"/>
          <w:szCs w:val="22"/>
          <w:lang w:val="en-GB"/>
        </w:rPr>
      </w:pPr>
    </w:p>
    <w:p w14:paraId="4D58F1C0" w14:textId="49B245C7" w:rsidR="007864BA" w:rsidRPr="003F55E0" w:rsidRDefault="007864BA" w:rsidP="00AA307B">
      <w:pPr>
        <w:spacing w:after="120"/>
        <w:jc w:val="both"/>
        <w:rPr>
          <w:rFonts w:asciiTheme="minorHAnsi" w:hAnsiTheme="minorHAnsi" w:cstheme="minorHAnsi"/>
          <w:b/>
          <w:sz w:val="16"/>
          <w:szCs w:val="16"/>
          <w:lang w:val="en-GB"/>
        </w:rPr>
      </w:pPr>
    </w:p>
    <w:p w14:paraId="7CFFBDC0" w14:textId="77777777" w:rsidR="00286F32" w:rsidRPr="003F55E0" w:rsidRDefault="00286F32" w:rsidP="00112844">
      <w:pPr>
        <w:spacing w:after="120"/>
        <w:jc w:val="both"/>
        <w:rPr>
          <w:rFonts w:asciiTheme="minorHAnsi" w:hAnsiTheme="minorHAnsi" w:cstheme="minorHAnsi"/>
          <w:b/>
          <w:sz w:val="22"/>
          <w:szCs w:val="22"/>
          <w:lang w:val="en-GB"/>
        </w:rPr>
      </w:pPr>
    </w:p>
    <w:p w14:paraId="22945C87" w14:textId="77777777" w:rsidR="00286F32" w:rsidRPr="003F55E0" w:rsidRDefault="00286F32" w:rsidP="00112844">
      <w:pPr>
        <w:spacing w:after="120"/>
        <w:jc w:val="both"/>
        <w:rPr>
          <w:rFonts w:asciiTheme="minorHAnsi" w:hAnsiTheme="minorHAnsi" w:cstheme="minorHAnsi"/>
          <w:b/>
          <w:sz w:val="22"/>
          <w:szCs w:val="22"/>
          <w:lang w:val="en-GB"/>
        </w:rPr>
      </w:pPr>
    </w:p>
    <w:p w14:paraId="27B1F7C7" w14:textId="77777777" w:rsidR="00AB35F1" w:rsidRPr="003F55E0" w:rsidRDefault="00AB35F1" w:rsidP="00112844">
      <w:pPr>
        <w:spacing w:after="120"/>
        <w:jc w:val="both"/>
        <w:rPr>
          <w:rFonts w:asciiTheme="minorHAnsi" w:hAnsiTheme="minorHAnsi" w:cstheme="minorHAnsi"/>
          <w:b/>
          <w:sz w:val="22"/>
          <w:szCs w:val="22"/>
          <w:lang w:val="en-GB"/>
        </w:rPr>
      </w:pPr>
    </w:p>
    <w:p w14:paraId="238FB34A" w14:textId="77777777" w:rsidR="00AB35F1" w:rsidRPr="003F55E0" w:rsidRDefault="00AB35F1" w:rsidP="00112844">
      <w:pPr>
        <w:spacing w:after="120"/>
        <w:jc w:val="both"/>
        <w:rPr>
          <w:rFonts w:asciiTheme="minorHAnsi" w:hAnsiTheme="minorHAnsi" w:cstheme="minorHAnsi"/>
          <w:b/>
          <w:sz w:val="22"/>
          <w:szCs w:val="22"/>
          <w:lang w:val="en-GB"/>
        </w:rPr>
      </w:pPr>
    </w:p>
    <w:p w14:paraId="0B6D7FD2" w14:textId="77777777" w:rsidR="00AB35F1" w:rsidRPr="003F55E0" w:rsidRDefault="00AB35F1" w:rsidP="00112844">
      <w:pPr>
        <w:spacing w:after="120"/>
        <w:jc w:val="both"/>
        <w:rPr>
          <w:rFonts w:asciiTheme="minorHAnsi" w:hAnsiTheme="minorHAnsi" w:cstheme="minorHAnsi"/>
          <w:b/>
          <w:sz w:val="22"/>
          <w:szCs w:val="22"/>
          <w:lang w:val="en-GB"/>
        </w:rPr>
      </w:pPr>
    </w:p>
    <w:p w14:paraId="5ACBE9C9" w14:textId="3023DF46" w:rsidR="001E281E" w:rsidRDefault="00C0068C" w:rsidP="00D049B2">
      <w:pPr>
        <w:spacing w:after="120"/>
        <w:jc w:val="both"/>
        <w:rPr>
          <w:rFonts w:asciiTheme="minorHAnsi" w:hAnsiTheme="minorHAnsi" w:cstheme="minorHAnsi"/>
          <w:sz w:val="22"/>
          <w:szCs w:val="22"/>
          <w:lang w:val="en-GB"/>
        </w:rPr>
      </w:pPr>
      <w:r w:rsidRPr="003F55E0">
        <w:rPr>
          <w:rFonts w:asciiTheme="minorHAnsi" w:hAnsiTheme="minorHAnsi" w:cstheme="minorHAnsi"/>
          <w:b/>
          <w:sz w:val="22"/>
          <w:szCs w:val="22"/>
          <w:lang w:val="en-GB"/>
        </w:rPr>
        <w:t xml:space="preserve">Zagreb, </w:t>
      </w:r>
      <w:r w:rsidR="00286F32" w:rsidRPr="003F55E0">
        <w:rPr>
          <w:rFonts w:asciiTheme="minorHAnsi" w:hAnsiTheme="minorHAnsi" w:cstheme="minorHAnsi"/>
          <w:b/>
          <w:sz w:val="22"/>
          <w:szCs w:val="22"/>
          <w:lang w:val="en-GB"/>
        </w:rPr>
        <w:t>2</w:t>
      </w:r>
      <w:r w:rsidR="001C6CF9">
        <w:rPr>
          <w:rFonts w:asciiTheme="minorHAnsi" w:hAnsiTheme="minorHAnsi" w:cstheme="minorHAnsi"/>
          <w:b/>
          <w:sz w:val="22"/>
          <w:szCs w:val="22"/>
          <w:lang w:val="en-GB"/>
        </w:rPr>
        <w:t xml:space="preserve">8 July </w:t>
      </w:r>
      <w:r w:rsidRPr="003F55E0">
        <w:rPr>
          <w:rFonts w:asciiTheme="minorHAnsi" w:hAnsiTheme="minorHAnsi" w:cstheme="minorHAnsi"/>
          <w:b/>
          <w:sz w:val="22"/>
          <w:szCs w:val="22"/>
          <w:lang w:val="en-GB"/>
        </w:rPr>
        <w:t>202</w:t>
      </w:r>
      <w:r w:rsidR="00732CA1" w:rsidRPr="003F55E0">
        <w:rPr>
          <w:rFonts w:asciiTheme="minorHAnsi" w:hAnsiTheme="minorHAnsi" w:cstheme="minorHAnsi"/>
          <w:b/>
          <w:sz w:val="22"/>
          <w:szCs w:val="22"/>
          <w:lang w:val="en-GB"/>
        </w:rPr>
        <w:t>3</w:t>
      </w:r>
      <w:r w:rsidRPr="003F55E0">
        <w:rPr>
          <w:rFonts w:asciiTheme="minorHAnsi" w:hAnsiTheme="minorHAnsi" w:cstheme="minorHAnsi"/>
          <w:b/>
          <w:sz w:val="22"/>
          <w:szCs w:val="22"/>
          <w:lang w:val="en-GB"/>
        </w:rPr>
        <w:t xml:space="preserve"> –</w:t>
      </w:r>
      <w:r w:rsidR="00231FCC" w:rsidRPr="003F55E0">
        <w:rPr>
          <w:rFonts w:asciiTheme="minorHAnsi" w:hAnsiTheme="minorHAnsi" w:cstheme="minorHAnsi"/>
          <w:sz w:val="22"/>
          <w:szCs w:val="22"/>
          <w:lang w:val="en-GB"/>
        </w:rPr>
        <w:t xml:space="preserve"> </w:t>
      </w:r>
      <w:r w:rsidR="00D049B2" w:rsidRPr="00D049B2">
        <w:rPr>
          <w:rFonts w:asciiTheme="minorHAnsi" w:hAnsiTheme="minorHAnsi" w:cstheme="minorHAnsi"/>
          <w:sz w:val="22"/>
          <w:szCs w:val="22"/>
          <w:lang w:val="en-GB"/>
        </w:rPr>
        <w:t xml:space="preserve">Continuation of 2023 brings stabilization of oil price and sharp decline in gas prices in </w:t>
      </w:r>
      <w:r w:rsidR="005E5C4D">
        <w:rPr>
          <w:rFonts w:asciiTheme="minorHAnsi" w:hAnsiTheme="minorHAnsi" w:cstheme="minorHAnsi"/>
          <w:sz w:val="22"/>
          <w:szCs w:val="22"/>
          <w:lang w:val="en-GB"/>
        </w:rPr>
        <w:t>H1</w:t>
      </w:r>
      <w:r w:rsidR="00D049B2" w:rsidRPr="00D049B2">
        <w:rPr>
          <w:rFonts w:asciiTheme="minorHAnsi" w:hAnsiTheme="minorHAnsi" w:cstheme="minorHAnsi"/>
          <w:sz w:val="22"/>
          <w:szCs w:val="22"/>
          <w:lang w:val="en-GB"/>
        </w:rPr>
        <w:t xml:space="preserve"> compared to the same period of 2022. The average realized hydrocarbon prices </w:t>
      </w:r>
      <w:r w:rsidR="00E77D7B">
        <w:rPr>
          <w:rFonts w:asciiTheme="minorHAnsi" w:hAnsiTheme="minorHAnsi" w:cstheme="minorHAnsi"/>
          <w:sz w:val="22"/>
          <w:szCs w:val="22"/>
          <w:lang w:val="en-GB"/>
        </w:rPr>
        <w:t>are</w:t>
      </w:r>
      <w:r w:rsidR="00D049B2">
        <w:rPr>
          <w:rFonts w:asciiTheme="minorHAnsi" w:hAnsiTheme="minorHAnsi" w:cstheme="minorHAnsi"/>
          <w:sz w:val="22"/>
          <w:szCs w:val="22"/>
          <w:lang w:val="en-GB"/>
        </w:rPr>
        <w:t xml:space="preserve"> </w:t>
      </w:r>
      <w:r w:rsidR="00D049B2" w:rsidRPr="00D049B2">
        <w:rPr>
          <w:rFonts w:asciiTheme="minorHAnsi" w:hAnsiTheme="minorHAnsi" w:cstheme="minorHAnsi"/>
          <w:sz w:val="22"/>
          <w:szCs w:val="22"/>
          <w:lang w:val="en-GB"/>
        </w:rPr>
        <w:t xml:space="preserve">reduced by 23%, which together with decreasing product price environment pushed the result down. </w:t>
      </w:r>
      <w:r w:rsidR="00C5768C" w:rsidRPr="001E281E">
        <w:rPr>
          <w:rFonts w:asciiTheme="minorHAnsi" w:hAnsiTheme="minorHAnsi" w:cstheme="minorHAnsi"/>
          <w:sz w:val="22"/>
          <w:szCs w:val="22"/>
          <w:lang w:val="en-GB"/>
        </w:rPr>
        <w:t xml:space="preserve">After 2022, which was </w:t>
      </w:r>
      <w:r w:rsidR="001E281E" w:rsidRPr="00D049B2">
        <w:rPr>
          <w:rFonts w:asciiTheme="minorHAnsi" w:hAnsiTheme="minorHAnsi" w:cstheme="minorHAnsi"/>
          <w:sz w:val="22"/>
          <w:szCs w:val="22"/>
          <w:lang w:val="en-GB"/>
        </w:rPr>
        <w:t>an extraordinary year for entire oil and gas industry</w:t>
      </w:r>
      <w:r w:rsidR="00C5768C" w:rsidRPr="001E281E">
        <w:rPr>
          <w:rFonts w:asciiTheme="minorHAnsi" w:hAnsiTheme="minorHAnsi" w:cstheme="minorHAnsi"/>
          <w:sz w:val="22"/>
          <w:szCs w:val="22"/>
          <w:lang w:val="en-GB"/>
        </w:rPr>
        <w:t xml:space="preserve">, the first half of 2023 saw a </w:t>
      </w:r>
      <w:r w:rsidR="001E281E">
        <w:rPr>
          <w:rFonts w:asciiTheme="minorHAnsi" w:hAnsiTheme="minorHAnsi" w:cstheme="minorHAnsi"/>
          <w:sz w:val="22"/>
          <w:szCs w:val="22"/>
          <w:lang w:val="en-GB"/>
        </w:rPr>
        <w:t>mildening</w:t>
      </w:r>
      <w:r w:rsidR="00C5768C" w:rsidRPr="001E281E">
        <w:rPr>
          <w:rFonts w:asciiTheme="minorHAnsi" w:hAnsiTheme="minorHAnsi" w:cstheme="minorHAnsi"/>
          <w:sz w:val="22"/>
          <w:szCs w:val="22"/>
          <w:lang w:val="en-GB"/>
        </w:rPr>
        <w:t xml:space="preserve"> of price shocks, with INA achieving EBIDTA in the amount of </w:t>
      </w:r>
      <w:r w:rsidR="00C5768C" w:rsidRPr="00D049B2">
        <w:rPr>
          <w:rFonts w:asciiTheme="minorHAnsi" w:hAnsiTheme="minorHAnsi" w:cstheme="minorHAnsi"/>
          <w:sz w:val="22"/>
          <w:szCs w:val="22"/>
          <w:lang w:val="en-GB"/>
        </w:rPr>
        <w:t>EUR 183 million</w:t>
      </w:r>
      <w:r w:rsidR="001E281E">
        <w:rPr>
          <w:rFonts w:asciiTheme="minorHAnsi" w:hAnsiTheme="minorHAnsi" w:cstheme="minorHAnsi"/>
          <w:sz w:val="22"/>
          <w:szCs w:val="22"/>
          <w:lang w:val="en-GB"/>
        </w:rPr>
        <w:t>.</w:t>
      </w:r>
    </w:p>
    <w:p w14:paraId="03377C2F" w14:textId="0BA578A6" w:rsidR="00D049B2" w:rsidRPr="00D049B2" w:rsidRDefault="00D049B2" w:rsidP="00D049B2">
      <w:pPr>
        <w:spacing w:after="120"/>
        <w:jc w:val="both"/>
        <w:rPr>
          <w:rFonts w:asciiTheme="minorHAnsi" w:hAnsiTheme="minorHAnsi" w:cstheme="minorHAnsi"/>
          <w:sz w:val="22"/>
          <w:szCs w:val="22"/>
          <w:lang w:val="en-GB"/>
        </w:rPr>
      </w:pPr>
      <w:r w:rsidRPr="00D049B2">
        <w:rPr>
          <w:rFonts w:asciiTheme="minorHAnsi" w:hAnsiTheme="minorHAnsi" w:cstheme="minorHAnsi"/>
          <w:sz w:val="22"/>
          <w:szCs w:val="22"/>
          <w:lang w:val="en-GB"/>
        </w:rPr>
        <w:t>In line with the reduced prices, EBITDA of Exploration and Production declined by 22%, still staying rather strong with EUR 214 million in first half of 2023. Natural decline of production amounted to only 3%, which is a good result taking into consideration the portfolio maturity. The moderation of the expected natural decline comes mainly from offshore contribution and increased Egyptian production due to the newly drilled wells.</w:t>
      </w:r>
    </w:p>
    <w:p w14:paraId="02A3D4BF" w14:textId="4A2253DB" w:rsidR="00D049B2" w:rsidRPr="00D049B2" w:rsidRDefault="00D049B2" w:rsidP="00D049B2">
      <w:pPr>
        <w:spacing w:after="120"/>
        <w:jc w:val="both"/>
        <w:rPr>
          <w:rFonts w:asciiTheme="minorHAnsi" w:hAnsiTheme="minorHAnsi" w:cstheme="minorHAnsi"/>
          <w:sz w:val="22"/>
          <w:szCs w:val="22"/>
          <w:lang w:val="en-GB"/>
        </w:rPr>
      </w:pPr>
      <w:r w:rsidRPr="00D049B2">
        <w:rPr>
          <w:rFonts w:asciiTheme="minorHAnsi" w:hAnsiTheme="minorHAnsi" w:cstheme="minorHAnsi"/>
          <w:sz w:val="22"/>
          <w:szCs w:val="22"/>
          <w:lang w:val="en-GB"/>
        </w:rPr>
        <w:t xml:space="preserve">Refining and Marketing incl. Consumer services and Retail segment result remains negatively impacted by adverse margin environment, although the sales on captive markets stayed strong. After finalisation of brownfield part of Rijeka Refinery Upgrade Project and temporary shutdown of refining activities, Rijeka Refinery successfully started production at the end of April. Despite the continued fuel price regulation in Retail, strong growth of Retail volumes (+22% compared to H1 2022) and increase in non-fuel margin helped to partially compensate the lower result of Refining and Marketing. </w:t>
      </w:r>
    </w:p>
    <w:p w14:paraId="793A941F" w14:textId="78C8C4FA" w:rsidR="00894C46" w:rsidRPr="003F55E0" w:rsidRDefault="00D049B2" w:rsidP="00D049B2">
      <w:pPr>
        <w:spacing w:after="120"/>
        <w:jc w:val="both"/>
        <w:rPr>
          <w:rFonts w:asciiTheme="minorHAnsi" w:hAnsiTheme="minorHAnsi" w:cstheme="minorHAnsi"/>
          <w:b/>
          <w:sz w:val="22"/>
          <w:szCs w:val="22"/>
          <w:lang w:val="en-GB"/>
        </w:rPr>
      </w:pPr>
      <w:r w:rsidRPr="00D049B2">
        <w:rPr>
          <w:rFonts w:asciiTheme="minorHAnsi" w:hAnsiTheme="minorHAnsi" w:cstheme="minorHAnsi"/>
          <w:sz w:val="22"/>
          <w:szCs w:val="22"/>
          <w:lang w:val="en-GB"/>
        </w:rPr>
        <w:t xml:space="preserve">Investment activities resulted in EUR 218 million spending, out of which EUR 85 million is related to acquisition of 25.25% share in OMV Slovenija d.o.o., increasing INA’s share to 33%. Continuation of the Rijeka Refinery Upgrade Project remained the focus of the </w:t>
      </w:r>
      <w:r w:rsidR="00623B67">
        <w:rPr>
          <w:rFonts w:asciiTheme="minorHAnsi" w:hAnsiTheme="minorHAnsi" w:cstheme="minorHAnsi"/>
          <w:sz w:val="22"/>
          <w:szCs w:val="22"/>
          <w:lang w:val="en-GB"/>
        </w:rPr>
        <w:t>CAPEX</w:t>
      </w:r>
      <w:r w:rsidR="000D375C">
        <w:rPr>
          <w:rFonts w:asciiTheme="minorHAnsi" w:hAnsiTheme="minorHAnsi" w:cstheme="minorHAnsi"/>
          <w:sz w:val="22"/>
          <w:szCs w:val="22"/>
          <w:lang w:val="en-GB"/>
        </w:rPr>
        <w:t xml:space="preserve"> with EUR 13</w:t>
      </w:r>
      <w:r w:rsidR="00D8792C">
        <w:rPr>
          <w:rFonts w:asciiTheme="minorHAnsi" w:hAnsiTheme="minorHAnsi" w:cstheme="minorHAnsi"/>
          <w:sz w:val="22"/>
          <w:szCs w:val="22"/>
          <w:lang w:val="en-GB"/>
        </w:rPr>
        <w:t>2</w:t>
      </w:r>
      <w:r w:rsidR="000D375C">
        <w:rPr>
          <w:rFonts w:asciiTheme="minorHAnsi" w:hAnsiTheme="minorHAnsi" w:cstheme="minorHAnsi"/>
          <w:sz w:val="22"/>
          <w:szCs w:val="22"/>
          <w:lang w:val="en-GB"/>
        </w:rPr>
        <w:t xml:space="preserve"> million</w:t>
      </w:r>
      <w:r w:rsidRPr="00D049B2">
        <w:rPr>
          <w:rFonts w:asciiTheme="minorHAnsi" w:hAnsiTheme="minorHAnsi" w:cstheme="minorHAnsi"/>
          <w:sz w:val="22"/>
          <w:szCs w:val="22"/>
          <w:lang w:val="en-GB"/>
        </w:rPr>
        <w:t>. Financial position remains robust with net debt almost unchanged compared to the same period last year.</w:t>
      </w:r>
    </w:p>
    <w:p w14:paraId="54AF480C" w14:textId="76B1C66B" w:rsidR="0037692E" w:rsidRPr="003F55E0" w:rsidRDefault="0037692E" w:rsidP="000E409D">
      <w:pPr>
        <w:jc w:val="both"/>
        <w:rPr>
          <w:rFonts w:asciiTheme="minorHAnsi" w:hAnsiTheme="minorHAnsi" w:cstheme="minorHAnsi"/>
          <w:b/>
          <w:sz w:val="22"/>
          <w:szCs w:val="22"/>
          <w:lang w:val="en-GB"/>
        </w:rPr>
      </w:pPr>
      <w:r w:rsidRPr="003F55E0">
        <w:rPr>
          <w:rFonts w:asciiTheme="minorHAnsi" w:hAnsiTheme="minorHAnsi" w:cstheme="minorHAnsi"/>
          <w:b/>
          <w:sz w:val="22"/>
          <w:szCs w:val="22"/>
          <w:lang w:val="en-GB"/>
        </w:rPr>
        <w:t xml:space="preserve">Statement of </w:t>
      </w:r>
      <w:r w:rsidR="001C6CF9" w:rsidRPr="001C6CF9">
        <w:rPr>
          <w:rFonts w:asciiTheme="minorHAnsi" w:hAnsiTheme="minorHAnsi" w:cstheme="minorHAnsi"/>
          <w:b/>
          <w:sz w:val="22"/>
          <w:szCs w:val="22"/>
          <w:lang w:val="en-GB"/>
        </w:rPr>
        <w:t>Zsuzsanna Ortutay</w:t>
      </w:r>
      <w:r w:rsidRPr="003F55E0">
        <w:rPr>
          <w:rFonts w:asciiTheme="minorHAnsi" w:hAnsiTheme="minorHAnsi" w:cstheme="minorHAnsi"/>
          <w:b/>
          <w:sz w:val="22"/>
          <w:szCs w:val="22"/>
          <w:lang w:val="en-GB"/>
        </w:rPr>
        <w:t xml:space="preserve">, President of the Management Board of INA: </w:t>
      </w:r>
    </w:p>
    <w:p w14:paraId="4EF7AA25" w14:textId="77777777" w:rsidR="00F11420" w:rsidRPr="003F55E0" w:rsidRDefault="00F11420" w:rsidP="000E409D">
      <w:pPr>
        <w:jc w:val="both"/>
        <w:rPr>
          <w:rFonts w:asciiTheme="minorHAnsi" w:hAnsiTheme="minorHAnsi" w:cstheme="minorHAnsi"/>
          <w:b/>
          <w:sz w:val="22"/>
          <w:szCs w:val="22"/>
          <w:lang w:val="en-GB"/>
        </w:rPr>
      </w:pPr>
    </w:p>
    <w:p w14:paraId="4DAFAD5A" w14:textId="5FC23349" w:rsidR="005B4D06" w:rsidRPr="001D151B" w:rsidRDefault="005B4D06" w:rsidP="005B4D06">
      <w:pPr>
        <w:pStyle w:val="NoSpacing"/>
        <w:rPr>
          <w:rFonts w:asciiTheme="minorHAnsi" w:eastAsia="Times New Roman" w:hAnsiTheme="minorHAnsi" w:cstheme="minorHAnsi"/>
          <w:sz w:val="22"/>
          <w:szCs w:val="22"/>
        </w:rPr>
      </w:pPr>
      <w:r w:rsidRPr="001D151B">
        <w:rPr>
          <w:rFonts w:asciiTheme="minorHAnsi" w:eastAsia="Times New Roman" w:hAnsiTheme="minorHAnsi" w:cstheme="minorHAnsi"/>
          <w:sz w:val="22"/>
          <w:szCs w:val="22"/>
        </w:rPr>
        <w:t>“2023</w:t>
      </w:r>
      <w:r>
        <w:rPr>
          <w:rFonts w:asciiTheme="minorHAnsi" w:eastAsia="Times New Roman" w:hAnsiTheme="minorHAnsi" w:cstheme="minorHAnsi"/>
          <w:sz w:val="22"/>
          <w:szCs w:val="22"/>
        </w:rPr>
        <w:t xml:space="preserve"> </w:t>
      </w:r>
      <w:r w:rsidRPr="001D151B">
        <w:rPr>
          <w:rFonts w:asciiTheme="minorHAnsi" w:eastAsia="Times New Roman" w:hAnsiTheme="minorHAnsi" w:cstheme="minorHAnsi"/>
          <w:sz w:val="22"/>
          <w:szCs w:val="22"/>
        </w:rPr>
        <w:t xml:space="preserve">continues to be </w:t>
      </w:r>
      <w:r>
        <w:rPr>
          <w:rFonts w:asciiTheme="minorHAnsi" w:eastAsia="Times New Roman" w:hAnsiTheme="minorHAnsi" w:cstheme="minorHAnsi"/>
          <w:sz w:val="22"/>
          <w:szCs w:val="22"/>
        </w:rPr>
        <w:t xml:space="preserve">an </w:t>
      </w:r>
      <w:r w:rsidRPr="001D151B">
        <w:rPr>
          <w:rFonts w:asciiTheme="minorHAnsi" w:eastAsia="Times New Roman" w:hAnsiTheme="minorHAnsi" w:cstheme="minorHAnsi"/>
          <w:sz w:val="22"/>
          <w:szCs w:val="22"/>
        </w:rPr>
        <w:t xml:space="preserve">active year for INA. Intensive investment period in the Refining </w:t>
      </w:r>
      <w:r w:rsidR="00841A74">
        <w:rPr>
          <w:rFonts w:asciiTheme="minorHAnsi" w:eastAsia="Times New Roman" w:hAnsiTheme="minorHAnsi" w:cstheme="minorHAnsi"/>
          <w:sz w:val="22"/>
          <w:szCs w:val="22"/>
        </w:rPr>
        <w:t xml:space="preserve">and Marketing </w:t>
      </w:r>
      <w:r w:rsidRPr="001D151B">
        <w:rPr>
          <w:rFonts w:asciiTheme="minorHAnsi" w:eastAsia="Times New Roman" w:hAnsiTheme="minorHAnsi" w:cstheme="minorHAnsi"/>
          <w:sz w:val="22"/>
          <w:szCs w:val="22"/>
        </w:rPr>
        <w:t xml:space="preserve">segment continues, with Rijeka Refinery Upgrade </w:t>
      </w:r>
      <w:r>
        <w:rPr>
          <w:rFonts w:asciiTheme="minorHAnsi" w:eastAsia="Times New Roman" w:hAnsiTheme="minorHAnsi" w:cstheme="minorHAnsi"/>
          <w:sz w:val="22"/>
          <w:szCs w:val="22"/>
        </w:rPr>
        <w:t>P</w:t>
      </w:r>
      <w:r w:rsidRPr="001D151B">
        <w:rPr>
          <w:rFonts w:asciiTheme="minorHAnsi" w:eastAsia="Times New Roman" w:hAnsiTheme="minorHAnsi" w:cstheme="minorHAnsi"/>
          <w:sz w:val="22"/>
          <w:szCs w:val="22"/>
        </w:rPr>
        <w:t xml:space="preserve">roject reaching 78% completion. Following the successful finalisation of investments in </w:t>
      </w:r>
      <w:r>
        <w:rPr>
          <w:rFonts w:asciiTheme="minorHAnsi" w:eastAsia="Times New Roman" w:hAnsiTheme="minorHAnsi" w:cstheme="minorHAnsi"/>
          <w:sz w:val="22"/>
          <w:szCs w:val="22"/>
        </w:rPr>
        <w:t xml:space="preserve">the </w:t>
      </w:r>
      <w:r w:rsidRPr="001D151B">
        <w:rPr>
          <w:rFonts w:asciiTheme="minorHAnsi" w:eastAsia="Times New Roman" w:hAnsiTheme="minorHAnsi" w:cstheme="minorHAnsi"/>
          <w:sz w:val="22"/>
          <w:szCs w:val="22"/>
        </w:rPr>
        <w:t xml:space="preserve">brownfield part of RRUP, </w:t>
      </w:r>
      <w:r>
        <w:rPr>
          <w:rFonts w:asciiTheme="minorHAnsi" w:eastAsia="Times New Roman" w:hAnsiTheme="minorHAnsi" w:cstheme="minorHAnsi"/>
          <w:sz w:val="22"/>
          <w:szCs w:val="22"/>
        </w:rPr>
        <w:t xml:space="preserve">an </w:t>
      </w:r>
      <w:r w:rsidRPr="001D151B">
        <w:rPr>
          <w:rFonts w:asciiTheme="minorHAnsi" w:eastAsia="Times New Roman" w:hAnsiTheme="minorHAnsi" w:cstheme="minorHAnsi"/>
          <w:sz w:val="22"/>
          <w:szCs w:val="22"/>
        </w:rPr>
        <w:t xml:space="preserve">important milestone in the project, Rijeka Refinery started processing at the end of April. </w:t>
      </w:r>
    </w:p>
    <w:p w14:paraId="679A29B0" w14:textId="77777777" w:rsidR="005B4D06" w:rsidRPr="001D151B" w:rsidRDefault="005B4D06" w:rsidP="005B4D06">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S</w:t>
      </w:r>
      <w:r w:rsidRPr="001D151B">
        <w:rPr>
          <w:rFonts w:asciiTheme="minorHAnsi" w:eastAsia="Times New Roman" w:hAnsiTheme="minorHAnsi" w:cstheme="minorHAnsi"/>
          <w:sz w:val="22"/>
          <w:szCs w:val="22"/>
        </w:rPr>
        <w:t xml:space="preserve">ignificant changes in portfolio were also </w:t>
      </w:r>
      <w:r>
        <w:rPr>
          <w:rFonts w:asciiTheme="minorHAnsi" w:eastAsia="Times New Roman" w:hAnsiTheme="minorHAnsi" w:cstheme="minorHAnsi"/>
          <w:sz w:val="22"/>
          <w:szCs w:val="22"/>
        </w:rPr>
        <w:t>made</w:t>
      </w:r>
      <w:r w:rsidRPr="001D151B">
        <w:rPr>
          <w:rFonts w:asciiTheme="minorHAnsi" w:eastAsia="Times New Roman" w:hAnsiTheme="minorHAnsi" w:cstheme="minorHAnsi"/>
          <w:sz w:val="22"/>
          <w:szCs w:val="22"/>
        </w:rPr>
        <w:t xml:space="preserve"> during Q2 2023. Petrokemija has been divested, while INA strengthened its share on the Slovenian market with the increase of </w:t>
      </w:r>
      <w:r>
        <w:rPr>
          <w:rFonts w:asciiTheme="minorHAnsi" w:eastAsia="Times New Roman" w:hAnsiTheme="minorHAnsi" w:cstheme="minorHAnsi"/>
          <w:sz w:val="22"/>
          <w:szCs w:val="22"/>
        </w:rPr>
        <w:t>it</w:t>
      </w:r>
      <w:r w:rsidRPr="001D151B">
        <w:rPr>
          <w:rFonts w:asciiTheme="minorHAnsi" w:eastAsia="Times New Roman" w:hAnsiTheme="minorHAnsi" w:cstheme="minorHAnsi"/>
          <w:sz w:val="22"/>
          <w:szCs w:val="22"/>
        </w:rPr>
        <w:t>s share in OMV Slovenija to 33%. This transaction ensur</w:t>
      </w:r>
      <w:r>
        <w:rPr>
          <w:rFonts w:asciiTheme="minorHAnsi" w:eastAsia="Times New Roman" w:hAnsiTheme="minorHAnsi" w:cstheme="minorHAnsi"/>
          <w:sz w:val="22"/>
          <w:szCs w:val="22"/>
        </w:rPr>
        <w:t xml:space="preserve">ed a </w:t>
      </w:r>
      <w:r w:rsidRPr="001D151B">
        <w:rPr>
          <w:rFonts w:asciiTheme="minorHAnsi" w:eastAsia="Times New Roman" w:hAnsiTheme="minorHAnsi" w:cstheme="minorHAnsi"/>
          <w:sz w:val="22"/>
          <w:szCs w:val="22"/>
        </w:rPr>
        <w:t xml:space="preserve">long-term market for </w:t>
      </w:r>
      <w:r>
        <w:rPr>
          <w:rFonts w:asciiTheme="minorHAnsi" w:eastAsia="Times New Roman" w:hAnsiTheme="minorHAnsi" w:cstheme="minorHAnsi"/>
          <w:sz w:val="22"/>
          <w:szCs w:val="22"/>
        </w:rPr>
        <w:t xml:space="preserve">Rijeka Refinery </w:t>
      </w:r>
      <w:r w:rsidRPr="001D151B">
        <w:rPr>
          <w:rFonts w:asciiTheme="minorHAnsi" w:eastAsia="Times New Roman" w:hAnsiTheme="minorHAnsi" w:cstheme="minorHAnsi"/>
          <w:sz w:val="22"/>
          <w:szCs w:val="22"/>
        </w:rPr>
        <w:t xml:space="preserve">products. </w:t>
      </w:r>
    </w:p>
    <w:p w14:paraId="203E3688" w14:textId="77777777" w:rsidR="005B4D06" w:rsidRPr="001D151B" w:rsidRDefault="005B4D06" w:rsidP="005B4D06">
      <w:pPr>
        <w:pStyle w:val="NoSpacing"/>
        <w:rPr>
          <w:rFonts w:asciiTheme="minorHAnsi" w:eastAsia="Times New Roman" w:hAnsiTheme="minorHAnsi" w:cstheme="minorHAnsi"/>
          <w:sz w:val="22"/>
          <w:szCs w:val="22"/>
        </w:rPr>
      </w:pPr>
      <w:r w:rsidRPr="001D151B">
        <w:rPr>
          <w:rFonts w:asciiTheme="minorHAnsi" w:eastAsia="Times New Roman" w:hAnsiTheme="minorHAnsi" w:cstheme="minorHAnsi"/>
          <w:sz w:val="22"/>
          <w:szCs w:val="22"/>
        </w:rPr>
        <w:t xml:space="preserve">In Exploration and Production, natural decline is currently moderated at around 3%, while further streamlining of the portfolio </w:t>
      </w:r>
      <w:r>
        <w:rPr>
          <w:rFonts w:asciiTheme="minorHAnsi" w:eastAsia="Times New Roman" w:hAnsiTheme="minorHAnsi" w:cstheme="minorHAnsi"/>
          <w:sz w:val="22"/>
          <w:szCs w:val="22"/>
        </w:rPr>
        <w:t xml:space="preserve">was </w:t>
      </w:r>
      <w:r w:rsidRPr="001D151B">
        <w:rPr>
          <w:rFonts w:asciiTheme="minorHAnsi" w:eastAsia="Times New Roman" w:hAnsiTheme="minorHAnsi" w:cstheme="minorHAnsi"/>
          <w:sz w:val="22"/>
          <w:szCs w:val="22"/>
        </w:rPr>
        <w:t xml:space="preserve">made with </w:t>
      </w:r>
      <w:r>
        <w:rPr>
          <w:rFonts w:asciiTheme="minorHAnsi" w:eastAsia="Times New Roman" w:hAnsiTheme="minorHAnsi" w:cstheme="minorHAnsi"/>
          <w:sz w:val="22"/>
          <w:szCs w:val="22"/>
        </w:rPr>
        <w:t>by completing</w:t>
      </w:r>
      <w:r w:rsidRPr="001D151B">
        <w:rPr>
          <w:rFonts w:asciiTheme="minorHAnsi" w:eastAsia="Times New Roman" w:hAnsiTheme="minorHAnsi" w:cstheme="minorHAnsi"/>
          <w:sz w:val="22"/>
          <w:szCs w:val="22"/>
        </w:rPr>
        <w:t xml:space="preserve"> Angola and Egypt East Yidma divestments.</w:t>
      </w:r>
      <w:r>
        <w:rPr>
          <w:rFonts w:asciiTheme="minorHAnsi" w:eastAsia="Times New Roman" w:hAnsiTheme="minorHAnsi" w:cstheme="minorHAnsi"/>
          <w:sz w:val="22"/>
          <w:szCs w:val="22"/>
        </w:rPr>
        <w:t xml:space="preserve"> INA </w:t>
      </w:r>
      <w:r w:rsidRPr="001D151B">
        <w:rPr>
          <w:rFonts w:asciiTheme="minorHAnsi" w:eastAsia="Times New Roman" w:hAnsiTheme="minorHAnsi" w:cstheme="minorHAnsi"/>
          <w:sz w:val="22"/>
          <w:szCs w:val="22"/>
        </w:rPr>
        <w:t>will continue</w:t>
      </w:r>
      <w:r>
        <w:rPr>
          <w:rFonts w:asciiTheme="minorHAnsi" w:eastAsia="Times New Roman" w:hAnsiTheme="minorHAnsi" w:cstheme="minorHAnsi"/>
          <w:sz w:val="22"/>
          <w:szCs w:val="22"/>
        </w:rPr>
        <w:t xml:space="preserve"> with the investments in Exploration and Production</w:t>
      </w:r>
      <w:r w:rsidRPr="00C3638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with the intention of </w:t>
      </w:r>
      <w:r w:rsidRPr="001D151B">
        <w:rPr>
          <w:rFonts w:asciiTheme="minorHAnsi" w:eastAsia="Times New Roman" w:hAnsiTheme="minorHAnsi" w:cstheme="minorHAnsi"/>
          <w:sz w:val="22"/>
          <w:szCs w:val="22"/>
        </w:rPr>
        <w:t>further increas</w:t>
      </w:r>
      <w:r>
        <w:rPr>
          <w:rFonts w:asciiTheme="minorHAnsi" w:eastAsia="Times New Roman" w:hAnsiTheme="minorHAnsi" w:cstheme="minorHAnsi"/>
          <w:sz w:val="22"/>
          <w:szCs w:val="22"/>
        </w:rPr>
        <w:t>ing</w:t>
      </w:r>
      <w:r w:rsidRPr="001D151B">
        <w:rPr>
          <w:rFonts w:asciiTheme="minorHAnsi" w:eastAsia="Times New Roman" w:hAnsiTheme="minorHAnsi" w:cstheme="minorHAnsi"/>
          <w:sz w:val="22"/>
          <w:szCs w:val="22"/>
        </w:rPr>
        <w:t xml:space="preserve"> the security of </w:t>
      </w:r>
      <w:r>
        <w:rPr>
          <w:rFonts w:asciiTheme="minorHAnsi" w:eastAsia="Times New Roman" w:hAnsiTheme="minorHAnsi" w:cstheme="minorHAnsi"/>
          <w:sz w:val="22"/>
          <w:szCs w:val="22"/>
        </w:rPr>
        <w:t>energy</w:t>
      </w:r>
      <w:r w:rsidRPr="001D151B">
        <w:rPr>
          <w:rFonts w:asciiTheme="minorHAnsi" w:eastAsia="Times New Roman" w:hAnsiTheme="minorHAnsi" w:cstheme="minorHAnsi"/>
          <w:sz w:val="22"/>
          <w:szCs w:val="22"/>
        </w:rPr>
        <w:t xml:space="preserve"> supply for </w:t>
      </w:r>
      <w:r>
        <w:rPr>
          <w:rFonts w:asciiTheme="minorHAnsi" w:eastAsia="Times New Roman" w:hAnsiTheme="minorHAnsi" w:cstheme="minorHAnsi"/>
          <w:sz w:val="22"/>
          <w:szCs w:val="22"/>
        </w:rPr>
        <w:t>Croatia</w:t>
      </w:r>
      <w:r w:rsidRPr="001D151B">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Furthermore, i</w:t>
      </w:r>
      <w:r w:rsidRPr="001D151B">
        <w:rPr>
          <w:rFonts w:asciiTheme="minorHAnsi" w:eastAsia="Times New Roman" w:hAnsiTheme="minorHAnsi" w:cstheme="minorHAnsi"/>
          <w:sz w:val="22"/>
          <w:szCs w:val="22"/>
        </w:rPr>
        <w:t>t should be noted that with the normalization of the macro environment, extra profits from 2022 are not likely to repeat.</w:t>
      </w:r>
    </w:p>
    <w:p w14:paraId="0DBEC0F9" w14:textId="56D7892D" w:rsidR="005B4D06" w:rsidRPr="001D151B" w:rsidRDefault="005B4D06" w:rsidP="005B4D06">
      <w:pPr>
        <w:pStyle w:val="NoSpacing"/>
        <w:rPr>
          <w:rFonts w:asciiTheme="minorHAnsi" w:eastAsia="Times New Roman" w:hAnsiTheme="minorHAnsi" w:cstheme="minorHAnsi"/>
          <w:sz w:val="22"/>
          <w:szCs w:val="22"/>
        </w:rPr>
      </w:pPr>
      <w:r w:rsidRPr="00C36381">
        <w:rPr>
          <w:rFonts w:asciiTheme="minorHAnsi" w:eastAsia="Times New Roman" w:hAnsiTheme="minorHAnsi" w:cstheme="minorHAnsi"/>
          <w:sz w:val="22"/>
          <w:szCs w:val="22"/>
        </w:rPr>
        <w:t xml:space="preserve">Refining and Marketing incl. Consumer </w:t>
      </w:r>
      <w:r w:rsidR="00227B4B">
        <w:rPr>
          <w:rFonts w:asciiTheme="minorHAnsi" w:eastAsia="Times New Roman" w:hAnsiTheme="minorHAnsi" w:cstheme="minorHAnsi"/>
          <w:sz w:val="22"/>
          <w:szCs w:val="22"/>
        </w:rPr>
        <w:t>S</w:t>
      </w:r>
      <w:r w:rsidRPr="00C36381">
        <w:rPr>
          <w:rFonts w:asciiTheme="minorHAnsi" w:eastAsia="Times New Roman" w:hAnsiTheme="minorHAnsi" w:cstheme="minorHAnsi"/>
          <w:sz w:val="22"/>
          <w:szCs w:val="22"/>
        </w:rPr>
        <w:t xml:space="preserve">ervices and Retail segment operations remained cash negative </w:t>
      </w:r>
      <w:r w:rsidRPr="00ED17A0">
        <w:rPr>
          <w:rFonts w:asciiTheme="minorHAnsi" w:eastAsia="Times New Roman" w:hAnsiTheme="minorHAnsi" w:cstheme="minorHAnsi"/>
          <w:sz w:val="22"/>
          <w:szCs w:val="22"/>
        </w:rPr>
        <w:t>due to deteriorated margin environment</w:t>
      </w:r>
      <w:r>
        <w:rPr>
          <w:rFonts w:asciiTheme="minorHAnsi" w:eastAsia="Times New Roman" w:hAnsiTheme="minorHAnsi" w:cstheme="minorHAnsi"/>
          <w:sz w:val="22"/>
          <w:szCs w:val="22"/>
        </w:rPr>
        <w:t xml:space="preserve"> and fuel margin cap, which is still in force</w:t>
      </w:r>
      <w:r w:rsidRPr="00C36381">
        <w:rPr>
          <w:rFonts w:asciiTheme="minorHAnsi" w:eastAsia="Times New Roman" w:hAnsiTheme="minorHAnsi" w:cstheme="minorHAnsi"/>
          <w:sz w:val="22"/>
          <w:szCs w:val="22"/>
        </w:rPr>
        <w:t>.</w:t>
      </w:r>
      <w:r w:rsidRPr="001D151B">
        <w:rPr>
          <w:rFonts w:asciiTheme="minorHAnsi" w:eastAsia="Times New Roman" w:hAnsiTheme="minorHAnsi" w:cstheme="minorHAnsi"/>
          <w:sz w:val="22"/>
          <w:szCs w:val="22"/>
        </w:rPr>
        <w:t xml:space="preserve"> Nevertheless, increased Retail sales volumes and constant increase in non-fuel margin positively assisted the result.” </w:t>
      </w:r>
    </w:p>
    <w:p w14:paraId="31473136" w14:textId="77777777" w:rsidR="00241087" w:rsidRDefault="00241087" w:rsidP="001C6CF9">
      <w:pPr>
        <w:spacing w:after="120"/>
        <w:jc w:val="both"/>
        <w:rPr>
          <w:rFonts w:asciiTheme="minorHAnsi" w:hAnsiTheme="minorHAnsi" w:cstheme="minorHAnsi"/>
          <w:sz w:val="22"/>
          <w:szCs w:val="22"/>
          <w:lang w:val="en-GB"/>
        </w:rPr>
      </w:pPr>
    </w:p>
    <w:p w14:paraId="246057AD" w14:textId="77777777" w:rsidR="00F56FE9" w:rsidRPr="00F56FE9" w:rsidRDefault="00F56FE9" w:rsidP="00F56FE9">
      <w:pPr>
        <w:spacing w:after="120"/>
        <w:jc w:val="both"/>
        <w:rPr>
          <w:rFonts w:asciiTheme="minorHAnsi" w:hAnsiTheme="minorHAnsi" w:cstheme="minorHAnsi"/>
          <w:sz w:val="22"/>
          <w:szCs w:val="22"/>
          <w:lang w:val="en-GB"/>
        </w:rPr>
      </w:pPr>
    </w:p>
    <w:p w14:paraId="0303E996" w14:textId="77777777" w:rsidR="00241087" w:rsidRPr="003F55E0" w:rsidRDefault="00241087" w:rsidP="001C6CF9">
      <w:pPr>
        <w:spacing w:after="120"/>
        <w:jc w:val="both"/>
        <w:rPr>
          <w:rFonts w:asciiTheme="minorHAnsi" w:hAnsiTheme="minorHAnsi" w:cstheme="minorHAnsi"/>
          <w:sz w:val="22"/>
          <w:szCs w:val="22"/>
          <w:lang w:val="en-GB"/>
        </w:rPr>
      </w:pPr>
    </w:p>
    <w:p w14:paraId="1FB9378C" w14:textId="77777777" w:rsidR="007A4523" w:rsidRDefault="007A4523" w:rsidP="00623A95">
      <w:pPr>
        <w:jc w:val="both"/>
        <w:rPr>
          <w:rFonts w:asciiTheme="minorHAnsi" w:hAnsiTheme="minorHAnsi" w:cstheme="minorHAnsi"/>
          <w:sz w:val="22"/>
          <w:szCs w:val="22"/>
          <w:lang w:val="en-GB"/>
        </w:rPr>
      </w:pPr>
    </w:p>
    <w:p w14:paraId="188B6E47" w14:textId="4E68A61B" w:rsidR="007D0138" w:rsidRPr="003F55E0" w:rsidRDefault="007D0138" w:rsidP="00623A95">
      <w:pPr>
        <w:jc w:val="both"/>
        <w:rPr>
          <w:rFonts w:asciiTheme="minorHAnsi" w:hAnsiTheme="minorHAnsi" w:cstheme="minorHAnsi"/>
          <w:sz w:val="22"/>
          <w:szCs w:val="22"/>
          <w:lang w:val="en-GB"/>
        </w:rPr>
        <w:sectPr w:rsidR="007D0138" w:rsidRPr="003F55E0">
          <w:headerReference w:type="default" r:id="rId14"/>
          <w:footerReference w:type="default" r:id="rId15"/>
          <w:pgSz w:w="11906" w:h="16838"/>
          <w:pgMar w:top="1417" w:right="1417" w:bottom="1417" w:left="1417" w:header="708" w:footer="708" w:gutter="0"/>
          <w:cols w:space="708"/>
          <w:docGrid w:linePitch="360"/>
        </w:sectPr>
      </w:pPr>
    </w:p>
    <w:p w14:paraId="2B367E09" w14:textId="47F19E9C" w:rsidR="00E050DE" w:rsidRPr="003F55E0" w:rsidRDefault="004A3B35" w:rsidP="006A6D32">
      <w:pPr>
        <w:spacing w:line="360" w:lineRule="auto"/>
        <w:jc w:val="center"/>
        <w:rPr>
          <w:rFonts w:asciiTheme="minorHAnsi" w:hAnsiTheme="minorHAnsi" w:cstheme="minorHAnsi"/>
          <w:sz w:val="22"/>
          <w:szCs w:val="22"/>
          <w:lang w:val="en-GB"/>
        </w:rPr>
      </w:pPr>
      <w:r>
        <w:rPr>
          <w:rFonts w:asciiTheme="minorHAnsi" w:hAnsiTheme="minorHAnsi" w:cstheme="minorHAnsi"/>
          <w:noProof/>
          <w:sz w:val="22"/>
          <w:szCs w:val="22"/>
          <w:lang w:val="en-GB"/>
        </w:rPr>
        <w:drawing>
          <wp:inline distT="0" distB="0" distL="0" distR="0" wp14:anchorId="7780BB69" wp14:editId="642CFCFF">
            <wp:extent cx="2495550" cy="191467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9249" cy="1917514"/>
                    </a:xfrm>
                    <a:prstGeom prst="rect">
                      <a:avLst/>
                    </a:prstGeom>
                    <a:noFill/>
                  </pic:spPr>
                </pic:pic>
              </a:graphicData>
            </a:graphic>
          </wp:inline>
        </w:drawing>
      </w:r>
      <w:r w:rsidR="004C64EF">
        <w:rPr>
          <w:rFonts w:asciiTheme="minorHAnsi" w:hAnsiTheme="minorHAnsi" w:cstheme="minorHAnsi"/>
          <w:noProof/>
          <w:sz w:val="22"/>
          <w:szCs w:val="22"/>
          <w:lang w:val="en-GB"/>
        </w:rPr>
        <w:drawing>
          <wp:inline distT="0" distB="0" distL="0" distR="0" wp14:anchorId="7FDB8076" wp14:editId="2E5EB54A">
            <wp:extent cx="2895600" cy="20396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7657" cy="2041128"/>
                    </a:xfrm>
                    <a:prstGeom prst="rect">
                      <a:avLst/>
                    </a:prstGeom>
                    <a:noFill/>
                  </pic:spPr>
                </pic:pic>
              </a:graphicData>
            </a:graphic>
          </wp:inline>
        </w:drawing>
      </w:r>
    </w:p>
    <w:p w14:paraId="3812664C" w14:textId="11A5A5C8" w:rsidR="00621EAF" w:rsidRPr="003F55E0" w:rsidRDefault="00826F12" w:rsidP="00AE72FC">
      <w:pPr>
        <w:spacing w:line="360" w:lineRule="auto"/>
        <w:jc w:val="center"/>
        <w:rPr>
          <w:rFonts w:asciiTheme="minorHAnsi" w:hAnsiTheme="minorHAnsi" w:cstheme="minorHAnsi"/>
          <w:b/>
          <w:sz w:val="22"/>
          <w:szCs w:val="22"/>
          <w:lang w:val="en-GB"/>
        </w:rPr>
        <w:sectPr w:rsidR="00621EAF" w:rsidRPr="003F55E0" w:rsidSect="00621EAF">
          <w:type w:val="continuous"/>
          <w:pgSz w:w="11906" w:h="16838"/>
          <w:pgMar w:top="1417" w:right="1417" w:bottom="1417" w:left="1417" w:header="708" w:footer="708" w:gutter="0"/>
          <w:cols w:num="2" w:space="708"/>
          <w:docGrid w:linePitch="360"/>
        </w:sectPr>
      </w:pPr>
      <w:r>
        <w:rPr>
          <w:rFonts w:asciiTheme="minorHAnsi" w:hAnsiTheme="minorHAnsi" w:cstheme="minorHAnsi"/>
          <w:b/>
          <w:noProof/>
          <w:sz w:val="22"/>
          <w:szCs w:val="22"/>
          <w:lang w:val="en-GB"/>
        </w:rPr>
        <w:drawing>
          <wp:inline distT="0" distB="0" distL="0" distR="0" wp14:anchorId="40B2AD04" wp14:editId="3ACC33FB">
            <wp:extent cx="2767507" cy="1949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0314" cy="1951427"/>
                    </a:xfrm>
                    <a:prstGeom prst="rect">
                      <a:avLst/>
                    </a:prstGeom>
                    <a:noFill/>
                  </pic:spPr>
                </pic:pic>
              </a:graphicData>
            </a:graphic>
          </wp:inline>
        </w:drawing>
      </w:r>
      <w:r w:rsidR="006A4C41">
        <w:rPr>
          <w:rFonts w:asciiTheme="minorHAnsi" w:hAnsiTheme="minorHAnsi" w:cstheme="minorHAnsi"/>
          <w:b/>
          <w:noProof/>
          <w:sz w:val="22"/>
          <w:szCs w:val="22"/>
          <w:lang w:val="en-GB"/>
        </w:rPr>
        <w:drawing>
          <wp:inline distT="0" distB="0" distL="0" distR="0" wp14:anchorId="1C89C0EB" wp14:editId="2C24FD13">
            <wp:extent cx="2848150" cy="20002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3011" cy="2003664"/>
                    </a:xfrm>
                    <a:prstGeom prst="rect">
                      <a:avLst/>
                    </a:prstGeom>
                    <a:noFill/>
                  </pic:spPr>
                </pic:pic>
              </a:graphicData>
            </a:graphic>
          </wp:inline>
        </w:drawing>
      </w:r>
    </w:p>
    <w:p w14:paraId="3EFB7B43" w14:textId="77777777" w:rsidR="00337E37" w:rsidRPr="003F55E0" w:rsidRDefault="00337E37" w:rsidP="00C0068C">
      <w:pPr>
        <w:spacing w:line="360" w:lineRule="auto"/>
        <w:jc w:val="both"/>
        <w:rPr>
          <w:rFonts w:asciiTheme="minorHAnsi" w:hAnsiTheme="minorHAnsi" w:cstheme="minorHAnsi"/>
          <w:b/>
          <w:sz w:val="22"/>
          <w:szCs w:val="22"/>
          <w:lang w:val="en-GB"/>
        </w:rPr>
      </w:pPr>
    </w:p>
    <w:p w14:paraId="273CB580" w14:textId="59481FDE" w:rsidR="00621EAF" w:rsidRPr="003F55E0" w:rsidRDefault="00756EF3" w:rsidP="00C0068C">
      <w:pPr>
        <w:spacing w:line="360" w:lineRule="auto"/>
        <w:jc w:val="both"/>
        <w:rPr>
          <w:rFonts w:asciiTheme="minorHAnsi" w:hAnsiTheme="minorHAnsi" w:cstheme="minorHAnsi"/>
          <w:b/>
          <w:sz w:val="22"/>
          <w:szCs w:val="22"/>
          <w:lang w:val="en-GB"/>
        </w:rPr>
      </w:pPr>
      <w:r w:rsidRPr="003F55E0">
        <w:rPr>
          <w:rFonts w:asciiTheme="minorHAnsi" w:hAnsiTheme="minorHAnsi" w:cstheme="minorHAnsi"/>
          <w:b/>
          <w:sz w:val="22"/>
          <w:szCs w:val="22"/>
          <w:lang w:val="en-GB"/>
        </w:rPr>
        <w:t>Exploration and Production</w:t>
      </w:r>
    </w:p>
    <w:p w14:paraId="2979100D" w14:textId="40A69A4C" w:rsidR="00945394" w:rsidRDefault="002F2A5D" w:rsidP="004309F0">
      <w:pPr>
        <w:jc w:val="both"/>
        <w:rPr>
          <w:rFonts w:asciiTheme="minorHAnsi" w:hAnsiTheme="minorHAnsi" w:cstheme="minorHAnsi"/>
          <w:bCs/>
          <w:sz w:val="22"/>
          <w:szCs w:val="22"/>
          <w:lang w:val="en-GB"/>
        </w:rPr>
      </w:pPr>
      <w:r w:rsidRPr="002F2A5D">
        <w:rPr>
          <w:rFonts w:asciiTheme="minorHAnsi" w:hAnsiTheme="minorHAnsi" w:cstheme="minorHAnsi"/>
          <w:bCs/>
          <w:sz w:val="22"/>
          <w:szCs w:val="22"/>
          <w:lang w:val="en-GB"/>
        </w:rPr>
        <w:t>Lower prices</w:t>
      </w:r>
      <w:r w:rsidR="00673CEA">
        <w:rPr>
          <w:rFonts w:asciiTheme="minorHAnsi" w:hAnsiTheme="minorHAnsi" w:cstheme="minorHAnsi"/>
          <w:bCs/>
          <w:sz w:val="22"/>
          <w:szCs w:val="22"/>
          <w:lang w:val="en-GB"/>
        </w:rPr>
        <w:t xml:space="preserve"> of oil and gas</w:t>
      </w:r>
      <w:r w:rsidRPr="002F2A5D">
        <w:rPr>
          <w:rFonts w:asciiTheme="minorHAnsi" w:hAnsiTheme="minorHAnsi" w:cstheme="minorHAnsi"/>
          <w:bCs/>
          <w:sz w:val="22"/>
          <w:szCs w:val="22"/>
          <w:lang w:val="en-GB"/>
        </w:rPr>
        <w:t xml:space="preserve"> impacted sales revenues negatively by EUR 87.6 million</w:t>
      </w:r>
      <w:r>
        <w:rPr>
          <w:rFonts w:asciiTheme="minorHAnsi" w:hAnsiTheme="minorHAnsi" w:cstheme="minorHAnsi"/>
          <w:bCs/>
          <w:sz w:val="22"/>
          <w:szCs w:val="22"/>
          <w:lang w:val="en-GB"/>
        </w:rPr>
        <w:t>.</w:t>
      </w:r>
      <w:r w:rsidR="00673CEA">
        <w:rPr>
          <w:rFonts w:asciiTheme="minorHAnsi" w:hAnsiTheme="minorHAnsi" w:cstheme="minorHAnsi"/>
          <w:bCs/>
          <w:sz w:val="22"/>
          <w:szCs w:val="22"/>
          <w:lang w:val="en-GB"/>
        </w:rPr>
        <w:t xml:space="preserve"> </w:t>
      </w:r>
      <w:r w:rsidRPr="002F2A5D">
        <w:rPr>
          <w:rFonts w:asciiTheme="minorHAnsi" w:hAnsiTheme="minorHAnsi" w:cstheme="minorHAnsi"/>
          <w:bCs/>
          <w:sz w:val="22"/>
          <w:szCs w:val="22"/>
          <w:lang w:val="en-GB"/>
        </w:rPr>
        <w:t xml:space="preserve">Production decreased by 3.2%, compared to 5.6% decline in same period </w:t>
      </w:r>
      <w:r>
        <w:rPr>
          <w:rFonts w:asciiTheme="minorHAnsi" w:hAnsiTheme="minorHAnsi" w:cstheme="minorHAnsi"/>
          <w:bCs/>
          <w:sz w:val="22"/>
          <w:szCs w:val="22"/>
          <w:lang w:val="en-GB"/>
        </w:rPr>
        <w:t xml:space="preserve">of </w:t>
      </w:r>
      <w:r w:rsidRPr="002F2A5D">
        <w:rPr>
          <w:rFonts w:asciiTheme="minorHAnsi" w:hAnsiTheme="minorHAnsi" w:cstheme="minorHAnsi"/>
          <w:bCs/>
          <w:sz w:val="22"/>
          <w:szCs w:val="22"/>
          <w:lang w:val="en-GB"/>
        </w:rPr>
        <w:t>2022 vs. 2021, which is an improvement considering the maturity of INA’s oil and gas fields</w:t>
      </w:r>
      <w:r>
        <w:rPr>
          <w:rFonts w:asciiTheme="minorHAnsi" w:hAnsiTheme="minorHAnsi" w:cstheme="minorHAnsi"/>
          <w:bCs/>
          <w:sz w:val="22"/>
          <w:szCs w:val="22"/>
          <w:lang w:val="en-GB"/>
        </w:rPr>
        <w:t>.</w:t>
      </w:r>
      <w:r w:rsidR="00A4165F">
        <w:rPr>
          <w:rFonts w:asciiTheme="minorHAnsi" w:hAnsiTheme="minorHAnsi" w:cstheme="minorHAnsi"/>
          <w:bCs/>
          <w:sz w:val="22"/>
          <w:szCs w:val="22"/>
          <w:lang w:val="en-GB"/>
        </w:rPr>
        <w:t xml:space="preserve"> </w:t>
      </w:r>
      <w:r w:rsidRPr="002F2A5D">
        <w:rPr>
          <w:rFonts w:asciiTheme="minorHAnsi" w:hAnsiTheme="minorHAnsi" w:cstheme="minorHAnsi"/>
          <w:bCs/>
          <w:sz w:val="22"/>
          <w:szCs w:val="22"/>
          <w:lang w:val="en-GB"/>
        </w:rPr>
        <w:t xml:space="preserve">However, despite Offshore contribution driven by production on Ika field after performed workover, higher production from project on Marica D well and contribution from Production System Optimization projects on Kučanci-Kapelna, Privlaka, Števkovica and Lipovljani fields, Croatian production decreased </w:t>
      </w:r>
      <w:r w:rsidR="00C52DE4" w:rsidRPr="002F2A5D">
        <w:rPr>
          <w:rFonts w:asciiTheme="minorHAnsi" w:hAnsiTheme="minorHAnsi" w:cstheme="minorHAnsi"/>
          <w:bCs/>
          <w:sz w:val="22"/>
          <w:szCs w:val="22"/>
          <w:lang w:val="en-GB"/>
        </w:rPr>
        <w:t>because of</w:t>
      </w:r>
      <w:r w:rsidRPr="002F2A5D">
        <w:rPr>
          <w:rFonts w:asciiTheme="minorHAnsi" w:hAnsiTheme="minorHAnsi" w:cstheme="minorHAnsi"/>
          <w:bCs/>
          <w:sz w:val="22"/>
          <w:szCs w:val="22"/>
          <w:lang w:val="en-GB"/>
        </w:rPr>
        <w:t xml:space="preserve"> lower production mainly from Ferdinandovac, Vučkovec, Stružec, Đeletovci, Ivanić and Žutica fields</w:t>
      </w:r>
      <w:r w:rsidR="00A4165F">
        <w:rPr>
          <w:rFonts w:asciiTheme="minorHAnsi" w:hAnsiTheme="minorHAnsi" w:cstheme="minorHAnsi"/>
          <w:bCs/>
          <w:sz w:val="22"/>
          <w:szCs w:val="22"/>
          <w:lang w:val="en-GB"/>
        </w:rPr>
        <w:t>.</w:t>
      </w:r>
      <w:r w:rsidR="004309F0">
        <w:rPr>
          <w:rFonts w:asciiTheme="minorHAnsi" w:hAnsiTheme="minorHAnsi" w:cstheme="minorHAnsi"/>
          <w:bCs/>
          <w:sz w:val="22"/>
          <w:szCs w:val="22"/>
          <w:lang w:val="en-GB"/>
        </w:rPr>
        <w:t xml:space="preserve"> </w:t>
      </w:r>
      <w:r w:rsidRPr="002F2A5D">
        <w:rPr>
          <w:rFonts w:asciiTheme="minorHAnsi" w:hAnsiTheme="minorHAnsi" w:cstheme="minorHAnsi"/>
          <w:bCs/>
          <w:sz w:val="22"/>
          <w:szCs w:val="22"/>
          <w:lang w:val="en-GB"/>
        </w:rPr>
        <w:t xml:space="preserve">International production </w:t>
      </w:r>
      <w:r w:rsidR="00A4165F">
        <w:rPr>
          <w:rFonts w:asciiTheme="minorHAnsi" w:hAnsiTheme="minorHAnsi" w:cstheme="minorHAnsi"/>
          <w:bCs/>
          <w:sz w:val="22"/>
          <w:szCs w:val="22"/>
          <w:lang w:val="en-GB"/>
        </w:rPr>
        <w:t>was at planned</w:t>
      </w:r>
      <w:r w:rsidRPr="002F2A5D">
        <w:rPr>
          <w:rFonts w:asciiTheme="minorHAnsi" w:hAnsiTheme="minorHAnsi" w:cstheme="minorHAnsi"/>
          <w:bCs/>
          <w:sz w:val="22"/>
          <w:szCs w:val="22"/>
          <w:lang w:val="en-GB"/>
        </w:rPr>
        <w:t xml:space="preserve"> level. </w:t>
      </w:r>
      <w:r w:rsidR="00A4165F">
        <w:rPr>
          <w:rFonts w:asciiTheme="minorHAnsi" w:hAnsiTheme="minorHAnsi" w:cstheme="minorHAnsi"/>
          <w:bCs/>
          <w:sz w:val="22"/>
          <w:szCs w:val="22"/>
          <w:lang w:val="en-GB"/>
        </w:rPr>
        <w:t>Production in</w:t>
      </w:r>
      <w:r w:rsidRPr="002F2A5D">
        <w:rPr>
          <w:rFonts w:asciiTheme="minorHAnsi" w:hAnsiTheme="minorHAnsi" w:cstheme="minorHAnsi"/>
          <w:bCs/>
          <w:sz w:val="22"/>
          <w:szCs w:val="22"/>
          <w:lang w:val="en-GB"/>
        </w:rPr>
        <w:t xml:space="preserve"> Egypt </w:t>
      </w:r>
      <w:r w:rsidR="00A4165F">
        <w:rPr>
          <w:rFonts w:asciiTheme="minorHAnsi" w:hAnsiTheme="minorHAnsi" w:cstheme="minorHAnsi"/>
          <w:bCs/>
          <w:sz w:val="22"/>
          <w:szCs w:val="22"/>
          <w:lang w:val="en-GB"/>
        </w:rPr>
        <w:t xml:space="preserve">was higher </w:t>
      </w:r>
      <w:r w:rsidR="005011CA">
        <w:rPr>
          <w:rFonts w:asciiTheme="minorHAnsi" w:hAnsiTheme="minorHAnsi" w:cstheme="minorHAnsi"/>
          <w:bCs/>
          <w:sz w:val="22"/>
          <w:szCs w:val="22"/>
          <w:lang w:val="en-GB"/>
        </w:rPr>
        <w:t>due to</w:t>
      </w:r>
      <w:r w:rsidRPr="002F2A5D">
        <w:rPr>
          <w:rFonts w:asciiTheme="minorHAnsi" w:hAnsiTheme="minorHAnsi" w:cstheme="minorHAnsi"/>
          <w:bCs/>
          <w:sz w:val="22"/>
          <w:szCs w:val="22"/>
          <w:lang w:val="en-GB"/>
        </w:rPr>
        <w:t xml:space="preserve"> newly drilled wells on Sidra, Ganna and Abrar fields and performed well workovers, partially offset by the divestment of Egypt East Yidma and Angola concessions</w:t>
      </w:r>
      <w:r w:rsidR="0055479B">
        <w:rPr>
          <w:rFonts w:asciiTheme="minorHAnsi" w:hAnsiTheme="minorHAnsi" w:cstheme="minorHAnsi"/>
          <w:bCs/>
          <w:sz w:val="22"/>
          <w:szCs w:val="22"/>
          <w:lang w:val="en-GB"/>
        </w:rPr>
        <w:t>.</w:t>
      </w:r>
      <w:r w:rsidRPr="002F2A5D">
        <w:rPr>
          <w:rFonts w:asciiTheme="minorHAnsi" w:hAnsiTheme="minorHAnsi" w:cstheme="minorHAnsi"/>
          <w:bCs/>
          <w:sz w:val="22"/>
          <w:szCs w:val="22"/>
          <w:lang w:val="en-GB"/>
        </w:rPr>
        <w:t xml:space="preserve"> </w:t>
      </w:r>
    </w:p>
    <w:p w14:paraId="3D17D187" w14:textId="6E1087D1" w:rsidR="005B6126" w:rsidRDefault="000A58D7" w:rsidP="002F4203">
      <w:pPr>
        <w:pStyle w:val="NoSpacing"/>
        <w:contextualSpacing/>
        <w:rPr>
          <w:rFonts w:asciiTheme="minorHAnsi" w:eastAsia="Times New Roman" w:hAnsiTheme="minorHAnsi" w:cstheme="minorHAnsi"/>
          <w:bCs/>
          <w:sz w:val="22"/>
          <w:szCs w:val="22"/>
        </w:rPr>
      </w:pPr>
      <w:r w:rsidRPr="002F4203">
        <w:rPr>
          <w:rFonts w:asciiTheme="minorHAnsi" w:eastAsia="Times New Roman" w:hAnsiTheme="minorHAnsi" w:cstheme="minorHAnsi"/>
          <w:bCs/>
          <w:sz w:val="22"/>
          <w:szCs w:val="22"/>
        </w:rPr>
        <w:t xml:space="preserve">In the first six months of 2023 </w:t>
      </w:r>
      <w:r w:rsidR="00945394" w:rsidRPr="002F4203">
        <w:rPr>
          <w:rFonts w:asciiTheme="minorHAnsi" w:eastAsia="Times New Roman" w:hAnsiTheme="minorHAnsi" w:cstheme="minorHAnsi"/>
          <w:bCs/>
          <w:sz w:val="22"/>
          <w:szCs w:val="22"/>
        </w:rPr>
        <w:t xml:space="preserve">CAPEX level </w:t>
      </w:r>
      <w:r w:rsidRPr="002F4203">
        <w:rPr>
          <w:rFonts w:asciiTheme="minorHAnsi" w:eastAsia="Times New Roman" w:hAnsiTheme="minorHAnsi" w:cstheme="minorHAnsi"/>
          <w:bCs/>
          <w:sz w:val="22"/>
          <w:szCs w:val="22"/>
        </w:rPr>
        <w:t xml:space="preserve">was lower </w:t>
      </w:r>
      <w:r w:rsidR="00945394" w:rsidRPr="002F4203">
        <w:rPr>
          <w:rFonts w:asciiTheme="minorHAnsi" w:eastAsia="Times New Roman" w:hAnsiTheme="minorHAnsi" w:cstheme="minorHAnsi"/>
          <w:bCs/>
          <w:sz w:val="22"/>
          <w:szCs w:val="22"/>
        </w:rPr>
        <w:t>compared to H1 2022 due to lower Croatia Offshore activities in H1 2023</w:t>
      </w:r>
      <w:r w:rsidR="00064DE6" w:rsidRPr="002F4203">
        <w:rPr>
          <w:rFonts w:asciiTheme="minorHAnsi" w:eastAsia="Times New Roman" w:hAnsiTheme="minorHAnsi" w:cstheme="minorHAnsi"/>
          <w:bCs/>
          <w:sz w:val="22"/>
          <w:szCs w:val="22"/>
        </w:rPr>
        <w:t xml:space="preserve">. </w:t>
      </w:r>
      <w:r w:rsidR="00945394" w:rsidRPr="002F4203">
        <w:rPr>
          <w:rFonts w:asciiTheme="minorHAnsi" w:eastAsia="Times New Roman" w:hAnsiTheme="minorHAnsi" w:cstheme="minorHAnsi"/>
          <w:bCs/>
          <w:sz w:val="22"/>
          <w:szCs w:val="22"/>
        </w:rPr>
        <w:t>Main activities</w:t>
      </w:r>
      <w:r w:rsidR="00064DE6" w:rsidRPr="002F4203">
        <w:rPr>
          <w:rFonts w:asciiTheme="minorHAnsi" w:eastAsia="Times New Roman" w:hAnsiTheme="minorHAnsi" w:cstheme="minorHAnsi"/>
          <w:bCs/>
          <w:sz w:val="22"/>
          <w:szCs w:val="22"/>
        </w:rPr>
        <w:t xml:space="preserve"> </w:t>
      </w:r>
      <w:r w:rsidR="00945394" w:rsidRPr="002F4203">
        <w:rPr>
          <w:rFonts w:asciiTheme="minorHAnsi" w:eastAsia="Times New Roman" w:hAnsiTheme="minorHAnsi" w:cstheme="minorHAnsi"/>
          <w:bCs/>
          <w:sz w:val="22"/>
          <w:szCs w:val="22"/>
        </w:rPr>
        <w:t>were related to</w:t>
      </w:r>
      <w:r w:rsidR="00064DE6" w:rsidRPr="002F4203">
        <w:rPr>
          <w:rFonts w:asciiTheme="minorHAnsi" w:eastAsia="Times New Roman" w:hAnsiTheme="minorHAnsi" w:cstheme="minorHAnsi"/>
          <w:bCs/>
          <w:sz w:val="22"/>
          <w:szCs w:val="22"/>
        </w:rPr>
        <w:t xml:space="preserve"> </w:t>
      </w:r>
      <w:r w:rsidR="00945394" w:rsidRPr="002F4203">
        <w:rPr>
          <w:rFonts w:asciiTheme="minorHAnsi" w:eastAsia="Times New Roman" w:hAnsiTheme="minorHAnsi" w:cstheme="minorHAnsi"/>
          <w:bCs/>
          <w:sz w:val="22"/>
          <w:szCs w:val="22"/>
        </w:rPr>
        <w:t>Croatia Exploration</w:t>
      </w:r>
      <w:r w:rsidR="00671C99" w:rsidRPr="002F4203">
        <w:rPr>
          <w:rFonts w:asciiTheme="minorHAnsi" w:eastAsia="Times New Roman" w:hAnsiTheme="minorHAnsi" w:cstheme="minorHAnsi"/>
          <w:bCs/>
          <w:sz w:val="22"/>
          <w:szCs w:val="22"/>
        </w:rPr>
        <w:t xml:space="preserve"> (</w:t>
      </w:r>
      <w:bookmarkStart w:id="2" w:name="_Hlk62200518"/>
      <w:r w:rsidR="00945394" w:rsidRPr="002F4203">
        <w:rPr>
          <w:rFonts w:asciiTheme="minorHAnsi" w:eastAsia="Times New Roman" w:hAnsiTheme="minorHAnsi" w:cstheme="minorHAnsi"/>
          <w:bCs/>
          <w:sz w:val="22"/>
          <w:szCs w:val="22"/>
        </w:rPr>
        <w:t>Drava-03</w:t>
      </w:r>
      <w:r w:rsidR="00623B67">
        <w:rPr>
          <w:rFonts w:asciiTheme="minorHAnsi" w:eastAsia="Times New Roman" w:hAnsiTheme="minorHAnsi" w:cstheme="minorHAnsi"/>
          <w:bCs/>
          <w:sz w:val="22"/>
          <w:szCs w:val="22"/>
        </w:rPr>
        <w:t xml:space="preserve"> </w:t>
      </w:r>
      <w:r w:rsidR="00623B67" w:rsidRPr="007934EA">
        <w:rPr>
          <w:rFonts w:asciiTheme="minorHAnsi" w:eastAsia="Times New Roman" w:hAnsiTheme="minorHAnsi" w:cstheme="minorHAnsi"/>
          <w:bCs/>
          <w:sz w:val="22"/>
          <w:szCs w:val="22"/>
        </w:rPr>
        <w:t>exploration area</w:t>
      </w:r>
      <w:r w:rsidR="00945394" w:rsidRPr="002F4203">
        <w:rPr>
          <w:rFonts w:asciiTheme="minorHAnsi" w:eastAsia="Times New Roman" w:hAnsiTheme="minorHAnsi" w:cstheme="minorHAnsi"/>
          <w:bCs/>
          <w:sz w:val="22"/>
          <w:szCs w:val="22"/>
        </w:rPr>
        <w:t xml:space="preserve">: </w:t>
      </w:r>
      <w:r w:rsidR="008F3FC2" w:rsidRPr="002F4203">
        <w:rPr>
          <w:rFonts w:asciiTheme="minorHAnsi" w:eastAsia="Times New Roman" w:hAnsiTheme="minorHAnsi" w:cstheme="minorHAnsi"/>
          <w:bCs/>
          <w:sz w:val="22"/>
          <w:szCs w:val="22"/>
        </w:rPr>
        <w:t>d</w:t>
      </w:r>
      <w:r w:rsidR="00945394" w:rsidRPr="002F4203">
        <w:rPr>
          <w:rFonts w:asciiTheme="minorHAnsi" w:eastAsia="Times New Roman" w:hAnsiTheme="minorHAnsi" w:cstheme="minorHAnsi"/>
          <w:bCs/>
          <w:sz w:val="22"/>
          <w:szCs w:val="22"/>
        </w:rPr>
        <w:t>rilling of Veliki Rastovac-1 well finished, well test to follow</w:t>
      </w:r>
      <w:r w:rsidR="00671C99" w:rsidRPr="002F4203">
        <w:rPr>
          <w:rFonts w:asciiTheme="minorHAnsi" w:eastAsia="Times New Roman" w:hAnsiTheme="minorHAnsi" w:cstheme="minorHAnsi"/>
          <w:bCs/>
          <w:sz w:val="22"/>
          <w:szCs w:val="22"/>
        </w:rPr>
        <w:t>), C</w:t>
      </w:r>
      <w:r w:rsidR="00945394" w:rsidRPr="002F4203">
        <w:rPr>
          <w:rFonts w:asciiTheme="minorHAnsi" w:eastAsia="Times New Roman" w:hAnsiTheme="minorHAnsi" w:cstheme="minorHAnsi"/>
          <w:bCs/>
          <w:sz w:val="22"/>
          <w:szCs w:val="22"/>
        </w:rPr>
        <w:t>roatia Offshore</w:t>
      </w:r>
      <w:r w:rsidR="00671C99" w:rsidRPr="002F4203">
        <w:rPr>
          <w:rFonts w:asciiTheme="minorHAnsi" w:eastAsia="Times New Roman" w:hAnsiTheme="minorHAnsi" w:cstheme="minorHAnsi"/>
          <w:bCs/>
          <w:sz w:val="22"/>
          <w:szCs w:val="22"/>
        </w:rPr>
        <w:t xml:space="preserve"> </w:t>
      </w:r>
      <w:r w:rsidR="00671C99" w:rsidRPr="002F4203">
        <w:rPr>
          <w:rFonts w:asciiTheme="minorHAnsi" w:eastAsia="Times New Roman" w:hAnsiTheme="minorHAnsi" w:cstheme="minorHAnsi"/>
          <w:bCs/>
          <w:sz w:val="22"/>
          <w:szCs w:val="22"/>
        </w:rPr>
        <w:lastRenderedPageBreak/>
        <w:t>(p</w:t>
      </w:r>
      <w:r w:rsidR="00945394" w:rsidRPr="002F4203">
        <w:rPr>
          <w:rFonts w:asciiTheme="minorHAnsi" w:eastAsia="Times New Roman" w:hAnsiTheme="minorHAnsi" w:cstheme="minorHAnsi"/>
          <w:bCs/>
          <w:sz w:val="22"/>
          <w:szCs w:val="22"/>
        </w:rPr>
        <w:t>ermitting for drilling well Izabela-9</w:t>
      </w:r>
      <w:r w:rsidR="00623B67">
        <w:rPr>
          <w:rFonts w:asciiTheme="minorHAnsi" w:eastAsia="Times New Roman" w:hAnsiTheme="minorHAnsi" w:cstheme="minorHAnsi"/>
          <w:bCs/>
          <w:sz w:val="22"/>
          <w:szCs w:val="22"/>
        </w:rPr>
        <w:t xml:space="preserve"> is</w:t>
      </w:r>
      <w:r w:rsidR="00945394" w:rsidRPr="002F4203">
        <w:rPr>
          <w:rFonts w:asciiTheme="minorHAnsi" w:eastAsia="Times New Roman" w:hAnsiTheme="minorHAnsi" w:cstheme="minorHAnsi"/>
          <w:bCs/>
          <w:sz w:val="22"/>
          <w:szCs w:val="22"/>
        </w:rPr>
        <w:t xml:space="preserve"> in progress</w:t>
      </w:r>
      <w:r w:rsidR="00C52DE4">
        <w:rPr>
          <w:rFonts w:asciiTheme="minorHAnsi" w:eastAsia="Times New Roman" w:hAnsiTheme="minorHAnsi" w:cstheme="minorHAnsi"/>
          <w:bCs/>
          <w:sz w:val="22"/>
          <w:szCs w:val="22"/>
        </w:rPr>
        <w:t>,</w:t>
      </w:r>
      <w:r w:rsidR="00623B67">
        <w:rPr>
          <w:rFonts w:asciiTheme="minorHAnsi" w:eastAsia="Times New Roman" w:hAnsiTheme="minorHAnsi" w:cstheme="minorHAnsi"/>
          <w:bCs/>
          <w:sz w:val="22"/>
          <w:szCs w:val="22"/>
        </w:rPr>
        <w:t xml:space="preserve"> </w:t>
      </w:r>
      <w:r w:rsidR="00C52DE4">
        <w:rPr>
          <w:rFonts w:asciiTheme="minorHAnsi" w:eastAsia="Times New Roman" w:hAnsiTheme="minorHAnsi" w:cstheme="minorHAnsi"/>
          <w:bCs/>
          <w:sz w:val="22"/>
          <w:szCs w:val="22"/>
        </w:rPr>
        <w:t>f</w:t>
      </w:r>
      <w:r w:rsidR="00623B67">
        <w:rPr>
          <w:rFonts w:asciiTheme="minorHAnsi" w:eastAsia="Times New Roman" w:hAnsiTheme="minorHAnsi" w:cstheme="minorHAnsi"/>
          <w:bCs/>
          <w:sz w:val="22"/>
          <w:szCs w:val="22"/>
        </w:rPr>
        <w:t>inished abandonment activities of platform</w:t>
      </w:r>
      <w:r w:rsidR="00671C99" w:rsidRPr="002F4203">
        <w:rPr>
          <w:rFonts w:asciiTheme="minorHAnsi" w:eastAsia="Times New Roman" w:hAnsiTheme="minorHAnsi" w:cstheme="minorHAnsi"/>
          <w:bCs/>
          <w:sz w:val="22"/>
          <w:szCs w:val="22"/>
        </w:rPr>
        <w:t xml:space="preserve"> </w:t>
      </w:r>
      <w:r w:rsidR="00945394" w:rsidRPr="002F4203">
        <w:rPr>
          <w:rFonts w:asciiTheme="minorHAnsi" w:eastAsia="Times New Roman" w:hAnsiTheme="minorHAnsi" w:cstheme="minorHAnsi"/>
          <w:bCs/>
          <w:sz w:val="22"/>
          <w:szCs w:val="22"/>
        </w:rPr>
        <w:t>Ivana D</w:t>
      </w:r>
      <w:r w:rsidR="00283A83" w:rsidRPr="002F4203">
        <w:rPr>
          <w:rFonts w:asciiTheme="minorHAnsi" w:eastAsia="Times New Roman" w:hAnsiTheme="minorHAnsi" w:cstheme="minorHAnsi"/>
          <w:bCs/>
          <w:sz w:val="22"/>
          <w:szCs w:val="22"/>
        </w:rPr>
        <w:t xml:space="preserve">) and </w:t>
      </w:r>
      <w:r w:rsidR="00945394" w:rsidRPr="002F4203">
        <w:rPr>
          <w:rFonts w:asciiTheme="minorHAnsi" w:eastAsia="Times New Roman" w:hAnsiTheme="minorHAnsi" w:cstheme="minorHAnsi"/>
          <w:bCs/>
          <w:sz w:val="22"/>
          <w:szCs w:val="22"/>
        </w:rPr>
        <w:t>Croatia Onshore</w:t>
      </w:r>
      <w:r w:rsidR="00283A83" w:rsidRPr="002F4203">
        <w:rPr>
          <w:rFonts w:asciiTheme="minorHAnsi" w:eastAsia="Times New Roman" w:hAnsiTheme="minorHAnsi" w:cstheme="minorHAnsi"/>
          <w:bCs/>
          <w:sz w:val="22"/>
          <w:szCs w:val="22"/>
        </w:rPr>
        <w:t xml:space="preserve"> (</w:t>
      </w:r>
      <w:r w:rsidR="00C52DE4">
        <w:rPr>
          <w:rFonts w:asciiTheme="minorHAnsi" w:eastAsia="Times New Roman" w:hAnsiTheme="minorHAnsi" w:cstheme="minorHAnsi"/>
          <w:bCs/>
          <w:sz w:val="22"/>
          <w:szCs w:val="22"/>
        </w:rPr>
        <w:t xml:space="preserve">as </w:t>
      </w:r>
      <w:r w:rsidR="00623B67">
        <w:rPr>
          <w:rFonts w:asciiTheme="minorHAnsi" w:eastAsia="Times New Roman" w:hAnsiTheme="minorHAnsi" w:cstheme="minorHAnsi"/>
          <w:bCs/>
          <w:sz w:val="22"/>
          <w:szCs w:val="22"/>
        </w:rPr>
        <w:t xml:space="preserve">part of </w:t>
      </w:r>
      <w:r w:rsidR="00283A83" w:rsidRPr="002F4203">
        <w:rPr>
          <w:rFonts w:asciiTheme="minorHAnsi" w:eastAsia="Times New Roman" w:hAnsiTheme="minorHAnsi" w:cstheme="minorHAnsi"/>
          <w:bCs/>
          <w:sz w:val="22"/>
          <w:szCs w:val="22"/>
        </w:rPr>
        <w:t>p</w:t>
      </w:r>
      <w:r w:rsidR="00945394" w:rsidRPr="002F4203">
        <w:rPr>
          <w:rFonts w:asciiTheme="minorHAnsi" w:eastAsia="Times New Roman" w:hAnsiTheme="minorHAnsi" w:cstheme="minorHAnsi"/>
          <w:bCs/>
          <w:sz w:val="22"/>
          <w:szCs w:val="22"/>
        </w:rPr>
        <w:t>roduction optimization</w:t>
      </w:r>
      <w:r w:rsidR="00623B67">
        <w:rPr>
          <w:rFonts w:asciiTheme="minorHAnsi" w:eastAsia="Times New Roman" w:hAnsiTheme="minorHAnsi" w:cstheme="minorHAnsi"/>
          <w:bCs/>
          <w:sz w:val="22"/>
          <w:szCs w:val="22"/>
        </w:rPr>
        <w:t xml:space="preserve"> </w:t>
      </w:r>
      <w:r w:rsidR="00945394" w:rsidRPr="002F4203">
        <w:rPr>
          <w:rFonts w:asciiTheme="minorHAnsi" w:eastAsia="Times New Roman" w:hAnsiTheme="minorHAnsi" w:cstheme="minorHAnsi"/>
          <w:bCs/>
          <w:sz w:val="22"/>
          <w:szCs w:val="22"/>
        </w:rPr>
        <w:t>24 well workovers</w:t>
      </w:r>
      <w:r w:rsidR="00623B67">
        <w:rPr>
          <w:rFonts w:asciiTheme="minorHAnsi" w:eastAsia="Times New Roman" w:hAnsiTheme="minorHAnsi" w:cstheme="minorHAnsi"/>
          <w:bCs/>
          <w:sz w:val="22"/>
          <w:szCs w:val="22"/>
        </w:rPr>
        <w:t xml:space="preserve"> </w:t>
      </w:r>
      <w:r w:rsidR="00C52DE4">
        <w:rPr>
          <w:rFonts w:asciiTheme="minorHAnsi" w:eastAsia="Times New Roman" w:hAnsiTheme="minorHAnsi" w:cstheme="minorHAnsi"/>
          <w:bCs/>
          <w:sz w:val="22"/>
          <w:szCs w:val="22"/>
        </w:rPr>
        <w:t xml:space="preserve">were </w:t>
      </w:r>
      <w:r w:rsidR="00623B67">
        <w:rPr>
          <w:rFonts w:asciiTheme="minorHAnsi" w:eastAsia="Times New Roman" w:hAnsiTheme="minorHAnsi" w:cstheme="minorHAnsi"/>
          <w:bCs/>
          <w:sz w:val="22"/>
          <w:szCs w:val="22"/>
        </w:rPr>
        <w:t>performed</w:t>
      </w:r>
      <w:r w:rsidR="00C52DE4">
        <w:rPr>
          <w:rFonts w:asciiTheme="minorHAnsi" w:eastAsia="Times New Roman" w:hAnsiTheme="minorHAnsi" w:cstheme="minorHAnsi"/>
          <w:bCs/>
          <w:sz w:val="22"/>
          <w:szCs w:val="22"/>
        </w:rPr>
        <w:t xml:space="preserve"> and c</w:t>
      </w:r>
      <w:r w:rsidR="00623B67">
        <w:rPr>
          <w:rFonts w:asciiTheme="minorHAnsi" w:eastAsia="Times New Roman" w:hAnsiTheme="minorHAnsi" w:cstheme="minorHAnsi"/>
          <w:bCs/>
          <w:sz w:val="22"/>
          <w:szCs w:val="22"/>
        </w:rPr>
        <w:t>onstruction works at Gola station finished as part of</w:t>
      </w:r>
      <w:r w:rsidR="008F3FC2" w:rsidRPr="002F4203">
        <w:rPr>
          <w:rFonts w:asciiTheme="minorHAnsi" w:eastAsia="Times New Roman" w:hAnsiTheme="minorHAnsi" w:cstheme="minorHAnsi"/>
          <w:bCs/>
          <w:sz w:val="22"/>
          <w:szCs w:val="22"/>
        </w:rPr>
        <w:t xml:space="preserve"> </w:t>
      </w:r>
      <w:r w:rsidR="00945394" w:rsidRPr="002F4203">
        <w:rPr>
          <w:rFonts w:asciiTheme="minorHAnsi" w:eastAsia="Times New Roman" w:hAnsiTheme="minorHAnsi" w:cstheme="minorHAnsi"/>
          <w:bCs/>
          <w:sz w:val="22"/>
          <w:szCs w:val="22"/>
        </w:rPr>
        <w:t>Somogy</w:t>
      </w:r>
      <w:r w:rsidR="00623B67">
        <w:rPr>
          <w:rFonts w:asciiTheme="minorHAnsi" w:eastAsia="Times New Roman" w:hAnsiTheme="minorHAnsi" w:cstheme="minorHAnsi"/>
          <w:bCs/>
          <w:sz w:val="22"/>
          <w:szCs w:val="22"/>
        </w:rPr>
        <w:t xml:space="preserve"> gas project</w:t>
      </w:r>
      <w:r w:rsidR="008F3FC2" w:rsidRPr="002F4203">
        <w:rPr>
          <w:rFonts w:asciiTheme="minorHAnsi" w:eastAsia="Times New Roman" w:hAnsiTheme="minorHAnsi" w:cstheme="minorHAnsi"/>
          <w:bCs/>
          <w:sz w:val="22"/>
          <w:szCs w:val="22"/>
        </w:rPr>
        <w:t>)</w:t>
      </w:r>
      <w:r w:rsidR="00945394" w:rsidRPr="002F4203">
        <w:rPr>
          <w:rFonts w:asciiTheme="minorHAnsi" w:eastAsia="Times New Roman" w:hAnsiTheme="minorHAnsi" w:cstheme="minorHAnsi"/>
          <w:bCs/>
          <w:sz w:val="22"/>
          <w:szCs w:val="22"/>
        </w:rPr>
        <w:t xml:space="preserve">. </w:t>
      </w:r>
    </w:p>
    <w:p w14:paraId="5C58DF31" w14:textId="77777777" w:rsidR="005B6126" w:rsidRDefault="005B6126" w:rsidP="002F4203">
      <w:pPr>
        <w:pStyle w:val="NoSpacing"/>
        <w:contextualSpacing/>
        <w:rPr>
          <w:rFonts w:asciiTheme="minorHAnsi" w:eastAsia="Times New Roman" w:hAnsiTheme="minorHAnsi" w:cstheme="minorHAnsi"/>
          <w:bCs/>
          <w:sz w:val="22"/>
          <w:szCs w:val="22"/>
        </w:rPr>
      </w:pPr>
    </w:p>
    <w:p w14:paraId="52FB9B68" w14:textId="20B881D0" w:rsidR="00945394" w:rsidRPr="002F4203" w:rsidRDefault="005226B3" w:rsidP="002F4203">
      <w:pPr>
        <w:pStyle w:val="NoSpacing"/>
        <w:contextualSpacing/>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I</w:t>
      </w:r>
      <w:r w:rsidR="00BE1B87" w:rsidRPr="002F4203">
        <w:rPr>
          <w:rFonts w:asciiTheme="minorHAnsi" w:eastAsia="Times New Roman" w:hAnsiTheme="minorHAnsi" w:cstheme="minorHAnsi"/>
          <w:bCs/>
          <w:sz w:val="22"/>
          <w:szCs w:val="22"/>
        </w:rPr>
        <w:t xml:space="preserve">n </w:t>
      </w:r>
      <w:bookmarkEnd w:id="2"/>
      <w:r w:rsidR="00945394" w:rsidRPr="002F4203">
        <w:rPr>
          <w:rFonts w:asciiTheme="minorHAnsi" w:eastAsia="Times New Roman" w:hAnsiTheme="minorHAnsi" w:cstheme="minorHAnsi"/>
          <w:bCs/>
          <w:sz w:val="22"/>
          <w:szCs w:val="22"/>
        </w:rPr>
        <w:t xml:space="preserve">North Bahariya 14 development wells drilled </w:t>
      </w:r>
      <w:r w:rsidR="009D4183" w:rsidRPr="002F4203">
        <w:rPr>
          <w:rFonts w:asciiTheme="minorHAnsi" w:eastAsia="Times New Roman" w:hAnsiTheme="minorHAnsi" w:cstheme="minorHAnsi"/>
          <w:bCs/>
          <w:sz w:val="22"/>
          <w:szCs w:val="22"/>
        </w:rPr>
        <w:t>and</w:t>
      </w:r>
      <w:r w:rsidR="00945394" w:rsidRPr="002F4203">
        <w:rPr>
          <w:rFonts w:asciiTheme="minorHAnsi" w:eastAsia="Times New Roman" w:hAnsiTheme="minorHAnsi" w:cstheme="minorHAnsi"/>
          <w:bCs/>
          <w:sz w:val="22"/>
          <w:szCs w:val="22"/>
        </w:rPr>
        <w:t xml:space="preserve"> drilling of </w:t>
      </w:r>
      <w:r w:rsidR="00A13B13" w:rsidRPr="002F4203">
        <w:rPr>
          <w:rFonts w:asciiTheme="minorHAnsi" w:eastAsia="Times New Roman" w:hAnsiTheme="minorHAnsi" w:cstheme="minorHAnsi"/>
          <w:bCs/>
          <w:sz w:val="22"/>
          <w:szCs w:val="22"/>
        </w:rPr>
        <w:t>another</w:t>
      </w:r>
      <w:r w:rsidR="00945394" w:rsidRPr="002F4203">
        <w:rPr>
          <w:rFonts w:asciiTheme="minorHAnsi" w:eastAsia="Times New Roman" w:hAnsiTheme="minorHAnsi" w:cstheme="minorHAnsi"/>
          <w:bCs/>
          <w:sz w:val="22"/>
          <w:szCs w:val="22"/>
        </w:rPr>
        <w:t xml:space="preserve"> development well </w:t>
      </w:r>
      <w:r w:rsidR="00A13B13" w:rsidRPr="002F4203">
        <w:rPr>
          <w:rFonts w:asciiTheme="minorHAnsi" w:eastAsia="Times New Roman" w:hAnsiTheme="minorHAnsi" w:cstheme="minorHAnsi"/>
          <w:bCs/>
          <w:sz w:val="22"/>
          <w:szCs w:val="22"/>
        </w:rPr>
        <w:t xml:space="preserve">is </w:t>
      </w:r>
      <w:r w:rsidR="00945394" w:rsidRPr="002F4203">
        <w:rPr>
          <w:rFonts w:asciiTheme="minorHAnsi" w:eastAsia="Times New Roman" w:hAnsiTheme="minorHAnsi" w:cstheme="minorHAnsi"/>
          <w:bCs/>
          <w:sz w:val="22"/>
          <w:szCs w:val="22"/>
        </w:rPr>
        <w:t>ongoing</w:t>
      </w:r>
      <w:r w:rsidR="00A13B13" w:rsidRPr="002F4203">
        <w:rPr>
          <w:rFonts w:asciiTheme="minorHAnsi" w:eastAsia="Times New Roman" w:hAnsiTheme="minorHAnsi" w:cstheme="minorHAnsi"/>
          <w:bCs/>
          <w:sz w:val="22"/>
          <w:szCs w:val="22"/>
        </w:rPr>
        <w:t>.</w:t>
      </w:r>
      <w:r w:rsidR="003B46A4" w:rsidRPr="002F4203">
        <w:rPr>
          <w:rFonts w:asciiTheme="minorHAnsi" w:eastAsia="Times New Roman" w:hAnsiTheme="minorHAnsi" w:cstheme="minorHAnsi"/>
          <w:bCs/>
          <w:sz w:val="22"/>
          <w:szCs w:val="22"/>
        </w:rPr>
        <w:t xml:space="preserve"> In </w:t>
      </w:r>
      <w:r w:rsidR="00945394" w:rsidRPr="002F4203">
        <w:rPr>
          <w:rFonts w:asciiTheme="minorHAnsi" w:eastAsia="Times New Roman" w:hAnsiTheme="minorHAnsi" w:cstheme="minorHAnsi"/>
          <w:bCs/>
          <w:sz w:val="22"/>
          <w:szCs w:val="22"/>
        </w:rPr>
        <w:t>Ras Qattara</w:t>
      </w:r>
      <w:r w:rsidR="003B46A4" w:rsidRPr="002F4203">
        <w:rPr>
          <w:rFonts w:asciiTheme="minorHAnsi" w:eastAsia="Times New Roman" w:hAnsiTheme="minorHAnsi" w:cstheme="minorHAnsi"/>
          <w:bCs/>
          <w:sz w:val="22"/>
          <w:szCs w:val="22"/>
        </w:rPr>
        <w:t xml:space="preserve"> d</w:t>
      </w:r>
      <w:r w:rsidR="00945394" w:rsidRPr="002F4203">
        <w:rPr>
          <w:rFonts w:asciiTheme="minorHAnsi" w:eastAsia="Times New Roman" w:hAnsiTheme="minorHAnsi" w:cstheme="minorHAnsi"/>
          <w:bCs/>
          <w:sz w:val="22"/>
          <w:szCs w:val="22"/>
        </w:rPr>
        <w:t xml:space="preserve">rilling of </w:t>
      </w:r>
      <w:r w:rsidR="003B46A4" w:rsidRPr="002F4203">
        <w:rPr>
          <w:rFonts w:asciiTheme="minorHAnsi" w:eastAsia="Times New Roman" w:hAnsiTheme="minorHAnsi" w:cstheme="minorHAnsi"/>
          <w:bCs/>
          <w:sz w:val="22"/>
          <w:szCs w:val="22"/>
        </w:rPr>
        <w:t>one</w:t>
      </w:r>
      <w:r w:rsidR="00945394" w:rsidRPr="002F4203">
        <w:rPr>
          <w:rFonts w:asciiTheme="minorHAnsi" w:eastAsia="Times New Roman" w:hAnsiTheme="minorHAnsi" w:cstheme="minorHAnsi"/>
          <w:bCs/>
          <w:sz w:val="22"/>
          <w:szCs w:val="22"/>
        </w:rPr>
        <w:t xml:space="preserve"> development well </w:t>
      </w:r>
      <w:r w:rsidR="003B46A4" w:rsidRPr="002F4203">
        <w:rPr>
          <w:rFonts w:asciiTheme="minorHAnsi" w:eastAsia="Times New Roman" w:hAnsiTheme="minorHAnsi" w:cstheme="minorHAnsi"/>
          <w:bCs/>
          <w:sz w:val="22"/>
          <w:szCs w:val="22"/>
        </w:rPr>
        <w:t xml:space="preserve">was </w:t>
      </w:r>
      <w:r w:rsidR="00945394" w:rsidRPr="002F4203">
        <w:rPr>
          <w:rFonts w:asciiTheme="minorHAnsi" w:eastAsia="Times New Roman" w:hAnsiTheme="minorHAnsi" w:cstheme="minorHAnsi"/>
          <w:bCs/>
          <w:sz w:val="22"/>
          <w:szCs w:val="22"/>
        </w:rPr>
        <w:t>completed in February</w:t>
      </w:r>
      <w:r w:rsidR="003B46A4" w:rsidRPr="002F4203">
        <w:rPr>
          <w:rFonts w:asciiTheme="minorHAnsi" w:eastAsia="Times New Roman" w:hAnsiTheme="minorHAnsi" w:cstheme="minorHAnsi"/>
          <w:bCs/>
          <w:sz w:val="22"/>
          <w:szCs w:val="22"/>
        </w:rPr>
        <w:t>, and the c</w:t>
      </w:r>
      <w:r w:rsidR="00945394" w:rsidRPr="002F4203">
        <w:rPr>
          <w:rFonts w:asciiTheme="minorHAnsi" w:eastAsia="Times New Roman" w:hAnsiTheme="minorHAnsi" w:cstheme="minorHAnsi"/>
          <w:bCs/>
          <w:sz w:val="22"/>
          <w:szCs w:val="22"/>
        </w:rPr>
        <w:t xml:space="preserve">oncession extension process </w:t>
      </w:r>
      <w:r w:rsidR="003B46A4" w:rsidRPr="002F4203">
        <w:rPr>
          <w:rFonts w:asciiTheme="minorHAnsi" w:eastAsia="Times New Roman" w:hAnsiTheme="minorHAnsi" w:cstheme="minorHAnsi"/>
          <w:bCs/>
          <w:sz w:val="22"/>
          <w:szCs w:val="22"/>
        </w:rPr>
        <w:t xml:space="preserve">is </w:t>
      </w:r>
      <w:r w:rsidR="00945394" w:rsidRPr="002F4203">
        <w:rPr>
          <w:rFonts w:asciiTheme="minorHAnsi" w:eastAsia="Times New Roman" w:hAnsiTheme="minorHAnsi" w:cstheme="minorHAnsi"/>
          <w:bCs/>
          <w:sz w:val="22"/>
          <w:szCs w:val="22"/>
        </w:rPr>
        <w:t>ongoing</w:t>
      </w:r>
      <w:r w:rsidR="003B46A4" w:rsidRPr="002F4203">
        <w:rPr>
          <w:rFonts w:asciiTheme="minorHAnsi" w:eastAsia="Times New Roman" w:hAnsiTheme="minorHAnsi" w:cstheme="minorHAnsi"/>
          <w:bCs/>
          <w:sz w:val="22"/>
          <w:szCs w:val="22"/>
        </w:rPr>
        <w:t>.</w:t>
      </w:r>
    </w:p>
    <w:p w14:paraId="29D09354" w14:textId="77777777" w:rsidR="000233FE" w:rsidRDefault="000233FE" w:rsidP="002C38AC">
      <w:pPr>
        <w:rPr>
          <w:rFonts w:asciiTheme="minorHAnsi" w:hAnsiTheme="minorHAnsi" w:cstheme="minorHAnsi"/>
          <w:bCs/>
          <w:sz w:val="22"/>
          <w:szCs w:val="22"/>
          <w:lang w:val="en-GB"/>
        </w:rPr>
      </w:pPr>
    </w:p>
    <w:p w14:paraId="103931B8" w14:textId="643A40B0" w:rsidR="00D749AE" w:rsidRPr="002F4203" w:rsidRDefault="00D749AE" w:rsidP="002C38AC">
      <w:pPr>
        <w:rPr>
          <w:rFonts w:asciiTheme="minorHAnsi" w:hAnsiTheme="minorHAnsi" w:cstheme="minorHAnsi"/>
          <w:bCs/>
          <w:sz w:val="22"/>
          <w:szCs w:val="22"/>
          <w:lang w:val="en-GB"/>
        </w:rPr>
        <w:sectPr w:rsidR="00D749AE" w:rsidRPr="002F4203" w:rsidSect="00621EAF">
          <w:type w:val="continuous"/>
          <w:pgSz w:w="11906" w:h="16838"/>
          <w:pgMar w:top="1417" w:right="1417" w:bottom="1417" w:left="1417" w:header="708" w:footer="708" w:gutter="0"/>
          <w:cols w:space="708"/>
          <w:docGrid w:linePitch="360"/>
        </w:sectPr>
      </w:pPr>
    </w:p>
    <w:p w14:paraId="079C25F9" w14:textId="27E48328" w:rsidR="00ED7AA1" w:rsidRPr="003F55E0" w:rsidRDefault="00FE6BEA" w:rsidP="003E0A2F">
      <w:pPr>
        <w:spacing w:line="360" w:lineRule="auto"/>
        <w:jc w:val="center"/>
        <w:rPr>
          <w:rFonts w:asciiTheme="minorHAnsi" w:hAnsiTheme="minorHAnsi" w:cstheme="minorHAnsi"/>
          <w:b/>
          <w:sz w:val="22"/>
          <w:szCs w:val="22"/>
          <w:lang w:val="en-GB"/>
        </w:rPr>
      </w:pPr>
      <w:r>
        <w:rPr>
          <w:rFonts w:asciiTheme="minorHAnsi" w:hAnsiTheme="minorHAnsi" w:cstheme="minorHAnsi"/>
          <w:b/>
          <w:noProof/>
          <w:sz w:val="22"/>
          <w:szCs w:val="22"/>
          <w:lang w:val="en-GB"/>
        </w:rPr>
        <w:drawing>
          <wp:inline distT="0" distB="0" distL="0" distR="0" wp14:anchorId="62594B1E" wp14:editId="08EAAADC">
            <wp:extent cx="2597150" cy="200303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6458" cy="2010210"/>
                    </a:xfrm>
                    <a:prstGeom prst="rect">
                      <a:avLst/>
                    </a:prstGeom>
                    <a:noFill/>
                  </pic:spPr>
                </pic:pic>
              </a:graphicData>
            </a:graphic>
          </wp:inline>
        </w:drawing>
      </w:r>
    </w:p>
    <w:p w14:paraId="4555C57F" w14:textId="26877511" w:rsidR="00ED7AA1" w:rsidRPr="003F55E0" w:rsidRDefault="003B1331" w:rsidP="003E0A2F">
      <w:pPr>
        <w:spacing w:line="360" w:lineRule="auto"/>
        <w:jc w:val="center"/>
        <w:rPr>
          <w:rFonts w:asciiTheme="minorHAnsi" w:hAnsiTheme="minorHAnsi" w:cstheme="minorHAnsi"/>
          <w:b/>
          <w:sz w:val="22"/>
          <w:szCs w:val="22"/>
          <w:lang w:val="en-GB"/>
        </w:rPr>
      </w:pPr>
      <w:r>
        <w:rPr>
          <w:rFonts w:asciiTheme="minorHAnsi" w:hAnsiTheme="minorHAnsi" w:cstheme="minorHAnsi"/>
          <w:b/>
          <w:noProof/>
          <w:sz w:val="22"/>
          <w:szCs w:val="22"/>
          <w:lang w:val="en-GB"/>
        </w:rPr>
        <w:drawing>
          <wp:inline distT="0" distB="0" distL="0" distR="0" wp14:anchorId="14F6AACE" wp14:editId="60BF9EDD">
            <wp:extent cx="2577078" cy="1987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3145" cy="1992229"/>
                    </a:xfrm>
                    <a:prstGeom prst="rect">
                      <a:avLst/>
                    </a:prstGeom>
                    <a:noFill/>
                  </pic:spPr>
                </pic:pic>
              </a:graphicData>
            </a:graphic>
          </wp:inline>
        </w:drawing>
      </w:r>
    </w:p>
    <w:p w14:paraId="7D352599" w14:textId="77777777" w:rsidR="00ED7AA1" w:rsidRPr="003F55E0" w:rsidRDefault="00ED7AA1" w:rsidP="00DE61CC">
      <w:pPr>
        <w:spacing w:line="360" w:lineRule="auto"/>
        <w:jc w:val="both"/>
        <w:rPr>
          <w:rFonts w:asciiTheme="minorHAnsi" w:hAnsiTheme="minorHAnsi" w:cstheme="minorHAnsi"/>
          <w:sz w:val="22"/>
          <w:szCs w:val="22"/>
          <w:lang w:val="en-GB"/>
        </w:rPr>
        <w:sectPr w:rsidR="00ED7AA1" w:rsidRPr="003F55E0" w:rsidSect="00ED7AA1">
          <w:type w:val="continuous"/>
          <w:pgSz w:w="11906" w:h="16838"/>
          <w:pgMar w:top="1417" w:right="1417" w:bottom="1417" w:left="1417" w:header="708" w:footer="708" w:gutter="0"/>
          <w:cols w:num="2" w:space="708"/>
          <w:docGrid w:linePitch="360"/>
        </w:sectPr>
      </w:pPr>
    </w:p>
    <w:p w14:paraId="14A28E35" w14:textId="1286460E" w:rsidR="00ED7AA1" w:rsidRPr="003F55E0" w:rsidRDefault="00FA06C4" w:rsidP="00F77244">
      <w:pPr>
        <w:spacing w:line="360" w:lineRule="auto"/>
        <w:jc w:val="center"/>
        <w:rPr>
          <w:rFonts w:asciiTheme="minorHAnsi" w:hAnsiTheme="minorHAnsi" w:cstheme="minorHAnsi"/>
          <w:sz w:val="22"/>
          <w:szCs w:val="22"/>
          <w:lang w:val="en-GB"/>
        </w:rPr>
      </w:pPr>
      <w:r>
        <w:rPr>
          <w:rFonts w:asciiTheme="minorHAnsi" w:hAnsiTheme="minorHAnsi" w:cstheme="minorHAnsi"/>
          <w:noProof/>
          <w:sz w:val="22"/>
          <w:szCs w:val="22"/>
          <w:lang w:val="en-GB"/>
        </w:rPr>
        <w:drawing>
          <wp:inline distT="0" distB="0" distL="0" distR="0" wp14:anchorId="4BDDEAD5" wp14:editId="753C2446">
            <wp:extent cx="2628900" cy="20219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34931" cy="2026613"/>
                    </a:xfrm>
                    <a:prstGeom prst="rect">
                      <a:avLst/>
                    </a:prstGeom>
                    <a:noFill/>
                  </pic:spPr>
                </pic:pic>
              </a:graphicData>
            </a:graphic>
          </wp:inline>
        </w:drawing>
      </w:r>
    </w:p>
    <w:p w14:paraId="77BEBE1F" w14:textId="77777777" w:rsidR="005F6008" w:rsidRDefault="005F6008" w:rsidP="001B7CDD">
      <w:pPr>
        <w:spacing w:line="360" w:lineRule="auto"/>
        <w:jc w:val="both"/>
        <w:rPr>
          <w:rFonts w:asciiTheme="minorHAnsi" w:hAnsiTheme="minorHAnsi" w:cstheme="minorHAnsi"/>
          <w:b/>
          <w:sz w:val="22"/>
          <w:szCs w:val="22"/>
          <w:lang w:val="en-GB"/>
        </w:rPr>
      </w:pPr>
    </w:p>
    <w:p w14:paraId="1B1B1591" w14:textId="6A585FC8" w:rsidR="003E0A2F" w:rsidRPr="003F55E0" w:rsidRDefault="00C0068C" w:rsidP="001B7CDD">
      <w:pPr>
        <w:spacing w:line="360" w:lineRule="auto"/>
        <w:jc w:val="both"/>
        <w:rPr>
          <w:rFonts w:asciiTheme="minorHAnsi" w:hAnsiTheme="minorHAnsi" w:cstheme="minorHAnsi"/>
          <w:b/>
          <w:sz w:val="22"/>
          <w:szCs w:val="22"/>
          <w:lang w:val="en-GB"/>
        </w:rPr>
      </w:pPr>
      <w:r w:rsidRPr="003F55E0">
        <w:rPr>
          <w:rFonts w:asciiTheme="minorHAnsi" w:hAnsiTheme="minorHAnsi" w:cstheme="minorHAnsi"/>
          <w:b/>
          <w:sz w:val="22"/>
          <w:szCs w:val="22"/>
          <w:lang w:val="en-GB"/>
        </w:rPr>
        <w:t>Refining and Marketing, including Consumer Services and Retail</w:t>
      </w:r>
    </w:p>
    <w:p w14:paraId="1490A4C2" w14:textId="10B0B76C" w:rsidR="004E0934" w:rsidRDefault="004E0934" w:rsidP="000E3D25">
      <w:pPr>
        <w:shd w:val="clear" w:color="auto" w:fill="FFFFFF" w:themeFill="background1"/>
        <w:spacing w:before="120" w:after="120" w:line="252" w:lineRule="auto"/>
        <w:contextualSpacing/>
        <w:jc w:val="both"/>
        <w:rPr>
          <w:rFonts w:asciiTheme="minorHAnsi" w:hAnsiTheme="minorHAnsi" w:cstheme="minorHAnsi"/>
          <w:sz w:val="22"/>
          <w:szCs w:val="22"/>
          <w:lang w:val="en-GB"/>
        </w:rPr>
      </w:pPr>
      <w:r w:rsidRPr="004E0934">
        <w:rPr>
          <w:rFonts w:asciiTheme="minorHAnsi" w:hAnsiTheme="minorHAnsi" w:cstheme="minorHAnsi"/>
          <w:sz w:val="22"/>
          <w:szCs w:val="22"/>
          <w:lang w:val="en-GB"/>
        </w:rPr>
        <w:t>The import of derivatives</w:t>
      </w:r>
      <w:r>
        <w:rPr>
          <w:rFonts w:asciiTheme="minorHAnsi" w:hAnsiTheme="minorHAnsi" w:cstheme="minorHAnsi"/>
          <w:sz w:val="22"/>
          <w:szCs w:val="22"/>
          <w:lang w:val="en-GB"/>
        </w:rPr>
        <w:t>,</w:t>
      </w:r>
      <w:r w:rsidRPr="004E0934">
        <w:rPr>
          <w:rFonts w:asciiTheme="minorHAnsi" w:hAnsiTheme="minorHAnsi" w:cstheme="minorHAnsi"/>
          <w:sz w:val="22"/>
          <w:szCs w:val="22"/>
          <w:lang w:val="en-GB"/>
        </w:rPr>
        <w:t xml:space="preserve"> during the planned </w:t>
      </w:r>
      <w:r w:rsidR="00C45868">
        <w:rPr>
          <w:rFonts w:asciiTheme="minorHAnsi" w:hAnsiTheme="minorHAnsi" w:cstheme="minorHAnsi"/>
          <w:sz w:val="22"/>
          <w:szCs w:val="22"/>
          <w:lang w:val="en-GB"/>
        </w:rPr>
        <w:t>s</w:t>
      </w:r>
      <w:r w:rsidR="00C45868" w:rsidRPr="001A4E6A">
        <w:rPr>
          <w:rFonts w:asciiTheme="minorHAnsi" w:hAnsiTheme="minorHAnsi" w:cstheme="minorHAnsi"/>
          <w:sz w:val="22"/>
          <w:szCs w:val="22"/>
          <w:lang w:val="en-GB"/>
        </w:rPr>
        <w:t>hutdown period</w:t>
      </w:r>
      <w:r>
        <w:rPr>
          <w:rFonts w:asciiTheme="minorHAnsi" w:hAnsiTheme="minorHAnsi" w:cstheme="minorHAnsi"/>
          <w:sz w:val="22"/>
          <w:szCs w:val="22"/>
          <w:lang w:val="en-GB"/>
        </w:rPr>
        <w:t>,</w:t>
      </w:r>
      <w:r w:rsidRPr="004E0934">
        <w:rPr>
          <w:rFonts w:asciiTheme="minorHAnsi" w:hAnsiTheme="minorHAnsi" w:cstheme="minorHAnsi"/>
          <w:sz w:val="22"/>
          <w:szCs w:val="22"/>
          <w:lang w:val="en-GB"/>
        </w:rPr>
        <w:t xml:space="preserve"> due to which important works on the </w:t>
      </w:r>
      <w:r w:rsidRPr="000E3D25">
        <w:rPr>
          <w:rFonts w:asciiTheme="minorHAnsi" w:hAnsiTheme="minorHAnsi" w:cstheme="minorHAnsi"/>
          <w:sz w:val="22"/>
          <w:szCs w:val="22"/>
          <w:lang w:val="en-GB"/>
        </w:rPr>
        <w:t>Rijeka Refinery Upgrade Project</w:t>
      </w:r>
      <w:r w:rsidRPr="004E0934">
        <w:rPr>
          <w:rFonts w:asciiTheme="minorHAnsi" w:hAnsiTheme="minorHAnsi" w:cstheme="minorHAnsi"/>
          <w:sz w:val="22"/>
          <w:szCs w:val="22"/>
          <w:lang w:val="en-GB"/>
        </w:rPr>
        <w:t xml:space="preserve"> were completed</w:t>
      </w:r>
      <w:r>
        <w:rPr>
          <w:rFonts w:asciiTheme="minorHAnsi" w:hAnsiTheme="minorHAnsi" w:cstheme="minorHAnsi"/>
          <w:sz w:val="22"/>
          <w:szCs w:val="22"/>
          <w:lang w:val="en-GB"/>
        </w:rPr>
        <w:t>,</w:t>
      </w:r>
      <w:r w:rsidRPr="004E0934">
        <w:rPr>
          <w:rFonts w:asciiTheme="minorHAnsi" w:hAnsiTheme="minorHAnsi" w:cstheme="minorHAnsi"/>
          <w:sz w:val="22"/>
          <w:szCs w:val="22"/>
          <w:lang w:val="en-GB"/>
        </w:rPr>
        <w:t xml:space="preserve"> had a negative impact on the result, primarily </w:t>
      </w:r>
      <w:r w:rsidRPr="000E3D25">
        <w:rPr>
          <w:rFonts w:asciiTheme="minorHAnsi" w:hAnsiTheme="minorHAnsi" w:cstheme="minorHAnsi"/>
          <w:sz w:val="22"/>
          <w:szCs w:val="22"/>
          <w:lang w:val="en-GB"/>
        </w:rPr>
        <w:t>due to the decreasing product price environment primarily in Q1</w:t>
      </w:r>
      <w:r w:rsidRPr="004E0934">
        <w:rPr>
          <w:rFonts w:asciiTheme="minorHAnsi" w:hAnsiTheme="minorHAnsi" w:cstheme="minorHAnsi"/>
          <w:sz w:val="22"/>
          <w:szCs w:val="22"/>
          <w:lang w:val="en-GB"/>
        </w:rPr>
        <w:t>.</w:t>
      </w:r>
    </w:p>
    <w:p w14:paraId="47449015" w14:textId="667965A7" w:rsidR="000E3D25" w:rsidRDefault="000E3D25" w:rsidP="000E3D25">
      <w:pPr>
        <w:shd w:val="clear" w:color="auto" w:fill="FFFFFF" w:themeFill="background1"/>
        <w:spacing w:before="120" w:after="120" w:line="252" w:lineRule="auto"/>
        <w:contextualSpacing/>
        <w:jc w:val="both"/>
        <w:rPr>
          <w:rFonts w:asciiTheme="minorHAnsi" w:hAnsiTheme="minorHAnsi" w:cstheme="minorHAnsi"/>
          <w:sz w:val="22"/>
          <w:szCs w:val="22"/>
          <w:lang w:val="en-GB"/>
        </w:rPr>
      </w:pPr>
      <w:r w:rsidRPr="000E3D25">
        <w:rPr>
          <w:rFonts w:asciiTheme="minorHAnsi" w:hAnsiTheme="minorHAnsi" w:cstheme="minorHAnsi"/>
          <w:sz w:val="22"/>
          <w:szCs w:val="22"/>
          <w:lang w:val="en-GB"/>
        </w:rPr>
        <w:t xml:space="preserve">After finalisation of investments in brownfield part of Rijeka Refinery Upgrade Project </w:t>
      </w:r>
      <w:r w:rsidR="00A64A64">
        <w:rPr>
          <w:rFonts w:asciiTheme="minorHAnsi" w:hAnsiTheme="minorHAnsi" w:cstheme="minorHAnsi"/>
          <w:sz w:val="22"/>
          <w:szCs w:val="22"/>
          <w:lang w:val="en-GB"/>
        </w:rPr>
        <w:t>from January to April</w:t>
      </w:r>
      <w:r w:rsidRPr="000E3D25">
        <w:rPr>
          <w:rFonts w:asciiTheme="minorHAnsi" w:hAnsiTheme="minorHAnsi" w:cstheme="minorHAnsi"/>
          <w:sz w:val="22"/>
          <w:szCs w:val="22"/>
          <w:lang w:val="en-GB"/>
        </w:rPr>
        <w:t xml:space="preserve"> and temporary shutdown of refining activities, Rijeka </w:t>
      </w:r>
      <w:r w:rsidR="00A64A64">
        <w:rPr>
          <w:rFonts w:asciiTheme="minorHAnsi" w:hAnsiTheme="minorHAnsi" w:cstheme="minorHAnsi"/>
          <w:sz w:val="22"/>
          <w:szCs w:val="22"/>
          <w:lang w:val="en-GB"/>
        </w:rPr>
        <w:t>R</w:t>
      </w:r>
      <w:r w:rsidRPr="000E3D25">
        <w:rPr>
          <w:rFonts w:asciiTheme="minorHAnsi" w:hAnsiTheme="minorHAnsi" w:cstheme="minorHAnsi"/>
          <w:sz w:val="22"/>
          <w:szCs w:val="22"/>
          <w:lang w:val="en-GB"/>
        </w:rPr>
        <w:t xml:space="preserve">efinery successfully started </w:t>
      </w:r>
      <w:r w:rsidR="00A64A64">
        <w:rPr>
          <w:rFonts w:asciiTheme="minorHAnsi" w:hAnsiTheme="minorHAnsi" w:cstheme="minorHAnsi"/>
          <w:sz w:val="22"/>
          <w:szCs w:val="22"/>
          <w:lang w:val="en-GB"/>
        </w:rPr>
        <w:t>the production</w:t>
      </w:r>
      <w:r w:rsidRPr="000E3D25">
        <w:rPr>
          <w:rFonts w:asciiTheme="minorHAnsi" w:hAnsiTheme="minorHAnsi" w:cstheme="minorHAnsi"/>
          <w:sz w:val="22"/>
          <w:szCs w:val="22"/>
          <w:lang w:val="en-GB"/>
        </w:rPr>
        <w:t xml:space="preserve"> end of April</w:t>
      </w:r>
      <w:r w:rsidR="00A64A64">
        <w:rPr>
          <w:rFonts w:asciiTheme="minorHAnsi" w:hAnsiTheme="minorHAnsi" w:cstheme="minorHAnsi"/>
          <w:sz w:val="22"/>
          <w:szCs w:val="22"/>
          <w:lang w:val="en-GB"/>
        </w:rPr>
        <w:t>.</w:t>
      </w:r>
      <w:r w:rsidR="00566799">
        <w:rPr>
          <w:rFonts w:asciiTheme="minorHAnsi" w:hAnsiTheme="minorHAnsi" w:cstheme="minorHAnsi"/>
          <w:sz w:val="22"/>
          <w:szCs w:val="22"/>
          <w:lang w:val="en-GB"/>
        </w:rPr>
        <w:t xml:space="preserve"> </w:t>
      </w:r>
      <w:r w:rsidRPr="000E3D25">
        <w:rPr>
          <w:rFonts w:asciiTheme="minorHAnsi" w:hAnsiTheme="minorHAnsi" w:cstheme="minorHAnsi"/>
          <w:sz w:val="22"/>
          <w:szCs w:val="22"/>
          <w:lang w:val="en-GB"/>
        </w:rPr>
        <w:t>Trading activities were focused on safe and timely product supply, with higher sales to Croatian market</w:t>
      </w:r>
      <w:r w:rsidR="001E48FC">
        <w:rPr>
          <w:rFonts w:asciiTheme="minorHAnsi" w:hAnsiTheme="minorHAnsi" w:cstheme="minorHAnsi"/>
          <w:sz w:val="22"/>
          <w:szCs w:val="22"/>
          <w:lang w:val="en-GB"/>
        </w:rPr>
        <w:t xml:space="preserve">. </w:t>
      </w:r>
      <w:r w:rsidRPr="000E3D25">
        <w:rPr>
          <w:rFonts w:asciiTheme="minorHAnsi" w:hAnsiTheme="minorHAnsi" w:cstheme="minorHAnsi"/>
          <w:sz w:val="22"/>
          <w:szCs w:val="22"/>
          <w:lang w:val="en-GB"/>
        </w:rPr>
        <w:t xml:space="preserve">Total Retail sales volumes amounted to 619 kt in H1 2023 which is 22% above H1 2022 due to higher realisation on Croatian market (+111 kt) mainly </w:t>
      </w:r>
      <w:r w:rsidR="00A5022E" w:rsidRPr="000E3D25">
        <w:rPr>
          <w:rFonts w:asciiTheme="minorHAnsi" w:hAnsiTheme="minorHAnsi" w:cstheme="minorHAnsi"/>
          <w:sz w:val="22"/>
          <w:szCs w:val="22"/>
          <w:lang w:val="en-GB"/>
        </w:rPr>
        <w:t>because of</w:t>
      </w:r>
      <w:r w:rsidRPr="000E3D25">
        <w:rPr>
          <w:rFonts w:asciiTheme="minorHAnsi" w:hAnsiTheme="minorHAnsi" w:cstheme="minorHAnsi"/>
          <w:sz w:val="22"/>
          <w:szCs w:val="22"/>
          <w:lang w:val="en-GB"/>
        </w:rPr>
        <w:t xml:space="preserve"> higher demand </w:t>
      </w:r>
      <w:r w:rsidRPr="000E3D25">
        <w:rPr>
          <w:rFonts w:asciiTheme="minorHAnsi" w:hAnsiTheme="minorHAnsi" w:cstheme="minorHAnsi"/>
          <w:sz w:val="22"/>
          <w:szCs w:val="22"/>
          <w:lang w:val="en-GB"/>
        </w:rPr>
        <w:lastRenderedPageBreak/>
        <w:t>impacted also by lower fuel price compared to neighbouring countries</w:t>
      </w:r>
      <w:r w:rsidR="00DB2CED">
        <w:rPr>
          <w:rFonts w:asciiTheme="minorHAnsi" w:hAnsiTheme="minorHAnsi" w:cstheme="minorHAnsi"/>
          <w:sz w:val="22"/>
          <w:szCs w:val="22"/>
          <w:lang w:val="en-GB"/>
        </w:rPr>
        <w:t>.</w:t>
      </w:r>
      <w:r w:rsidR="000F3912">
        <w:rPr>
          <w:rFonts w:asciiTheme="minorHAnsi" w:hAnsiTheme="minorHAnsi" w:cstheme="minorHAnsi"/>
          <w:sz w:val="22"/>
          <w:szCs w:val="22"/>
          <w:lang w:val="en-GB"/>
        </w:rPr>
        <w:t xml:space="preserve"> </w:t>
      </w:r>
      <w:r w:rsidRPr="000E3D25">
        <w:rPr>
          <w:rFonts w:asciiTheme="minorHAnsi" w:hAnsiTheme="minorHAnsi" w:cstheme="minorHAnsi"/>
          <w:sz w:val="22"/>
          <w:szCs w:val="22"/>
          <w:lang w:val="en-GB"/>
        </w:rPr>
        <w:t xml:space="preserve">Non-fuel margin increased by 27% reflecting continuous expansion in consumer goods, increasing number of Fresh Corners together with </w:t>
      </w:r>
      <w:r w:rsidR="000F3912">
        <w:rPr>
          <w:rFonts w:asciiTheme="minorHAnsi" w:hAnsiTheme="minorHAnsi" w:cstheme="minorHAnsi"/>
          <w:sz w:val="22"/>
          <w:szCs w:val="22"/>
          <w:lang w:val="en-GB"/>
        </w:rPr>
        <w:t xml:space="preserve">the support of </w:t>
      </w:r>
      <w:r w:rsidRPr="000E3D25">
        <w:rPr>
          <w:rFonts w:asciiTheme="minorHAnsi" w:hAnsiTheme="minorHAnsi" w:cstheme="minorHAnsi"/>
          <w:sz w:val="22"/>
          <w:szCs w:val="22"/>
          <w:lang w:val="en-GB"/>
        </w:rPr>
        <w:t>INA Loyalty program which surpassed 500 thousand registered members</w:t>
      </w:r>
      <w:r w:rsidR="000F3912">
        <w:rPr>
          <w:rFonts w:asciiTheme="minorHAnsi" w:hAnsiTheme="minorHAnsi" w:cstheme="minorHAnsi"/>
          <w:sz w:val="22"/>
          <w:szCs w:val="22"/>
          <w:lang w:val="en-GB"/>
        </w:rPr>
        <w:t>.</w:t>
      </w:r>
    </w:p>
    <w:p w14:paraId="2FBA5AC0" w14:textId="77777777" w:rsidR="00C352E1" w:rsidRPr="000E3D25" w:rsidRDefault="00C352E1" w:rsidP="000E3D25">
      <w:pPr>
        <w:shd w:val="clear" w:color="auto" w:fill="FFFFFF" w:themeFill="background1"/>
        <w:spacing w:before="120" w:after="120" w:line="252" w:lineRule="auto"/>
        <w:contextualSpacing/>
        <w:jc w:val="both"/>
        <w:rPr>
          <w:rFonts w:asciiTheme="minorHAnsi" w:hAnsiTheme="minorHAnsi" w:cstheme="minorHAnsi"/>
          <w:sz w:val="22"/>
          <w:szCs w:val="22"/>
          <w:lang w:val="en-GB"/>
        </w:rPr>
      </w:pPr>
    </w:p>
    <w:p w14:paraId="7B1AD08F" w14:textId="5A86B6FB" w:rsidR="000E3D25" w:rsidRDefault="000E3D25" w:rsidP="00612708">
      <w:pPr>
        <w:shd w:val="clear" w:color="auto" w:fill="FFFFFF" w:themeFill="background1"/>
        <w:spacing w:before="120" w:after="120" w:line="252" w:lineRule="auto"/>
        <w:contextualSpacing/>
        <w:jc w:val="both"/>
        <w:rPr>
          <w:rFonts w:asciiTheme="minorHAnsi" w:hAnsiTheme="minorHAnsi" w:cstheme="minorHAnsi"/>
          <w:sz w:val="22"/>
          <w:szCs w:val="22"/>
          <w:lang w:val="en-GB"/>
        </w:rPr>
      </w:pPr>
      <w:r w:rsidRPr="000E3D25">
        <w:rPr>
          <w:rFonts w:asciiTheme="minorHAnsi" w:hAnsiTheme="minorHAnsi" w:cstheme="minorHAnsi"/>
          <w:sz w:val="22"/>
          <w:szCs w:val="22"/>
          <w:lang w:val="en-GB"/>
        </w:rPr>
        <w:t>Refining and Marketing CAPEX amounted to EUR 84.8 million</w:t>
      </w:r>
      <w:r w:rsidR="001A4E6A">
        <w:rPr>
          <w:rFonts w:asciiTheme="minorHAnsi" w:hAnsiTheme="minorHAnsi" w:cstheme="minorHAnsi"/>
          <w:sz w:val="22"/>
          <w:szCs w:val="22"/>
          <w:lang w:val="en-GB"/>
        </w:rPr>
        <w:t>. Main project</w:t>
      </w:r>
      <w:r w:rsidR="00B462ED">
        <w:rPr>
          <w:rFonts w:asciiTheme="minorHAnsi" w:hAnsiTheme="minorHAnsi" w:cstheme="minorHAnsi"/>
          <w:sz w:val="22"/>
          <w:szCs w:val="22"/>
          <w:lang w:val="en-GB"/>
        </w:rPr>
        <w:t xml:space="preserve"> i</w:t>
      </w:r>
      <w:r w:rsidR="001A4E6A">
        <w:rPr>
          <w:rFonts w:asciiTheme="minorHAnsi" w:hAnsiTheme="minorHAnsi" w:cstheme="minorHAnsi"/>
          <w:sz w:val="22"/>
          <w:szCs w:val="22"/>
          <w:lang w:val="en-GB"/>
        </w:rPr>
        <w:t>s</w:t>
      </w:r>
      <w:r w:rsidR="00C45868">
        <w:rPr>
          <w:rFonts w:asciiTheme="minorHAnsi" w:hAnsiTheme="minorHAnsi" w:cstheme="minorHAnsi"/>
          <w:sz w:val="22"/>
          <w:szCs w:val="22"/>
          <w:lang w:val="en-GB"/>
        </w:rPr>
        <w:t xml:space="preserve"> </w:t>
      </w:r>
      <w:r w:rsidRPr="001A4E6A">
        <w:rPr>
          <w:rFonts w:asciiTheme="minorHAnsi" w:hAnsiTheme="minorHAnsi" w:cstheme="minorHAnsi"/>
          <w:sz w:val="22"/>
          <w:szCs w:val="22"/>
          <w:lang w:val="en-GB"/>
        </w:rPr>
        <w:t xml:space="preserve">Rijeka Refinery Upgrade Project </w:t>
      </w:r>
      <w:r w:rsidR="00C45868">
        <w:rPr>
          <w:rFonts w:asciiTheme="minorHAnsi" w:hAnsiTheme="minorHAnsi" w:cstheme="minorHAnsi"/>
          <w:sz w:val="22"/>
          <w:szCs w:val="22"/>
          <w:lang w:val="en-GB"/>
        </w:rPr>
        <w:t xml:space="preserve">which is </w:t>
      </w:r>
      <w:r w:rsidR="00C45868" w:rsidRPr="002A7CB2">
        <w:rPr>
          <w:rFonts w:asciiTheme="minorHAnsi" w:hAnsiTheme="minorHAnsi" w:cstheme="minorHAnsi"/>
          <w:sz w:val="22"/>
          <w:szCs w:val="22"/>
          <w:lang w:val="en-GB"/>
        </w:rPr>
        <w:t>at</w:t>
      </w:r>
      <w:r w:rsidRPr="002A7CB2">
        <w:rPr>
          <w:rFonts w:asciiTheme="minorHAnsi" w:hAnsiTheme="minorHAnsi" w:cstheme="minorHAnsi"/>
          <w:sz w:val="22"/>
          <w:szCs w:val="22"/>
          <w:lang w:val="en-GB"/>
        </w:rPr>
        <w:t xml:space="preserve"> 78%</w:t>
      </w:r>
      <w:r w:rsidRPr="001A4E6A">
        <w:rPr>
          <w:rFonts w:asciiTheme="minorHAnsi" w:hAnsiTheme="minorHAnsi" w:cstheme="minorHAnsi"/>
          <w:sz w:val="22"/>
          <w:szCs w:val="22"/>
          <w:lang w:val="en-GB"/>
        </w:rPr>
        <w:t xml:space="preserve"> completion in overall, with the engineering and procurement reaching above 99% and construction at 63%. </w:t>
      </w:r>
      <w:r w:rsidR="00613701">
        <w:rPr>
          <w:rFonts w:asciiTheme="minorHAnsi" w:hAnsiTheme="minorHAnsi" w:cstheme="minorHAnsi"/>
          <w:sz w:val="22"/>
          <w:szCs w:val="22"/>
          <w:lang w:val="en-GB"/>
        </w:rPr>
        <w:t>Among other projects, t</w:t>
      </w:r>
      <w:r w:rsidRPr="001A4E6A">
        <w:rPr>
          <w:rFonts w:asciiTheme="minorHAnsi" w:hAnsiTheme="minorHAnsi" w:cstheme="minorHAnsi"/>
          <w:sz w:val="22"/>
          <w:szCs w:val="22"/>
          <w:lang w:val="en-GB"/>
        </w:rPr>
        <w:t xml:space="preserve">he revamp works on </w:t>
      </w:r>
      <w:r w:rsidR="00692C59">
        <w:rPr>
          <w:rFonts w:asciiTheme="minorHAnsi" w:hAnsiTheme="minorHAnsi" w:cstheme="minorHAnsi"/>
          <w:sz w:val="22"/>
          <w:szCs w:val="22"/>
          <w:lang w:val="en-GB"/>
        </w:rPr>
        <w:t>k</w:t>
      </w:r>
      <w:r w:rsidRPr="001A4E6A">
        <w:rPr>
          <w:rFonts w:asciiTheme="minorHAnsi" w:hAnsiTheme="minorHAnsi" w:cstheme="minorHAnsi"/>
          <w:sz w:val="22"/>
          <w:szCs w:val="22"/>
          <w:lang w:val="en-GB"/>
        </w:rPr>
        <w:t xml:space="preserve">ey </w:t>
      </w:r>
      <w:r w:rsidR="00692C59">
        <w:rPr>
          <w:rFonts w:asciiTheme="minorHAnsi" w:hAnsiTheme="minorHAnsi" w:cstheme="minorHAnsi"/>
          <w:sz w:val="22"/>
          <w:szCs w:val="22"/>
          <w:lang w:val="en-GB"/>
        </w:rPr>
        <w:t>b</w:t>
      </w:r>
      <w:r w:rsidRPr="001A4E6A">
        <w:rPr>
          <w:rFonts w:asciiTheme="minorHAnsi" w:hAnsiTheme="minorHAnsi" w:cstheme="minorHAnsi"/>
          <w:sz w:val="22"/>
          <w:szCs w:val="22"/>
          <w:lang w:val="en-GB"/>
        </w:rPr>
        <w:t xml:space="preserve">rownfield section were successfully completed during the </w:t>
      </w:r>
      <w:r w:rsidR="00692C59">
        <w:rPr>
          <w:rFonts w:asciiTheme="minorHAnsi" w:hAnsiTheme="minorHAnsi" w:cstheme="minorHAnsi"/>
          <w:sz w:val="22"/>
          <w:szCs w:val="22"/>
          <w:lang w:val="en-GB"/>
        </w:rPr>
        <w:t>r</w:t>
      </w:r>
      <w:r w:rsidRPr="001A4E6A">
        <w:rPr>
          <w:rFonts w:asciiTheme="minorHAnsi" w:hAnsiTheme="minorHAnsi" w:cstheme="minorHAnsi"/>
          <w:sz w:val="22"/>
          <w:szCs w:val="22"/>
          <w:lang w:val="en-GB"/>
        </w:rPr>
        <w:t xml:space="preserve">efinery </w:t>
      </w:r>
      <w:r w:rsidR="00692C59">
        <w:rPr>
          <w:rFonts w:asciiTheme="minorHAnsi" w:hAnsiTheme="minorHAnsi" w:cstheme="minorHAnsi"/>
          <w:sz w:val="22"/>
          <w:szCs w:val="22"/>
          <w:lang w:val="en-GB"/>
        </w:rPr>
        <w:t>s</w:t>
      </w:r>
      <w:r w:rsidRPr="001A4E6A">
        <w:rPr>
          <w:rFonts w:asciiTheme="minorHAnsi" w:hAnsiTheme="minorHAnsi" w:cstheme="minorHAnsi"/>
          <w:sz w:val="22"/>
          <w:szCs w:val="22"/>
          <w:lang w:val="en-GB"/>
        </w:rPr>
        <w:t xml:space="preserve">hutdown period, and </w:t>
      </w:r>
      <w:r w:rsidR="00692C59">
        <w:rPr>
          <w:rFonts w:asciiTheme="minorHAnsi" w:hAnsiTheme="minorHAnsi" w:cstheme="minorHAnsi"/>
          <w:sz w:val="22"/>
          <w:szCs w:val="22"/>
          <w:lang w:val="en-GB"/>
        </w:rPr>
        <w:t>r</w:t>
      </w:r>
      <w:r w:rsidRPr="001A4E6A">
        <w:rPr>
          <w:rFonts w:asciiTheme="minorHAnsi" w:hAnsiTheme="minorHAnsi" w:cstheme="minorHAnsi"/>
          <w:sz w:val="22"/>
          <w:szCs w:val="22"/>
          <w:lang w:val="en-GB"/>
        </w:rPr>
        <w:t>efinery started with operation end of April</w:t>
      </w:r>
      <w:r w:rsidR="00692C59">
        <w:rPr>
          <w:rFonts w:asciiTheme="minorHAnsi" w:hAnsiTheme="minorHAnsi" w:cstheme="minorHAnsi"/>
          <w:sz w:val="22"/>
          <w:szCs w:val="22"/>
          <w:lang w:val="en-GB"/>
        </w:rPr>
        <w:t>.</w:t>
      </w:r>
      <w:r w:rsidR="00C45868">
        <w:rPr>
          <w:rFonts w:asciiTheme="minorHAnsi" w:hAnsiTheme="minorHAnsi" w:cstheme="minorHAnsi"/>
          <w:sz w:val="22"/>
          <w:szCs w:val="22"/>
          <w:lang w:val="en-GB"/>
        </w:rPr>
        <w:t xml:space="preserve"> </w:t>
      </w:r>
      <w:bookmarkStart w:id="3" w:name="_Hlk141082769"/>
      <w:r w:rsidR="00C45868">
        <w:rPr>
          <w:rFonts w:asciiTheme="minorHAnsi" w:hAnsiTheme="minorHAnsi" w:cstheme="minorHAnsi"/>
          <w:sz w:val="22"/>
          <w:szCs w:val="22"/>
          <w:lang w:val="en-GB"/>
        </w:rPr>
        <w:t xml:space="preserve">As part of </w:t>
      </w:r>
      <w:r w:rsidR="00033ED8">
        <w:rPr>
          <w:rFonts w:asciiTheme="minorHAnsi" w:hAnsiTheme="minorHAnsi" w:cstheme="minorHAnsi"/>
          <w:sz w:val="22"/>
          <w:szCs w:val="22"/>
          <w:lang w:val="en-GB"/>
        </w:rPr>
        <w:t>C</w:t>
      </w:r>
      <w:r w:rsidR="001263D6">
        <w:rPr>
          <w:rFonts w:asciiTheme="minorHAnsi" w:hAnsiTheme="minorHAnsi" w:cstheme="minorHAnsi"/>
          <w:sz w:val="22"/>
          <w:szCs w:val="22"/>
          <w:lang w:val="en-GB"/>
        </w:rPr>
        <w:t xml:space="preserve">rude </w:t>
      </w:r>
      <w:r w:rsidR="00033ED8">
        <w:rPr>
          <w:rFonts w:asciiTheme="minorHAnsi" w:hAnsiTheme="minorHAnsi" w:cstheme="minorHAnsi"/>
          <w:sz w:val="22"/>
          <w:szCs w:val="22"/>
          <w:lang w:val="en-GB"/>
        </w:rPr>
        <w:t>D</w:t>
      </w:r>
      <w:r w:rsidR="001263D6">
        <w:rPr>
          <w:rFonts w:asciiTheme="minorHAnsi" w:hAnsiTheme="minorHAnsi" w:cstheme="minorHAnsi"/>
          <w:sz w:val="22"/>
          <w:szCs w:val="22"/>
          <w:lang w:val="en-GB"/>
        </w:rPr>
        <w:t xml:space="preserve">estilation </w:t>
      </w:r>
      <w:r w:rsidR="00033ED8">
        <w:rPr>
          <w:rFonts w:asciiTheme="minorHAnsi" w:hAnsiTheme="minorHAnsi" w:cstheme="minorHAnsi"/>
          <w:sz w:val="22"/>
          <w:szCs w:val="22"/>
          <w:lang w:val="en-GB"/>
        </w:rPr>
        <w:t>U</w:t>
      </w:r>
      <w:r w:rsidR="001263D6">
        <w:rPr>
          <w:rFonts w:asciiTheme="minorHAnsi" w:hAnsiTheme="minorHAnsi" w:cstheme="minorHAnsi"/>
          <w:sz w:val="22"/>
          <w:szCs w:val="22"/>
          <w:lang w:val="en-GB"/>
        </w:rPr>
        <w:t xml:space="preserve">nit </w:t>
      </w:r>
      <w:r w:rsidR="001263D6" w:rsidRPr="001263D6">
        <w:rPr>
          <w:rFonts w:asciiTheme="minorHAnsi" w:hAnsiTheme="minorHAnsi" w:cstheme="minorHAnsi"/>
          <w:sz w:val="22"/>
          <w:szCs w:val="22"/>
          <w:lang w:val="en-GB"/>
        </w:rPr>
        <w:t>(</w:t>
      </w:r>
      <w:r w:rsidR="00A5022E" w:rsidRPr="001263D6">
        <w:rPr>
          <w:rFonts w:asciiTheme="minorHAnsi" w:hAnsiTheme="minorHAnsi" w:cstheme="minorHAnsi"/>
          <w:sz w:val="22"/>
          <w:szCs w:val="22"/>
          <w:lang w:val="en-GB"/>
        </w:rPr>
        <w:t>CDU)</w:t>
      </w:r>
      <w:r w:rsidR="00A5022E">
        <w:rPr>
          <w:rFonts w:asciiTheme="minorHAnsi" w:hAnsiTheme="minorHAnsi" w:cstheme="minorHAnsi"/>
          <w:sz w:val="22"/>
          <w:szCs w:val="22"/>
          <w:lang w:val="en-GB"/>
        </w:rPr>
        <w:t xml:space="preserve"> </w:t>
      </w:r>
      <w:r w:rsidR="00A5022E" w:rsidRPr="001A4E6A">
        <w:rPr>
          <w:rFonts w:asciiTheme="minorHAnsi" w:hAnsiTheme="minorHAnsi" w:cstheme="minorHAnsi"/>
          <w:sz w:val="22"/>
          <w:szCs w:val="22"/>
          <w:lang w:val="en-GB"/>
        </w:rPr>
        <w:t>energy</w:t>
      </w:r>
      <w:r w:rsidRPr="001A4E6A">
        <w:rPr>
          <w:rFonts w:asciiTheme="minorHAnsi" w:hAnsiTheme="minorHAnsi" w:cstheme="minorHAnsi"/>
          <w:sz w:val="22"/>
          <w:szCs w:val="22"/>
          <w:lang w:val="en-GB"/>
        </w:rPr>
        <w:t xml:space="preserve"> efficiency upgrade project</w:t>
      </w:r>
      <w:r w:rsidR="00C45868">
        <w:rPr>
          <w:rFonts w:asciiTheme="minorHAnsi" w:hAnsiTheme="minorHAnsi" w:cstheme="minorHAnsi"/>
          <w:sz w:val="22"/>
          <w:szCs w:val="22"/>
          <w:lang w:val="en-GB"/>
        </w:rPr>
        <w:t>, the</w:t>
      </w:r>
      <w:r w:rsidRPr="001A4E6A">
        <w:rPr>
          <w:rFonts w:asciiTheme="minorHAnsi" w:hAnsiTheme="minorHAnsi" w:cstheme="minorHAnsi"/>
          <w:sz w:val="22"/>
          <w:szCs w:val="22"/>
          <w:lang w:val="en-GB"/>
        </w:rPr>
        <w:t xml:space="preserve"> first part of the works </w:t>
      </w:r>
      <w:r w:rsidR="00A5022E">
        <w:rPr>
          <w:rFonts w:asciiTheme="minorHAnsi" w:hAnsiTheme="minorHAnsi" w:cstheme="minorHAnsi"/>
          <w:sz w:val="22"/>
          <w:szCs w:val="22"/>
          <w:lang w:val="en-GB"/>
        </w:rPr>
        <w:t>was</w:t>
      </w:r>
      <w:r w:rsidR="00C45868">
        <w:rPr>
          <w:rFonts w:asciiTheme="minorHAnsi" w:hAnsiTheme="minorHAnsi" w:cstheme="minorHAnsi"/>
          <w:sz w:val="22"/>
          <w:szCs w:val="22"/>
          <w:lang w:val="en-GB"/>
        </w:rPr>
        <w:t xml:space="preserve"> </w:t>
      </w:r>
      <w:r w:rsidRPr="001A4E6A">
        <w:rPr>
          <w:rFonts w:asciiTheme="minorHAnsi" w:hAnsiTheme="minorHAnsi" w:cstheme="minorHAnsi"/>
          <w:sz w:val="22"/>
          <w:szCs w:val="22"/>
          <w:lang w:val="en-GB"/>
        </w:rPr>
        <w:t>completed during Rijeka Refinery shutdown in Q1 as planned</w:t>
      </w:r>
      <w:bookmarkEnd w:id="3"/>
      <w:r w:rsidR="00D935EA">
        <w:rPr>
          <w:rFonts w:asciiTheme="minorHAnsi" w:hAnsiTheme="minorHAnsi" w:cstheme="minorHAnsi"/>
          <w:sz w:val="22"/>
          <w:szCs w:val="22"/>
          <w:lang w:val="en-GB"/>
        </w:rPr>
        <w:t>.</w:t>
      </w:r>
      <w:r w:rsidRPr="001A4E6A">
        <w:rPr>
          <w:rFonts w:asciiTheme="minorHAnsi" w:hAnsiTheme="minorHAnsi" w:cstheme="minorHAnsi"/>
          <w:sz w:val="22"/>
          <w:szCs w:val="22"/>
          <w:lang w:val="en-GB"/>
        </w:rPr>
        <w:t xml:space="preserve"> </w:t>
      </w:r>
      <w:r w:rsidR="00C45868">
        <w:rPr>
          <w:rFonts w:asciiTheme="minorHAnsi" w:hAnsiTheme="minorHAnsi" w:cstheme="minorHAnsi"/>
          <w:sz w:val="22"/>
          <w:szCs w:val="22"/>
          <w:lang w:val="en-GB"/>
        </w:rPr>
        <w:t>Also, within the project of r</w:t>
      </w:r>
      <w:r w:rsidRPr="001A4E6A">
        <w:rPr>
          <w:rFonts w:asciiTheme="minorHAnsi" w:hAnsiTheme="minorHAnsi" w:cstheme="minorHAnsi"/>
          <w:sz w:val="22"/>
          <w:szCs w:val="22"/>
          <w:lang w:val="en-GB"/>
        </w:rPr>
        <w:t>eplacement of condensing turbines with electric drives</w:t>
      </w:r>
      <w:r w:rsidR="00C45868">
        <w:rPr>
          <w:rFonts w:asciiTheme="minorHAnsi" w:hAnsiTheme="minorHAnsi" w:cstheme="minorHAnsi"/>
          <w:sz w:val="22"/>
          <w:szCs w:val="22"/>
          <w:lang w:val="en-GB"/>
        </w:rPr>
        <w:t>, the</w:t>
      </w:r>
      <w:r w:rsidRPr="001A4E6A">
        <w:rPr>
          <w:rFonts w:asciiTheme="minorHAnsi" w:hAnsiTheme="minorHAnsi" w:cstheme="minorHAnsi"/>
          <w:sz w:val="22"/>
          <w:szCs w:val="22"/>
          <w:lang w:val="en-GB"/>
        </w:rPr>
        <w:t xml:space="preserve"> </w:t>
      </w:r>
      <w:r w:rsidR="00D935EA">
        <w:rPr>
          <w:rFonts w:asciiTheme="minorHAnsi" w:hAnsiTheme="minorHAnsi" w:cstheme="minorHAnsi"/>
          <w:sz w:val="22"/>
          <w:szCs w:val="22"/>
          <w:lang w:val="en-GB"/>
        </w:rPr>
        <w:t>e</w:t>
      </w:r>
      <w:r w:rsidRPr="001A4E6A">
        <w:rPr>
          <w:rFonts w:asciiTheme="minorHAnsi" w:hAnsiTheme="minorHAnsi" w:cstheme="minorHAnsi"/>
          <w:sz w:val="22"/>
          <w:szCs w:val="22"/>
          <w:lang w:val="en-GB"/>
        </w:rPr>
        <w:t xml:space="preserve">quipment </w:t>
      </w:r>
      <w:r w:rsidR="00C45868">
        <w:rPr>
          <w:rFonts w:asciiTheme="minorHAnsi" w:hAnsiTheme="minorHAnsi" w:cstheme="minorHAnsi"/>
          <w:sz w:val="22"/>
          <w:szCs w:val="22"/>
          <w:lang w:val="en-GB"/>
        </w:rPr>
        <w:t xml:space="preserve">was </w:t>
      </w:r>
      <w:r w:rsidRPr="001A4E6A">
        <w:rPr>
          <w:rFonts w:asciiTheme="minorHAnsi" w:hAnsiTheme="minorHAnsi" w:cstheme="minorHAnsi"/>
          <w:sz w:val="22"/>
          <w:szCs w:val="22"/>
          <w:lang w:val="en-GB"/>
        </w:rPr>
        <w:t>delivered on site as planned with c</w:t>
      </w:r>
      <w:r w:rsidR="00C45868">
        <w:rPr>
          <w:rFonts w:asciiTheme="minorHAnsi" w:hAnsiTheme="minorHAnsi" w:cstheme="minorHAnsi"/>
          <w:sz w:val="22"/>
          <w:szCs w:val="22"/>
          <w:lang w:val="en-GB"/>
        </w:rPr>
        <w:t>onstruction</w:t>
      </w:r>
      <w:r w:rsidRPr="001A4E6A">
        <w:rPr>
          <w:rFonts w:asciiTheme="minorHAnsi" w:hAnsiTheme="minorHAnsi" w:cstheme="minorHAnsi"/>
          <w:sz w:val="22"/>
          <w:szCs w:val="22"/>
          <w:lang w:val="en-GB"/>
        </w:rPr>
        <w:t xml:space="preserve"> works ongoing</w:t>
      </w:r>
      <w:r w:rsidR="00D935EA">
        <w:rPr>
          <w:rFonts w:asciiTheme="minorHAnsi" w:hAnsiTheme="minorHAnsi" w:cstheme="minorHAnsi"/>
          <w:sz w:val="22"/>
          <w:szCs w:val="22"/>
          <w:lang w:val="en-GB"/>
        </w:rPr>
        <w:t>.</w:t>
      </w:r>
    </w:p>
    <w:p w14:paraId="7391C684" w14:textId="17B83271" w:rsidR="00E23ABC" w:rsidRPr="00296CC5" w:rsidRDefault="000E3D25" w:rsidP="00296CC5">
      <w:pPr>
        <w:shd w:val="clear" w:color="auto" w:fill="FFFFFF" w:themeFill="background1"/>
        <w:spacing w:before="120" w:after="120" w:line="252" w:lineRule="auto"/>
        <w:jc w:val="both"/>
        <w:rPr>
          <w:rFonts w:asciiTheme="minorHAnsi" w:hAnsiTheme="minorHAnsi" w:cstheme="minorHAnsi"/>
          <w:sz w:val="22"/>
          <w:szCs w:val="22"/>
          <w:lang w:val="en-GB"/>
        </w:rPr>
      </w:pPr>
      <w:r w:rsidRPr="00296CC5">
        <w:rPr>
          <w:rFonts w:asciiTheme="minorHAnsi" w:hAnsiTheme="minorHAnsi" w:cstheme="minorHAnsi"/>
          <w:sz w:val="22"/>
          <w:szCs w:val="22"/>
          <w:lang w:val="en-GB"/>
        </w:rPr>
        <w:t xml:space="preserve">Consumer Services and Retail capital investments amounted to EUR 4.9 million in H1 2023 with focus on network </w:t>
      </w:r>
      <w:r w:rsidR="00296CC5">
        <w:rPr>
          <w:rFonts w:asciiTheme="minorHAnsi" w:hAnsiTheme="minorHAnsi" w:cstheme="minorHAnsi"/>
          <w:sz w:val="22"/>
          <w:szCs w:val="22"/>
          <w:lang w:val="en-GB"/>
        </w:rPr>
        <w:t>modernization</w:t>
      </w:r>
      <w:r w:rsidRPr="00296CC5">
        <w:rPr>
          <w:rFonts w:asciiTheme="minorHAnsi" w:hAnsiTheme="minorHAnsi" w:cstheme="minorHAnsi"/>
          <w:sz w:val="22"/>
          <w:szCs w:val="22"/>
          <w:lang w:val="en-GB"/>
        </w:rPr>
        <w:t>, resulting with</w:t>
      </w:r>
      <w:r w:rsidR="00296CC5">
        <w:rPr>
          <w:rFonts w:asciiTheme="minorHAnsi" w:hAnsiTheme="minorHAnsi" w:cstheme="minorHAnsi"/>
          <w:sz w:val="22"/>
          <w:szCs w:val="22"/>
          <w:lang w:val="en-GB"/>
        </w:rPr>
        <w:t xml:space="preserve"> total of</w:t>
      </w:r>
      <w:r w:rsidRPr="00296CC5">
        <w:rPr>
          <w:rFonts w:asciiTheme="minorHAnsi" w:hAnsiTheme="minorHAnsi" w:cstheme="minorHAnsi"/>
          <w:sz w:val="22"/>
          <w:szCs w:val="22"/>
          <w:lang w:val="en-GB"/>
        </w:rPr>
        <w:t xml:space="preserve"> 507 </w:t>
      </w:r>
      <w:r w:rsidR="00296CC5">
        <w:rPr>
          <w:rFonts w:asciiTheme="minorHAnsi" w:hAnsiTheme="minorHAnsi" w:cstheme="minorHAnsi"/>
          <w:sz w:val="22"/>
          <w:szCs w:val="22"/>
          <w:lang w:val="en-GB"/>
        </w:rPr>
        <w:t xml:space="preserve">service </w:t>
      </w:r>
      <w:r w:rsidRPr="00296CC5">
        <w:rPr>
          <w:rFonts w:asciiTheme="minorHAnsi" w:hAnsiTheme="minorHAnsi" w:cstheme="minorHAnsi"/>
          <w:sz w:val="22"/>
          <w:szCs w:val="22"/>
          <w:lang w:val="en-GB"/>
        </w:rPr>
        <w:t>stations</w:t>
      </w:r>
      <w:r w:rsidR="00296CC5">
        <w:rPr>
          <w:rFonts w:asciiTheme="minorHAnsi" w:hAnsiTheme="minorHAnsi" w:cstheme="minorHAnsi"/>
          <w:sz w:val="22"/>
          <w:szCs w:val="22"/>
          <w:lang w:val="en-GB"/>
        </w:rPr>
        <w:t xml:space="preserve"> in the region</w:t>
      </w:r>
      <w:r w:rsidRPr="00296CC5">
        <w:rPr>
          <w:rFonts w:asciiTheme="minorHAnsi" w:hAnsiTheme="minorHAnsi" w:cstheme="minorHAnsi"/>
          <w:sz w:val="22"/>
          <w:szCs w:val="22"/>
          <w:lang w:val="en-GB"/>
        </w:rPr>
        <w:t xml:space="preserve"> (</w:t>
      </w:r>
      <w:r w:rsidR="00296CC5">
        <w:rPr>
          <w:rFonts w:asciiTheme="minorHAnsi" w:hAnsiTheme="minorHAnsi" w:cstheme="minorHAnsi"/>
          <w:sz w:val="22"/>
          <w:szCs w:val="22"/>
          <w:lang w:val="en-GB"/>
        </w:rPr>
        <w:t xml:space="preserve">out </w:t>
      </w:r>
      <w:r w:rsidRPr="00296CC5">
        <w:rPr>
          <w:rFonts w:asciiTheme="minorHAnsi" w:hAnsiTheme="minorHAnsi" w:cstheme="minorHAnsi"/>
          <w:sz w:val="22"/>
          <w:szCs w:val="22"/>
          <w:lang w:val="en-GB"/>
        </w:rPr>
        <w:t>of which 390 in Croatia)</w:t>
      </w:r>
      <w:r w:rsidR="00296CC5">
        <w:rPr>
          <w:rFonts w:asciiTheme="minorHAnsi" w:hAnsiTheme="minorHAnsi" w:cstheme="minorHAnsi"/>
          <w:sz w:val="22"/>
          <w:szCs w:val="22"/>
          <w:lang w:val="en-GB"/>
        </w:rPr>
        <w:t>.</w:t>
      </w:r>
    </w:p>
    <w:p w14:paraId="531BAADF" w14:textId="77777777" w:rsidR="008F151C" w:rsidRPr="003F55E0" w:rsidRDefault="008F151C" w:rsidP="001B7CDD">
      <w:pPr>
        <w:spacing w:line="360" w:lineRule="auto"/>
        <w:jc w:val="both"/>
        <w:rPr>
          <w:rFonts w:asciiTheme="minorHAnsi" w:hAnsiTheme="minorHAnsi" w:cstheme="minorHAnsi"/>
          <w:sz w:val="22"/>
          <w:szCs w:val="22"/>
          <w:lang w:val="en-GB"/>
        </w:rPr>
      </w:pPr>
    </w:p>
    <w:p w14:paraId="2FE57887" w14:textId="434A2EC0" w:rsidR="007521DD" w:rsidRPr="003F55E0" w:rsidRDefault="007521DD" w:rsidP="001B7CDD">
      <w:pPr>
        <w:spacing w:line="360" w:lineRule="auto"/>
        <w:jc w:val="both"/>
        <w:rPr>
          <w:rFonts w:asciiTheme="minorHAnsi" w:hAnsiTheme="minorHAnsi" w:cstheme="minorHAnsi"/>
          <w:sz w:val="22"/>
          <w:szCs w:val="22"/>
          <w:lang w:val="en-GB"/>
        </w:rPr>
        <w:sectPr w:rsidR="007521DD" w:rsidRPr="003F55E0" w:rsidSect="00621EAF">
          <w:type w:val="continuous"/>
          <w:pgSz w:w="11906" w:h="16838"/>
          <w:pgMar w:top="1417" w:right="1417" w:bottom="1417" w:left="1417" w:header="708" w:footer="708" w:gutter="0"/>
          <w:cols w:space="708"/>
          <w:docGrid w:linePitch="360"/>
        </w:sectPr>
      </w:pPr>
    </w:p>
    <w:p w14:paraId="093C2856" w14:textId="506BC9C9" w:rsidR="003E0A2F" w:rsidRPr="003F55E0" w:rsidRDefault="00DF0C69" w:rsidP="002221F8">
      <w:pPr>
        <w:spacing w:line="360" w:lineRule="auto"/>
        <w:ind w:left="708" w:hanging="708"/>
        <w:jc w:val="both"/>
        <w:rPr>
          <w:rFonts w:asciiTheme="minorHAnsi" w:hAnsiTheme="minorHAnsi" w:cstheme="minorHAnsi"/>
          <w:sz w:val="22"/>
          <w:szCs w:val="22"/>
          <w:lang w:val="en-GB"/>
        </w:rPr>
      </w:pPr>
      <w:r>
        <w:rPr>
          <w:rFonts w:asciiTheme="minorHAnsi" w:hAnsiTheme="minorHAnsi" w:cstheme="minorHAnsi"/>
          <w:noProof/>
          <w:sz w:val="22"/>
          <w:szCs w:val="22"/>
          <w:lang w:val="en-GB"/>
        </w:rPr>
        <w:drawing>
          <wp:inline distT="0" distB="0" distL="0" distR="0" wp14:anchorId="6E7E6045" wp14:editId="09CA1992">
            <wp:extent cx="2592398" cy="19939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7842" cy="1998087"/>
                    </a:xfrm>
                    <a:prstGeom prst="rect">
                      <a:avLst/>
                    </a:prstGeom>
                    <a:noFill/>
                  </pic:spPr>
                </pic:pic>
              </a:graphicData>
            </a:graphic>
          </wp:inline>
        </w:drawing>
      </w:r>
      <w:r w:rsidR="00B01CFD">
        <w:rPr>
          <w:rFonts w:asciiTheme="minorHAnsi" w:hAnsiTheme="minorHAnsi" w:cstheme="minorHAnsi"/>
          <w:noProof/>
          <w:sz w:val="22"/>
          <w:szCs w:val="22"/>
          <w:lang w:val="en-GB"/>
        </w:rPr>
        <w:drawing>
          <wp:inline distT="0" distB="0" distL="0" distR="0" wp14:anchorId="4EE07A7E" wp14:editId="17648368">
            <wp:extent cx="2584450" cy="1994900"/>
            <wp:effectExtent l="0" t="0" r="635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1310" cy="2000195"/>
                    </a:xfrm>
                    <a:prstGeom prst="rect">
                      <a:avLst/>
                    </a:prstGeom>
                    <a:noFill/>
                  </pic:spPr>
                </pic:pic>
              </a:graphicData>
            </a:graphic>
          </wp:inline>
        </w:drawing>
      </w:r>
      <w:r w:rsidR="00034C52">
        <w:rPr>
          <w:rFonts w:asciiTheme="minorHAnsi" w:hAnsiTheme="minorHAnsi" w:cstheme="minorHAnsi"/>
          <w:noProof/>
          <w:sz w:val="22"/>
          <w:szCs w:val="22"/>
          <w:lang w:val="en-GB"/>
        </w:rPr>
        <w:drawing>
          <wp:inline distT="0" distB="0" distL="0" distR="0" wp14:anchorId="4D3432C0" wp14:editId="3BDA1D59">
            <wp:extent cx="2619318" cy="2025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4087" cy="2029338"/>
                    </a:xfrm>
                    <a:prstGeom prst="rect">
                      <a:avLst/>
                    </a:prstGeom>
                    <a:noFill/>
                  </pic:spPr>
                </pic:pic>
              </a:graphicData>
            </a:graphic>
          </wp:inline>
        </w:drawing>
      </w:r>
      <w:r w:rsidR="00831768">
        <w:rPr>
          <w:rFonts w:asciiTheme="minorHAnsi" w:hAnsiTheme="minorHAnsi" w:cstheme="minorHAnsi"/>
          <w:noProof/>
          <w:sz w:val="22"/>
          <w:szCs w:val="22"/>
          <w:lang w:val="en-GB"/>
        </w:rPr>
        <w:drawing>
          <wp:inline distT="0" distB="0" distL="0" distR="0" wp14:anchorId="4F86327A" wp14:editId="03921F2B">
            <wp:extent cx="2470150" cy="1901475"/>
            <wp:effectExtent l="0" t="0" r="635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8148" cy="1907632"/>
                    </a:xfrm>
                    <a:prstGeom prst="rect">
                      <a:avLst/>
                    </a:prstGeom>
                    <a:noFill/>
                  </pic:spPr>
                </pic:pic>
              </a:graphicData>
            </a:graphic>
          </wp:inline>
        </w:drawing>
      </w:r>
    </w:p>
    <w:p w14:paraId="0E35FD98" w14:textId="415BE4A4" w:rsidR="002837F5" w:rsidRPr="003F55E0" w:rsidRDefault="002837F5" w:rsidP="001B7CDD">
      <w:pPr>
        <w:spacing w:line="360" w:lineRule="auto"/>
        <w:jc w:val="both"/>
        <w:rPr>
          <w:rFonts w:asciiTheme="minorHAnsi" w:hAnsiTheme="minorHAnsi" w:cstheme="minorHAnsi"/>
          <w:sz w:val="22"/>
          <w:szCs w:val="22"/>
          <w:lang w:val="en-GB"/>
        </w:rPr>
      </w:pPr>
    </w:p>
    <w:p w14:paraId="114DAB63" w14:textId="77777777" w:rsidR="008C6D6F" w:rsidRPr="003F55E0" w:rsidRDefault="008C6D6F" w:rsidP="000233FE">
      <w:pPr>
        <w:spacing w:line="360" w:lineRule="auto"/>
        <w:rPr>
          <w:rFonts w:asciiTheme="minorHAnsi" w:hAnsiTheme="minorHAnsi" w:cstheme="minorHAnsi"/>
          <w:sz w:val="22"/>
          <w:szCs w:val="22"/>
          <w:lang w:val="en-GB"/>
        </w:rPr>
        <w:sectPr w:rsidR="008C6D6F" w:rsidRPr="003F55E0" w:rsidSect="008C6D6F">
          <w:type w:val="continuous"/>
          <w:pgSz w:w="11906" w:h="16838"/>
          <w:pgMar w:top="1417" w:right="1417" w:bottom="1417" w:left="1417" w:header="708" w:footer="708" w:gutter="0"/>
          <w:cols w:num="2" w:space="708"/>
          <w:docGrid w:linePitch="360"/>
        </w:sectPr>
      </w:pPr>
    </w:p>
    <w:bookmarkEnd w:id="1"/>
    <w:p w14:paraId="4ADCEECA" w14:textId="3A67522E" w:rsidR="00642FA2" w:rsidRPr="003F55E0" w:rsidRDefault="00642FA2" w:rsidP="00D355E6">
      <w:pPr>
        <w:spacing w:line="360" w:lineRule="auto"/>
        <w:jc w:val="center"/>
        <w:rPr>
          <w:rFonts w:asciiTheme="minorHAnsi" w:hAnsiTheme="minorHAnsi" w:cstheme="minorHAnsi"/>
          <w:sz w:val="22"/>
          <w:szCs w:val="22"/>
          <w:lang w:val="en-GB"/>
        </w:rPr>
      </w:pPr>
    </w:p>
    <w:sectPr w:rsidR="00642FA2" w:rsidRPr="003F55E0" w:rsidSect="00621EA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41E2" w14:textId="77777777" w:rsidR="00DA6032" w:rsidRDefault="00DA6032" w:rsidP="00A07306">
      <w:r>
        <w:separator/>
      </w:r>
    </w:p>
  </w:endnote>
  <w:endnote w:type="continuationSeparator" w:id="0">
    <w:p w14:paraId="2E5E609A" w14:textId="77777777" w:rsidR="00DA6032" w:rsidRDefault="00DA6032" w:rsidP="00A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gridCol w:w="222"/>
      <w:gridCol w:w="222"/>
      <w:gridCol w:w="222"/>
      <w:gridCol w:w="222"/>
    </w:tblGrid>
    <w:tr w:rsidR="003E20D9" w:rsidRPr="002B598A" w14:paraId="6A9EE73E" w14:textId="77777777" w:rsidTr="0098776B">
      <w:trPr>
        <w:cantSplit/>
        <w:trHeight w:val="181"/>
      </w:trPr>
      <w:tc>
        <w:tcPr>
          <w:tcW w:w="1998" w:type="dxa"/>
          <w:vMerge w:val="restart"/>
          <w:tcBorders>
            <w:top w:val="single" w:sz="4" w:space="0" w:color="auto"/>
            <w:left w:val="nil"/>
            <w:right w:val="nil"/>
          </w:tcBorders>
        </w:tcPr>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985"/>
            <w:gridCol w:w="2126"/>
            <w:gridCol w:w="2126"/>
          </w:tblGrid>
          <w:tr w:rsidR="00F216F2" w:rsidRPr="00713B78" w14:paraId="392E5BE3" w14:textId="77777777" w:rsidTr="00D50296">
            <w:trPr>
              <w:cantSplit/>
              <w:trHeight w:val="181"/>
            </w:trPr>
            <w:tc>
              <w:tcPr>
                <w:tcW w:w="1701" w:type="dxa"/>
                <w:vMerge w:val="restart"/>
                <w:tcBorders>
                  <w:top w:val="single" w:sz="4" w:space="0" w:color="auto"/>
                  <w:left w:val="nil"/>
                  <w:right w:val="nil"/>
                </w:tcBorders>
              </w:tcPr>
              <w:p w14:paraId="50B83C17" w14:textId="77777777" w:rsidR="00F216F2" w:rsidRDefault="00F216F2" w:rsidP="00F216F2">
                <w:pPr>
                  <w:pStyle w:val="Footer"/>
                  <w:spacing w:before="20" w:after="20"/>
                  <w:rPr>
                    <w:rFonts w:cs="Arial"/>
                    <w:b/>
                    <w:bCs/>
                    <w:sz w:val="14"/>
                    <w:szCs w:val="14"/>
                  </w:rPr>
                </w:pPr>
              </w:p>
              <w:p w14:paraId="46E61C8A" w14:textId="77777777" w:rsidR="00F216F2" w:rsidRPr="002B598A" w:rsidRDefault="00F216F2" w:rsidP="00F216F2">
                <w:pPr>
                  <w:pStyle w:val="Footer"/>
                  <w:spacing w:before="20" w:after="20"/>
                  <w:rPr>
                    <w:rFonts w:cs="Arial"/>
                    <w:b/>
                    <w:bCs/>
                    <w:sz w:val="14"/>
                    <w:szCs w:val="14"/>
                  </w:rPr>
                </w:pPr>
                <w:r w:rsidRPr="002B598A">
                  <w:rPr>
                    <w:rFonts w:cs="Arial"/>
                    <w:b/>
                    <w:bCs/>
                    <w:sz w:val="14"/>
                    <w:szCs w:val="14"/>
                  </w:rPr>
                  <w:t>INA, d.d.</w:t>
                </w:r>
              </w:p>
              <w:p w14:paraId="04E1C057" w14:textId="77777777" w:rsidR="00F216F2" w:rsidRPr="002B598A" w:rsidRDefault="00F216F2" w:rsidP="00F216F2">
                <w:pPr>
                  <w:pStyle w:val="Footer"/>
                  <w:rPr>
                    <w:rFonts w:cs="Arial"/>
                    <w:sz w:val="11"/>
                    <w:szCs w:val="11"/>
                  </w:rPr>
                </w:pPr>
                <w:r w:rsidRPr="002B598A">
                  <w:rPr>
                    <w:rFonts w:cs="Arial"/>
                    <w:sz w:val="11"/>
                    <w:szCs w:val="11"/>
                  </w:rPr>
                  <w:t xml:space="preserve">Avenija Većeslava Holjevca 10 </w:t>
                </w:r>
              </w:p>
              <w:p w14:paraId="639C73CA" w14:textId="77777777" w:rsidR="00F216F2" w:rsidRPr="002B598A" w:rsidRDefault="00F216F2" w:rsidP="00F216F2">
                <w:pPr>
                  <w:pStyle w:val="Footer"/>
                  <w:rPr>
                    <w:rFonts w:cs="Arial"/>
                    <w:sz w:val="11"/>
                    <w:szCs w:val="11"/>
                  </w:rPr>
                </w:pPr>
                <w:r w:rsidRPr="002B598A">
                  <w:rPr>
                    <w:rFonts w:cs="Arial"/>
                    <w:sz w:val="11"/>
                    <w:szCs w:val="11"/>
                  </w:rPr>
                  <w:t>10 002 Zagreb    p.p. 555</w:t>
                </w:r>
              </w:p>
              <w:p w14:paraId="0412F057" w14:textId="77777777" w:rsidR="00F216F2" w:rsidRDefault="00F216F2" w:rsidP="00F216F2">
                <w:pPr>
                  <w:pStyle w:val="Footer"/>
                  <w:rPr>
                    <w:rFonts w:cs="Arial"/>
                    <w:i/>
                    <w:iCs/>
                    <w:sz w:val="11"/>
                    <w:szCs w:val="11"/>
                  </w:rPr>
                </w:pPr>
                <w:r w:rsidRPr="002B598A">
                  <w:rPr>
                    <w:rFonts w:cs="Arial"/>
                    <w:sz w:val="11"/>
                    <w:szCs w:val="11"/>
                  </w:rPr>
                  <w:t xml:space="preserve">Hrvatska </w:t>
                </w:r>
                <w:r>
                  <w:rPr>
                    <w:rFonts w:cs="Arial"/>
                    <w:sz w:val="11"/>
                    <w:szCs w:val="11"/>
                  </w:rPr>
                  <w:t>–</w:t>
                </w:r>
                <w:r w:rsidRPr="002B598A">
                  <w:rPr>
                    <w:rFonts w:cs="Arial"/>
                    <w:sz w:val="11"/>
                    <w:szCs w:val="11"/>
                  </w:rPr>
                  <w:t xml:space="preserve"> </w:t>
                </w:r>
                <w:r w:rsidRPr="002B598A">
                  <w:rPr>
                    <w:rFonts w:cs="Arial"/>
                    <w:i/>
                    <w:iCs/>
                    <w:sz w:val="11"/>
                    <w:szCs w:val="11"/>
                  </w:rPr>
                  <w:t>Croatia</w:t>
                </w:r>
              </w:p>
              <w:p w14:paraId="659AF8EB" w14:textId="77777777" w:rsidR="00F216F2" w:rsidRPr="00B871AD" w:rsidRDefault="00F216F2" w:rsidP="00F216F2">
                <w:pPr>
                  <w:pStyle w:val="Footer"/>
                  <w:rPr>
                    <w:rFonts w:cs="Arial"/>
                    <w:sz w:val="11"/>
                    <w:szCs w:val="11"/>
                  </w:rPr>
                </w:pPr>
                <w:r w:rsidRPr="00B871AD">
                  <w:rPr>
                    <w:sz w:val="11"/>
                    <w:szCs w:val="11"/>
                  </w:rPr>
                  <w:t>BIC (SWIFT): INAHHR22</w:t>
                </w:r>
              </w:p>
              <w:p w14:paraId="054C3BDF" w14:textId="77777777" w:rsidR="00F216F2" w:rsidRPr="002B598A" w:rsidRDefault="00F216F2" w:rsidP="00F216F2">
                <w:pPr>
                  <w:pStyle w:val="Footer"/>
                  <w:rPr>
                    <w:sz w:val="11"/>
                    <w:szCs w:val="11"/>
                  </w:rPr>
                </w:pPr>
                <w:r w:rsidRPr="002B598A">
                  <w:rPr>
                    <w:rFonts w:cs="Arial"/>
                    <w:sz w:val="11"/>
                    <w:szCs w:val="11"/>
                  </w:rPr>
                  <w:t xml:space="preserve">Telefon </w:t>
                </w:r>
                <w:r>
                  <w:rPr>
                    <w:rFonts w:cs="Arial"/>
                    <w:sz w:val="11"/>
                    <w:szCs w:val="11"/>
                  </w:rPr>
                  <w:t>–</w:t>
                </w:r>
                <w:r w:rsidRPr="002B598A">
                  <w:rPr>
                    <w:rFonts w:cs="Arial"/>
                    <w:sz w:val="11"/>
                    <w:szCs w:val="11"/>
                  </w:rPr>
                  <w:t xml:space="preserve"> </w:t>
                </w:r>
                <w:r w:rsidRPr="002B598A">
                  <w:rPr>
                    <w:rFonts w:cs="Arial"/>
                    <w:i/>
                    <w:iCs/>
                    <w:sz w:val="11"/>
                    <w:szCs w:val="11"/>
                  </w:rPr>
                  <w:t>Telephone</w:t>
                </w:r>
                <w:r>
                  <w:rPr>
                    <w:rFonts w:cs="Arial"/>
                    <w:i/>
                    <w:iCs/>
                    <w:sz w:val="11"/>
                    <w:szCs w:val="11"/>
                  </w:rPr>
                  <w:t>:</w:t>
                </w:r>
                <w:r w:rsidRPr="002B598A">
                  <w:rPr>
                    <w:rFonts w:cs="Arial"/>
                    <w:sz w:val="11"/>
                    <w:szCs w:val="11"/>
                  </w:rPr>
                  <w:t xml:space="preserve"> </w:t>
                </w:r>
                <w:r>
                  <w:rPr>
                    <w:rFonts w:cs="Arial"/>
                    <w:sz w:val="11"/>
                    <w:szCs w:val="11"/>
                  </w:rPr>
                  <w:t>08001112</w:t>
                </w:r>
              </w:p>
            </w:tc>
            <w:tc>
              <w:tcPr>
                <w:tcW w:w="1701" w:type="dxa"/>
                <w:tcBorders>
                  <w:top w:val="single" w:sz="4" w:space="0" w:color="auto"/>
                  <w:left w:val="nil"/>
                  <w:bottom w:val="nil"/>
                  <w:right w:val="nil"/>
                </w:tcBorders>
                <w:vAlign w:val="center"/>
              </w:tcPr>
              <w:p w14:paraId="58A18E16" w14:textId="77777777" w:rsidR="00F216F2" w:rsidRDefault="00F216F2" w:rsidP="00F216F2">
                <w:pPr>
                  <w:pStyle w:val="Footer"/>
                  <w:ind w:left="-108"/>
                  <w:rPr>
                    <w:rFonts w:cs="Arial"/>
                    <w:sz w:val="11"/>
                    <w:szCs w:val="11"/>
                  </w:rPr>
                </w:pPr>
              </w:p>
              <w:p w14:paraId="48D4C50C" w14:textId="77777777" w:rsidR="00F216F2" w:rsidRPr="00713B78" w:rsidRDefault="00F216F2" w:rsidP="00F216F2">
                <w:pPr>
                  <w:pStyle w:val="Footer"/>
                  <w:ind w:left="-108"/>
                  <w:rPr>
                    <w:sz w:val="11"/>
                    <w:szCs w:val="11"/>
                  </w:rPr>
                </w:pPr>
                <w:r w:rsidRPr="00713B78">
                  <w:rPr>
                    <w:rFonts w:cs="Arial"/>
                    <w:sz w:val="11"/>
                    <w:szCs w:val="11"/>
                  </w:rPr>
                  <w:t xml:space="preserve">Banka - </w:t>
                </w:r>
                <w:r w:rsidRPr="00713B78">
                  <w:rPr>
                    <w:rFonts w:cs="Arial"/>
                    <w:i/>
                    <w:iCs/>
                    <w:sz w:val="11"/>
                    <w:szCs w:val="11"/>
                  </w:rPr>
                  <w:t>Bank</w:t>
                </w:r>
              </w:p>
            </w:tc>
            <w:tc>
              <w:tcPr>
                <w:tcW w:w="1985" w:type="dxa"/>
                <w:tcBorders>
                  <w:top w:val="single" w:sz="4" w:space="0" w:color="auto"/>
                  <w:left w:val="nil"/>
                  <w:bottom w:val="nil"/>
                  <w:right w:val="nil"/>
                </w:tcBorders>
                <w:vAlign w:val="center"/>
              </w:tcPr>
              <w:p w14:paraId="25983C25" w14:textId="77777777" w:rsidR="00F216F2" w:rsidRPr="00713B78" w:rsidRDefault="00F216F2" w:rsidP="00F216F2">
                <w:pPr>
                  <w:pStyle w:val="Footer"/>
                  <w:ind w:left="-108"/>
                  <w:rPr>
                    <w:rFonts w:cs="Arial"/>
                    <w:sz w:val="11"/>
                    <w:szCs w:val="11"/>
                  </w:rPr>
                </w:pPr>
              </w:p>
              <w:p w14:paraId="5C4828AA" w14:textId="77777777" w:rsidR="00F216F2" w:rsidRPr="00713B78" w:rsidRDefault="00F216F2" w:rsidP="00F216F2">
                <w:pPr>
                  <w:pStyle w:val="Footer"/>
                  <w:ind w:left="-108"/>
                  <w:rPr>
                    <w:rFonts w:cs="Arial"/>
                    <w:sz w:val="11"/>
                    <w:szCs w:val="11"/>
                  </w:rPr>
                </w:pPr>
                <w:r w:rsidRPr="00713B78">
                  <w:rPr>
                    <w:rFonts w:cs="Arial"/>
                    <w:sz w:val="11"/>
                    <w:szCs w:val="11"/>
                  </w:rPr>
                  <w:t xml:space="preserve">Adresa - </w:t>
                </w:r>
                <w:r w:rsidRPr="00713B78">
                  <w:rPr>
                    <w:rFonts w:cs="Arial"/>
                    <w:i/>
                    <w:iCs/>
                    <w:sz w:val="11"/>
                    <w:szCs w:val="11"/>
                    <w:lang w:val="en-GB"/>
                  </w:rPr>
                  <w:t>Address</w:t>
                </w:r>
              </w:p>
            </w:tc>
            <w:tc>
              <w:tcPr>
                <w:tcW w:w="2126" w:type="dxa"/>
                <w:tcBorders>
                  <w:top w:val="single" w:sz="4" w:space="0" w:color="auto"/>
                  <w:left w:val="nil"/>
                  <w:bottom w:val="nil"/>
                  <w:right w:val="nil"/>
                </w:tcBorders>
                <w:vAlign w:val="center"/>
              </w:tcPr>
              <w:p w14:paraId="574CD7B3" w14:textId="77777777" w:rsidR="00F216F2" w:rsidRPr="00713B78" w:rsidRDefault="00F216F2" w:rsidP="00F216F2">
                <w:pPr>
                  <w:pStyle w:val="Footer"/>
                  <w:ind w:left="-108" w:right="-108"/>
                  <w:rPr>
                    <w:rFonts w:cs="Arial"/>
                    <w:sz w:val="11"/>
                    <w:szCs w:val="11"/>
                  </w:rPr>
                </w:pPr>
              </w:p>
              <w:p w14:paraId="39FBD4FB" w14:textId="77777777" w:rsidR="00F216F2" w:rsidRPr="00713B78" w:rsidRDefault="00F216F2" w:rsidP="00F216F2">
                <w:pPr>
                  <w:pStyle w:val="Footer"/>
                  <w:ind w:left="-108" w:right="-108"/>
                  <w:rPr>
                    <w:rFonts w:cs="Arial"/>
                    <w:sz w:val="11"/>
                    <w:szCs w:val="11"/>
                  </w:rPr>
                </w:pPr>
                <w:r w:rsidRPr="00713B78">
                  <w:rPr>
                    <w:rFonts w:cs="Arial"/>
                    <w:sz w:val="11"/>
                    <w:szCs w:val="11"/>
                  </w:rPr>
                  <w:t xml:space="preserve">IBAN broj - </w:t>
                </w:r>
                <w:r w:rsidRPr="00713B78">
                  <w:rPr>
                    <w:rFonts w:cs="Arial"/>
                    <w:i/>
                    <w:iCs/>
                    <w:sz w:val="11"/>
                    <w:szCs w:val="11"/>
                  </w:rPr>
                  <w:t xml:space="preserve">IBAN </w:t>
                </w:r>
                <w:r w:rsidRPr="00713B78">
                  <w:rPr>
                    <w:rFonts w:cs="Arial"/>
                    <w:i/>
                    <w:iCs/>
                    <w:sz w:val="11"/>
                    <w:szCs w:val="11"/>
                    <w:lang w:val="en-GB"/>
                  </w:rPr>
                  <w:t>Number</w:t>
                </w:r>
                <w:r w:rsidRPr="00713B78">
                  <w:rPr>
                    <w:rFonts w:cs="Arial"/>
                    <w:i/>
                    <w:iCs/>
                    <w:sz w:val="11"/>
                    <w:szCs w:val="11"/>
                  </w:rPr>
                  <w:t xml:space="preserve">, </w:t>
                </w:r>
              </w:p>
            </w:tc>
            <w:tc>
              <w:tcPr>
                <w:tcW w:w="2126" w:type="dxa"/>
                <w:vMerge w:val="restart"/>
                <w:tcBorders>
                  <w:top w:val="single" w:sz="4" w:space="0" w:color="auto"/>
                  <w:left w:val="nil"/>
                  <w:right w:val="nil"/>
                </w:tcBorders>
                <w:tcMar>
                  <w:left w:w="57" w:type="dxa"/>
                  <w:right w:w="57" w:type="dxa"/>
                </w:tcMar>
              </w:tcPr>
              <w:p w14:paraId="0D266AB1" w14:textId="77777777" w:rsidR="00F216F2" w:rsidRPr="00713B78" w:rsidRDefault="00F216F2" w:rsidP="00F216F2">
                <w:pPr>
                  <w:pStyle w:val="Footer"/>
                  <w:spacing w:before="40"/>
                  <w:rPr>
                    <w:rFonts w:cs="Arial"/>
                    <w:sz w:val="11"/>
                    <w:szCs w:val="11"/>
                  </w:rPr>
                </w:pPr>
              </w:p>
              <w:p w14:paraId="15D7C30C" w14:textId="77777777" w:rsidR="00F216F2" w:rsidRPr="00713B78" w:rsidRDefault="00F216F2" w:rsidP="00F216F2">
                <w:pPr>
                  <w:pStyle w:val="Footer"/>
                  <w:spacing w:before="40"/>
                  <w:rPr>
                    <w:rFonts w:cs="Arial"/>
                    <w:sz w:val="11"/>
                    <w:szCs w:val="11"/>
                  </w:rPr>
                </w:pPr>
                <w:r w:rsidRPr="00713B78">
                  <w:rPr>
                    <w:rFonts w:cs="Arial"/>
                    <w:sz w:val="11"/>
                    <w:szCs w:val="11"/>
                  </w:rPr>
                  <w:t>Trgovački sud u Zagrebu</w:t>
                </w:r>
              </w:p>
              <w:p w14:paraId="1162666C" w14:textId="77777777" w:rsidR="00F216F2" w:rsidRPr="00713B78" w:rsidRDefault="00F216F2" w:rsidP="00F216F2">
                <w:pPr>
                  <w:pStyle w:val="Footer"/>
                  <w:rPr>
                    <w:rFonts w:cs="Arial"/>
                    <w:i/>
                    <w:iCs/>
                    <w:sz w:val="11"/>
                    <w:szCs w:val="11"/>
                  </w:rPr>
                </w:pPr>
                <w:r w:rsidRPr="00713B78">
                  <w:rPr>
                    <w:rFonts w:cs="Arial"/>
                    <w:i/>
                    <w:iCs/>
                    <w:sz w:val="11"/>
                    <w:szCs w:val="11"/>
                    <w:lang w:val="en-US"/>
                  </w:rPr>
                  <w:t>Commercial</w:t>
                </w:r>
                <w:r w:rsidRPr="00713B78">
                  <w:rPr>
                    <w:rFonts w:cs="Arial"/>
                    <w:i/>
                    <w:iCs/>
                    <w:sz w:val="11"/>
                    <w:szCs w:val="11"/>
                  </w:rPr>
                  <w:t xml:space="preserve"> </w:t>
                </w:r>
                <w:r w:rsidRPr="00713B78">
                  <w:rPr>
                    <w:rFonts w:cs="Arial"/>
                    <w:i/>
                    <w:iCs/>
                    <w:sz w:val="11"/>
                    <w:szCs w:val="11"/>
                    <w:lang w:val="en-US"/>
                  </w:rPr>
                  <w:t>Court</w:t>
                </w:r>
                <w:r w:rsidRPr="00713B78">
                  <w:rPr>
                    <w:rFonts w:cs="Arial"/>
                    <w:i/>
                    <w:iCs/>
                    <w:sz w:val="11"/>
                    <w:szCs w:val="11"/>
                  </w:rPr>
                  <w:t xml:space="preserve"> </w:t>
                </w:r>
                <w:r w:rsidRPr="00713B78">
                  <w:rPr>
                    <w:rFonts w:cs="Arial"/>
                    <w:i/>
                    <w:iCs/>
                    <w:sz w:val="11"/>
                    <w:szCs w:val="11"/>
                    <w:lang w:val="en-US"/>
                  </w:rPr>
                  <w:t>in</w:t>
                </w:r>
                <w:r w:rsidRPr="00713B78">
                  <w:rPr>
                    <w:rFonts w:cs="Arial"/>
                    <w:i/>
                    <w:iCs/>
                    <w:sz w:val="11"/>
                    <w:szCs w:val="11"/>
                  </w:rPr>
                  <w:t xml:space="preserve"> </w:t>
                </w:r>
                <w:r w:rsidRPr="00713B78">
                  <w:rPr>
                    <w:rFonts w:cs="Arial"/>
                    <w:i/>
                    <w:iCs/>
                    <w:sz w:val="11"/>
                    <w:szCs w:val="11"/>
                    <w:lang w:val="en-US"/>
                  </w:rPr>
                  <w:t>Zagreb</w:t>
                </w:r>
              </w:p>
              <w:p w14:paraId="07000685" w14:textId="77777777" w:rsidR="00F216F2" w:rsidRPr="00713B78" w:rsidRDefault="00F216F2" w:rsidP="00F216F2">
                <w:pPr>
                  <w:pStyle w:val="Footer"/>
                  <w:rPr>
                    <w:rFonts w:cs="Arial"/>
                    <w:sz w:val="11"/>
                    <w:szCs w:val="11"/>
                  </w:rPr>
                </w:pPr>
                <w:r w:rsidRPr="00713B78">
                  <w:rPr>
                    <w:rFonts w:cs="Arial"/>
                    <w:sz w:val="11"/>
                    <w:szCs w:val="11"/>
                  </w:rPr>
                  <w:t>MBS: 080000604</w:t>
                </w:r>
              </w:p>
              <w:p w14:paraId="2706C228" w14:textId="77777777" w:rsidR="00F216F2" w:rsidRPr="00713B78" w:rsidRDefault="00F216F2" w:rsidP="00F216F2">
                <w:pPr>
                  <w:pStyle w:val="Footer"/>
                  <w:rPr>
                    <w:rFonts w:cs="Arial"/>
                    <w:i/>
                    <w:iCs/>
                    <w:sz w:val="11"/>
                    <w:szCs w:val="11"/>
                  </w:rPr>
                </w:pPr>
                <w:r w:rsidRPr="00713B78">
                  <w:rPr>
                    <w:rFonts w:cs="Arial"/>
                    <w:sz w:val="11"/>
                    <w:szCs w:val="11"/>
                  </w:rPr>
                  <w:t xml:space="preserve">Uplaćen temeljni kapital – </w:t>
                </w:r>
                <w:r w:rsidRPr="00713B78">
                  <w:rPr>
                    <w:rFonts w:cs="Arial"/>
                    <w:i/>
                    <w:iCs/>
                    <w:sz w:val="11"/>
                    <w:szCs w:val="11"/>
                    <w:lang w:val="en-US"/>
                  </w:rPr>
                  <w:t>Paid</w:t>
                </w:r>
                <w:r w:rsidRPr="00713B78">
                  <w:rPr>
                    <w:rFonts w:cs="Arial"/>
                    <w:sz w:val="11"/>
                    <w:szCs w:val="11"/>
                  </w:rPr>
                  <w:t xml:space="preserve"> </w:t>
                </w:r>
                <w:r w:rsidRPr="00713B78">
                  <w:rPr>
                    <w:rFonts w:cs="Arial"/>
                    <w:sz w:val="11"/>
                    <w:szCs w:val="11"/>
                    <w:lang w:val="en-US"/>
                  </w:rPr>
                  <w:t>c</w:t>
                </w:r>
                <w:r w:rsidRPr="00713B78">
                  <w:rPr>
                    <w:rFonts w:cs="Arial"/>
                    <w:i/>
                    <w:iCs/>
                    <w:sz w:val="11"/>
                    <w:szCs w:val="11"/>
                    <w:lang w:val="en-US"/>
                  </w:rPr>
                  <w:t>apital</w:t>
                </w:r>
                <w:r w:rsidRPr="00713B78">
                  <w:rPr>
                    <w:rFonts w:cs="Arial"/>
                    <w:i/>
                    <w:iCs/>
                    <w:sz w:val="11"/>
                    <w:szCs w:val="11"/>
                  </w:rPr>
                  <w:t xml:space="preserve"> </w:t>
                </w:r>
                <w:r w:rsidRPr="00713B78">
                  <w:rPr>
                    <w:rFonts w:cs="Arial"/>
                    <w:i/>
                    <w:iCs/>
                    <w:sz w:val="11"/>
                    <w:szCs w:val="11"/>
                    <w:lang w:val="en-US"/>
                  </w:rPr>
                  <w:t>stock</w:t>
                </w:r>
              </w:p>
              <w:p w14:paraId="495347F4" w14:textId="77777777" w:rsidR="00F216F2" w:rsidRPr="00713B78" w:rsidRDefault="00F216F2" w:rsidP="00F216F2">
                <w:pPr>
                  <w:pStyle w:val="Footer"/>
                  <w:rPr>
                    <w:rFonts w:cs="Arial"/>
                    <w:sz w:val="11"/>
                    <w:szCs w:val="11"/>
                  </w:rPr>
                </w:pPr>
                <w:r w:rsidRPr="00713B78">
                  <w:rPr>
                    <w:rFonts w:cs="Arial"/>
                    <w:sz w:val="11"/>
                    <w:szCs w:val="11"/>
                  </w:rPr>
                  <w:t xml:space="preserve">9.000.000.000,00 kn - HRK </w:t>
                </w:r>
              </w:p>
              <w:p w14:paraId="1AFC4A2A" w14:textId="77777777" w:rsidR="00F216F2" w:rsidRPr="00713B78" w:rsidRDefault="00F216F2" w:rsidP="00F216F2">
                <w:pPr>
                  <w:pStyle w:val="Footer"/>
                  <w:rPr>
                    <w:rFonts w:cs="Arial"/>
                    <w:sz w:val="11"/>
                    <w:szCs w:val="11"/>
                  </w:rPr>
                </w:pPr>
                <w:r w:rsidRPr="00713B78">
                  <w:rPr>
                    <w:rFonts w:cs="Arial"/>
                    <w:sz w:val="11"/>
                    <w:szCs w:val="11"/>
                  </w:rPr>
                  <w:t>Broj izdanih dionica / Nominalna vrijednost</w:t>
                </w:r>
              </w:p>
              <w:p w14:paraId="5BB5DDA9" w14:textId="77777777" w:rsidR="00F216F2" w:rsidRPr="00713B78" w:rsidRDefault="00F216F2" w:rsidP="00F216F2">
                <w:pPr>
                  <w:pStyle w:val="Footer"/>
                  <w:rPr>
                    <w:rFonts w:cs="Arial"/>
                    <w:i/>
                    <w:iCs/>
                    <w:sz w:val="11"/>
                    <w:szCs w:val="11"/>
                    <w:lang w:val="en-US"/>
                  </w:rPr>
                </w:pPr>
                <w:r w:rsidRPr="00713B78">
                  <w:rPr>
                    <w:rFonts w:cs="Arial"/>
                    <w:i/>
                    <w:iCs/>
                    <w:sz w:val="11"/>
                    <w:szCs w:val="11"/>
                    <w:lang w:val="en-US"/>
                  </w:rPr>
                  <w:t>No. of issued shares / Nominal value</w:t>
                </w:r>
              </w:p>
              <w:p w14:paraId="6B058345" w14:textId="77777777" w:rsidR="00F216F2" w:rsidRPr="00713B78" w:rsidRDefault="00F216F2" w:rsidP="00F216F2">
                <w:pPr>
                  <w:pStyle w:val="Footer"/>
                  <w:rPr>
                    <w:rFonts w:cs="Arial"/>
                    <w:sz w:val="11"/>
                    <w:szCs w:val="11"/>
                  </w:rPr>
                </w:pPr>
                <w:r w:rsidRPr="00713B78">
                  <w:rPr>
                    <w:rFonts w:cs="Arial"/>
                    <w:sz w:val="11"/>
                    <w:szCs w:val="11"/>
                  </w:rPr>
                  <w:t xml:space="preserve">10.000.000 / 900,00 kn - HRK </w:t>
                </w:r>
              </w:p>
              <w:p w14:paraId="4D89D6F7" w14:textId="77777777" w:rsidR="00F216F2" w:rsidRPr="00713B78" w:rsidRDefault="00F216F2" w:rsidP="00F216F2">
                <w:pPr>
                  <w:pStyle w:val="Footer"/>
                  <w:rPr>
                    <w:rFonts w:cs="Arial"/>
                    <w:sz w:val="11"/>
                    <w:szCs w:val="11"/>
                  </w:rPr>
                </w:pPr>
                <w:r w:rsidRPr="00713B78">
                  <w:rPr>
                    <w:rFonts w:cs="Arial"/>
                    <w:sz w:val="11"/>
                    <w:szCs w:val="11"/>
                  </w:rPr>
                  <w:t xml:space="preserve">Matični broj – </w:t>
                </w:r>
                <w:r w:rsidRPr="00713B78">
                  <w:rPr>
                    <w:rFonts w:cs="Arial"/>
                    <w:i/>
                    <w:iCs/>
                    <w:sz w:val="11"/>
                    <w:szCs w:val="11"/>
                    <w:lang w:val="nl-NL"/>
                  </w:rPr>
                  <w:t>Reg. No</w:t>
                </w:r>
                <w:r w:rsidRPr="00713B78">
                  <w:rPr>
                    <w:rFonts w:cs="Arial"/>
                    <w:i/>
                    <w:iCs/>
                    <w:sz w:val="11"/>
                    <w:szCs w:val="11"/>
                  </w:rPr>
                  <w:t>.</w:t>
                </w:r>
                <w:r w:rsidRPr="00713B78">
                  <w:rPr>
                    <w:rFonts w:cs="Arial"/>
                    <w:sz w:val="11"/>
                    <w:szCs w:val="11"/>
                  </w:rPr>
                  <w:t xml:space="preserve"> 3586243</w:t>
                </w:r>
              </w:p>
              <w:p w14:paraId="3C08A6F6" w14:textId="77777777" w:rsidR="00F216F2" w:rsidRPr="00713B78" w:rsidRDefault="00F216F2" w:rsidP="00F216F2">
                <w:pPr>
                  <w:pStyle w:val="Footer"/>
                  <w:rPr>
                    <w:rFonts w:cs="Arial"/>
                    <w:sz w:val="11"/>
                    <w:szCs w:val="11"/>
                  </w:rPr>
                </w:pPr>
                <w:r w:rsidRPr="00713B78">
                  <w:rPr>
                    <w:rFonts w:cs="Arial"/>
                    <w:sz w:val="11"/>
                    <w:szCs w:val="11"/>
                  </w:rPr>
                  <w:t>OIB – 27759560625</w:t>
                </w:r>
              </w:p>
              <w:p w14:paraId="32F9EE0E" w14:textId="77777777" w:rsidR="00F216F2" w:rsidRPr="00713B78" w:rsidRDefault="00F216F2" w:rsidP="00F216F2">
                <w:pPr>
                  <w:pStyle w:val="Footer"/>
                  <w:rPr>
                    <w:sz w:val="11"/>
                    <w:szCs w:val="11"/>
                  </w:rPr>
                </w:pPr>
                <w:r w:rsidRPr="00713B78">
                  <w:rPr>
                    <w:rFonts w:cs="Arial"/>
                    <w:sz w:val="11"/>
                    <w:szCs w:val="11"/>
                  </w:rPr>
                  <w:t xml:space="preserve">PDV identifikacijski broj / </w:t>
                </w:r>
                <w:r w:rsidRPr="00713B78">
                  <w:rPr>
                    <w:rFonts w:cs="Arial"/>
                    <w:i/>
                    <w:iCs/>
                    <w:sz w:val="11"/>
                    <w:szCs w:val="11"/>
                  </w:rPr>
                  <w:t xml:space="preserve">VAT </w:t>
                </w:r>
                <w:r w:rsidRPr="00713B78">
                  <w:rPr>
                    <w:rFonts w:cs="Arial"/>
                    <w:i/>
                    <w:iCs/>
                    <w:sz w:val="11"/>
                    <w:szCs w:val="11"/>
                    <w:lang w:val="en-US"/>
                  </w:rPr>
                  <w:t>identification number</w:t>
                </w:r>
                <w:r w:rsidRPr="00713B78">
                  <w:rPr>
                    <w:rFonts w:cs="Arial"/>
                    <w:sz w:val="11"/>
                    <w:szCs w:val="11"/>
                  </w:rPr>
                  <w:t xml:space="preserve"> </w:t>
                </w:r>
                <w:r w:rsidRPr="00713B78">
                  <w:rPr>
                    <w:sz w:val="11"/>
                    <w:szCs w:val="11"/>
                  </w:rPr>
                  <w:t>HR27759560625</w:t>
                </w:r>
              </w:p>
            </w:tc>
          </w:tr>
          <w:tr w:rsidR="00F216F2" w:rsidRPr="002B598A" w14:paraId="28A0C989" w14:textId="77777777" w:rsidTr="00D50296">
            <w:trPr>
              <w:cantSplit/>
              <w:trHeight w:val="1304"/>
            </w:trPr>
            <w:tc>
              <w:tcPr>
                <w:tcW w:w="1701" w:type="dxa"/>
                <w:vMerge/>
                <w:tcBorders>
                  <w:left w:val="nil"/>
                  <w:bottom w:val="nil"/>
                  <w:right w:val="nil"/>
                </w:tcBorders>
              </w:tcPr>
              <w:p w14:paraId="4287F446" w14:textId="77777777" w:rsidR="00F216F2" w:rsidRPr="002B598A" w:rsidRDefault="00F216F2" w:rsidP="00F216F2">
                <w:pPr>
                  <w:pStyle w:val="Footer"/>
                  <w:rPr>
                    <w:rFonts w:cs="Arial"/>
                    <w:b/>
                    <w:bCs/>
                    <w:sz w:val="11"/>
                    <w:szCs w:val="11"/>
                  </w:rPr>
                </w:pPr>
              </w:p>
            </w:tc>
            <w:tc>
              <w:tcPr>
                <w:tcW w:w="1701" w:type="dxa"/>
                <w:tcBorders>
                  <w:top w:val="nil"/>
                  <w:left w:val="nil"/>
                  <w:bottom w:val="nil"/>
                  <w:right w:val="nil"/>
                </w:tcBorders>
              </w:tcPr>
              <w:p w14:paraId="74B2EEFA"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Privredna banka Zagreb d.d.</w:t>
                </w:r>
              </w:p>
              <w:p w14:paraId="0F86ECF3"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 xml:space="preserve">Raiffeisenbank Austria d.d. </w:t>
                </w:r>
              </w:p>
              <w:p w14:paraId="463CF121"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Zagrebačka banka d.d.</w:t>
                </w:r>
              </w:p>
              <w:p w14:paraId="2AFB6A70"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OTP banka d.d.</w:t>
                </w:r>
              </w:p>
              <w:p w14:paraId="0A2F104D" w14:textId="77777777" w:rsidR="00F216F2" w:rsidRPr="00713B78" w:rsidRDefault="00F216F2" w:rsidP="00F216F2">
                <w:pPr>
                  <w:pStyle w:val="Footer"/>
                  <w:spacing w:line="216" w:lineRule="auto"/>
                  <w:ind w:left="-108"/>
                  <w:rPr>
                    <w:rFonts w:cs="Arial"/>
                    <w:sz w:val="11"/>
                    <w:szCs w:val="11"/>
                  </w:rPr>
                </w:pPr>
                <w:r w:rsidRPr="00713B78">
                  <w:rPr>
                    <w:sz w:val="11"/>
                    <w:szCs w:val="11"/>
                  </w:rPr>
                  <w:t xml:space="preserve">Erste&amp;Steiermärkische Bank </w:t>
                </w:r>
                <w:r w:rsidRPr="00713B78">
                  <w:rPr>
                    <w:rFonts w:cs="Arial"/>
                    <w:sz w:val="11"/>
                    <w:szCs w:val="11"/>
                  </w:rPr>
                  <w:t xml:space="preserve">d.d. </w:t>
                </w:r>
              </w:p>
              <w:p w14:paraId="4A9103A2"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BANCA POPOLARE DI SONDRIO</w:t>
                </w:r>
              </w:p>
              <w:p w14:paraId="38453764" w14:textId="77777777" w:rsidR="00F216F2" w:rsidRDefault="00F216F2" w:rsidP="00F216F2">
                <w:pPr>
                  <w:pStyle w:val="Footer"/>
                  <w:spacing w:line="216" w:lineRule="auto"/>
                  <w:ind w:left="-108"/>
                  <w:rPr>
                    <w:sz w:val="11"/>
                    <w:szCs w:val="11"/>
                    <w:lang w:bidi="ta-IN"/>
                  </w:rPr>
                </w:pPr>
                <w:r w:rsidRPr="00C03313">
                  <w:rPr>
                    <w:sz w:val="11"/>
                    <w:szCs w:val="11"/>
                    <w:lang w:bidi="ta-IN"/>
                  </w:rPr>
                  <w:t>Hrvatska poštanska banka, d.</w:t>
                </w:r>
                <w:r>
                  <w:rPr>
                    <w:sz w:val="11"/>
                    <w:szCs w:val="11"/>
                    <w:lang w:bidi="ta-IN"/>
                  </w:rPr>
                  <w:t>d.</w:t>
                </w:r>
              </w:p>
              <w:p w14:paraId="526AD37D" w14:textId="77777777" w:rsidR="00F216F2" w:rsidRPr="00713B78" w:rsidRDefault="00F216F2" w:rsidP="00F216F2">
                <w:pPr>
                  <w:pStyle w:val="Footer"/>
                  <w:spacing w:line="216" w:lineRule="auto"/>
                  <w:ind w:left="-108"/>
                  <w:rPr>
                    <w:sz w:val="11"/>
                    <w:szCs w:val="11"/>
                    <w:lang w:bidi="ta-IN"/>
                  </w:rPr>
                </w:pPr>
                <w:r w:rsidRPr="00713B78">
                  <w:rPr>
                    <w:sz w:val="11"/>
                    <w:szCs w:val="11"/>
                    <w:lang w:bidi="ta-IN"/>
                  </w:rPr>
                  <w:t>UniCredit Bank Austria AG</w:t>
                </w:r>
              </w:p>
              <w:p w14:paraId="67404C48" w14:textId="77777777" w:rsidR="00F216F2" w:rsidRDefault="00F216F2" w:rsidP="00F216F2">
                <w:pPr>
                  <w:pStyle w:val="Footer"/>
                  <w:spacing w:line="216" w:lineRule="auto"/>
                  <w:ind w:left="-108"/>
                  <w:rPr>
                    <w:sz w:val="11"/>
                    <w:szCs w:val="11"/>
                    <w:lang w:bidi="ta-IN"/>
                  </w:rPr>
                </w:pPr>
              </w:p>
              <w:p w14:paraId="28BB593F" w14:textId="77777777" w:rsidR="00F216F2" w:rsidRPr="00713B78" w:rsidRDefault="00F216F2" w:rsidP="00F216F2">
                <w:pPr>
                  <w:pStyle w:val="Footer"/>
                  <w:spacing w:line="216" w:lineRule="auto"/>
                  <w:ind w:left="-108"/>
                  <w:rPr>
                    <w:sz w:val="11"/>
                    <w:szCs w:val="11"/>
                    <w:lang w:bidi="ta-IN"/>
                  </w:rPr>
                </w:pPr>
              </w:p>
              <w:p w14:paraId="365B9FBA" w14:textId="77777777" w:rsidR="00F216F2" w:rsidRPr="00713B78" w:rsidRDefault="00F216F2" w:rsidP="00F216F2">
                <w:pPr>
                  <w:pStyle w:val="Footer"/>
                  <w:spacing w:line="216" w:lineRule="auto"/>
                  <w:ind w:left="-108"/>
                  <w:rPr>
                    <w:sz w:val="11"/>
                    <w:szCs w:val="11"/>
                    <w:lang w:bidi="ta-IN"/>
                  </w:rPr>
                </w:pPr>
              </w:p>
            </w:tc>
            <w:tc>
              <w:tcPr>
                <w:tcW w:w="1985" w:type="dxa"/>
                <w:tcBorders>
                  <w:top w:val="nil"/>
                  <w:left w:val="nil"/>
                  <w:bottom w:val="nil"/>
                  <w:right w:val="nil"/>
                </w:tcBorders>
              </w:tcPr>
              <w:p w14:paraId="740B743D"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Radnička cesta 50, 10000 Zagreb</w:t>
                </w:r>
              </w:p>
              <w:p w14:paraId="767747E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Magazinska cesta 69, 10000 Zagreb</w:t>
                </w:r>
              </w:p>
              <w:p w14:paraId="590EAA4F"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Trg bana Josipa Jelačića 10, 10000 Zagreb</w:t>
                </w:r>
              </w:p>
              <w:p w14:paraId="22A86B7F"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Domovinskog rata 61, 21000 Split</w:t>
                </w:r>
              </w:p>
              <w:p w14:paraId="3230B5F6"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Jadranski trg 3a, 51000 Rijeka</w:t>
                </w:r>
              </w:p>
              <w:p w14:paraId="11C17B82"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Viale Innocenzo XI n.71, 22100 COMO</w:t>
                </w:r>
              </w:p>
              <w:p w14:paraId="46ABD53C" w14:textId="77777777" w:rsidR="00F216F2" w:rsidRPr="00713B78" w:rsidRDefault="00F216F2" w:rsidP="00F216F2">
                <w:pPr>
                  <w:pStyle w:val="Footer"/>
                  <w:spacing w:line="216" w:lineRule="auto"/>
                  <w:ind w:left="-108" w:right="-66"/>
                  <w:rPr>
                    <w:sz w:val="11"/>
                    <w:szCs w:val="11"/>
                    <w:lang w:bidi="ta-IN"/>
                  </w:rPr>
                </w:pPr>
                <w:r w:rsidRPr="00C03313">
                  <w:rPr>
                    <w:sz w:val="11"/>
                    <w:szCs w:val="11"/>
                    <w:lang w:bidi="ta-IN"/>
                  </w:rPr>
                  <w:t>Jurišićeva ulica 4, 10000 Zagreb</w:t>
                </w:r>
              </w:p>
              <w:p w14:paraId="492042AD" w14:textId="77777777" w:rsidR="00F216F2" w:rsidRPr="00713B78" w:rsidRDefault="00F216F2" w:rsidP="00F216F2">
                <w:pPr>
                  <w:pStyle w:val="Footer"/>
                  <w:spacing w:line="216" w:lineRule="auto"/>
                  <w:ind w:left="-108" w:right="-66"/>
                  <w:rPr>
                    <w:sz w:val="11"/>
                    <w:szCs w:val="11"/>
                    <w:lang w:bidi="ta-IN"/>
                  </w:rPr>
                </w:pPr>
                <w:r w:rsidRPr="00713B78">
                  <w:rPr>
                    <w:sz w:val="11"/>
                    <w:szCs w:val="11"/>
                    <w:lang w:bidi="ta-IN"/>
                  </w:rPr>
                  <w:t>Schottengasse 6-8, A-1010 Wien</w:t>
                </w:r>
              </w:p>
              <w:p w14:paraId="75AAC58E" w14:textId="77777777" w:rsidR="00F216F2" w:rsidRPr="00713B78" w:rsidRDefault="00F216F2" w:rsidP="00F216F2">
                <w:pPr>
                  <w:pStyle w:val="Footer"/>
                  <w:spacing w:line="216" w:lineRule="auto"/>
                  <w:ind w:left="-108" w:right="-66"/>
                  <w:rPr>
                    <w:sz w:val="11"/>
                    <w:szCs w:val="11"/>
                    <w:lang w:bidi="ta-IN"/>
                  </w:rPr>
                </w:pPr>
              </w:p>
              <w:p w14:paraId="3369C934" w14:textId="77777777" w:rsidR="00F216F2" w:rsidRPr="00713B78" w:rsidRDefault="00F216F2" w:rsidP="00F216F2">
                <w:pPr>
                  <w:pStyle w:val="Footer"/>
                  <w:spacing w:line="216" w:lineRule="auto"/>
                  <w:ind w:right="-66"/>
                  <w:rPr>
                    <w:rFonts w:cs="Arial"/>
                    <w:sz w:val="11"/>
                    <w:szCs w:val="11"/>
                  </w:rPr>
                </w:pPr>
              </w:p>
            </w:tc>
            <w:tc>
              <w:tcPr>
                <w:tcW w:w="2126" w:type="dxa"/>
                <w:tcBorders>
                  <w:top w:val="nil"/>
                  <w:left w:val="nil"/>
                  <w:bottom w:val="nil"/>
                  <w:right w:val="nil"/>
                </w:tcBorders>
              </w:tcPr>
              <w:p w14:paraId="7C58AA07"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HR92 2340 0091 1000 2290 2</w:t>
                </w:r>
              </w:p>
              <w:p w14:paraId="707FBC16"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HR70 2484 0081 1006 1948 3</w:t>
                </w:r>
              </w:p>
              <w:p w14:paraId="6F5F8768"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HR62 2360 0001 1013 0359 5</w:t>
                </w:r>
              </w:p>
              <w:p w14:paraId="3EDAA4E1"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HR96 2407 0001 1001 5214 9 </w:t>
                </w:r>
              </w:p>
              <w:p w14:paraId="64F42E91"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HR34 </w:t>
                </w:r>
                <w:r w:rsidRPr="00713B78">
                  <w:rPr>
                    <w:sz w:val="11"/>
                    <w:szCs w:val="11"/>
                  </w:rPr>
                  <w:t>2402 0061 1006 8111 4</w:t>
                </w:r>
              </w:p>
              <w:p w14:paraId="06AB60EC"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IT41 N056 9610 900E DCEU 0817 340 (EUR)</w:t>
                </w:r>
              </w:p>
              <w:p w14:paraId="77B1F4F4" w14:textId="77777777" w:rsidR="00F216F2" w:rsidRDefault="00F216F2" w:rsidP="00F216F2">
                <w:pPr>
                  <w:pStyle w:val="Footer"/>
                  <w:spacing w:line="216" w:lineRule="auto"/>
                  <w:ind w:left="-108" w:right="-108"/>
                  <w:rPr>
                    <w:sz w:val="11"/>
                    <w:szCs w:val="11"/>
                    <w:lang w:bidi="ta-IN"/>
                  </w:rPr>
                </w:pPr>
                <w:r w:rsidRPr="00C03313">
                  <w:rPr>
                    <w:sz w:val="11"/>
                    <w:szCs w:val="11"/>
                    <w:lang w:bidi="ta-IN"/>
                  </w:rPr>
                  <w:t>HR54 2390 0011 1013 4019</w:t>
                </w:r>
                <w:r>
                  <w:rPr>
                    <w:sz w:val="11"/>
                    <w:szCs w:val="11"/>
                    <w:lang w:bidi="ta-IN"/>
                  </w:rPr>
                  <w:t xml:space="preserve"> 7</w:t>
                </w:r>
              </w:p>
              <w:p w14:paraId="010F2FD4"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 xml:space="preserve">AT21 1200 0528 4400 3466     (EUR) </w:t>
                </w:r>
              </w:p>
              <w:p w14:paraId="3EAA7CCE"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AT91 1200 0528 4400 3467     (USD)</w:t>
                </w:r>
              </w:p>
              <w:p w14:paraId="2D82CBCC" w14:textId="77777777" w:rsidR="00F216F2" w:rsidRPr="00713B78" w:rsidRDefault="00F216F2" w:rsidP="00F216F2">
                <w:pPr>
                  <w:pStyle w:val="Footer"/>
                  <w:spacing w:line="216" w:lineRule="auto"/>
                  <w:ind w:left="-108" w:right="-108"/>
                  <w:rPr>
                    <w:sz w:val="11"/>
                    <w:szCs w:val="11"/>
                    <w:lang w:bidi="ta-IN"/>
                  </w:rPr>
                </w:pPr>
              </w:p>
            </w:tc>
            <w:tc>
              <w:tcPr>
                <w:tcW w:w="2126" w:type="dxa"/>
                <w:vMerge/>
                <w:tcBorders>
                  <w:left w:val="nil"/>
                  <w:bottom w:val="nil"/>
                  <w:right w:val="nil"/>
                </w:tcBorders>
              </w:tcPr>
              <w:p w14:paraId="0DD111B3" w14:textId="77777777" w:rsidR="00F216F2" w:rsidRPr="002B598A" w:rsidRDefault="00F216F2" w:rsidP="00F216F2">
                <w:pPr>
                  <w:pStyle w:val="Footer"/>
                  <w:rPr>
                    <w:rFonts w:cs="Arial"/>
                    <w:sz w:val="11"/>
                    <w:szCs w:val="11"/>
                  </w:rPr>
                </w:pPr>
              </w:p>
            </w:tc>
          </w:tr>
          <w:tr w:rsidR="00F216F2" w:rsidRPr="002B598A" w14:paraId="661975BD" w14:textId="77777777" w:rsidTr="00D50296">
            <w:trPr>
              <w:cantSplit/>
              <w:trHeight w:val="300"/>
            </w:trPr>
            <w:tc>
              <w:tcPr>
                <w:tcW w:w="7513" w:type="dxa"/>
                <w:gridSpan w:val="4"/>
                <w:tcBorders>
                  <w:top w:val="nil"/>
                  <w:left w:val="nil"/>
                  <w:bottom w:val="single" w:sz="4" w:space="0" w:color="auto"/>
                  <w:right w:val="nil"/>
                </w:tcBorders>
                <w:vAlign w:val="bottom"/>
              </w:tcPr>
              <w:p w14:paraId="3B604784" w14:textId="77777777" w:rsidR="00F216F2" w:rsidRPr="002B598A" w:rsidRDefault="00F216F2" w:rsidP="00F216F2">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77A45603" w14:textId="75788707" w:rsidR="00F216F2" w:rsidRPr="002B598A" w:rsidRDefault="008C4D4F" w:rsidP="00F216F2">
                <w:pPr>
                  <w:pStyle w:val="Footer"/>
                  <w:spacing w:line="216" w:lineRule="auto"/>
                  <w:ind w:right="-108"/>
                  <w:rPr>
                    <w:rFonts w:cs="Arial"/>
                    <w:sz w:val="4"/>
                    <w:szCs w:val="4"/>
                  </w:rPr>
                </w:pPr>
                <w:r w:rsidRPr="00340E53">
                  <w:rPr>
                    <w:sz w:val="11"/>
                    <w:szCs w:val="11"/>
                  </w:rPr>
                  <w:t>Zsuzsanna Éva Ortutay</w:t>
                </w:r>
                <w:r w:rsidR="00F216F2" w:rsidRPr="00847E16">
                  <w:rPr>
                    <w:sz w:val="11"/>
                    <w:szCs w:val="11"/>
                  </w:rPr>
                  <w:t xml:space="preserve">, </w:t>
                </w:r>
                <w:r w:rsidR="004376B1">
                  <w:rPr>
                    <w:sz w:val="11"/>
                    <w:szCs w:val="11"/>
                  </w:rPr>
                  <w:t>Zsombor Marton</w:t>
                </w:r>
                <w:r w:rsidR="00F216F2" w:rsidRPr="00847E16">
                  <w:rPr>
                    <w:sz w:val="11"/>
                    <w:szCs w:val="11"/>
                  </w:rPr>
                  <w:t>, Krisztián Pulay, Miroslav Skalicki, Hrvoje Šimović, Marin Zovko</w:t>
                </w:r>
              </w:p>
              <w:p w14:paraId="7684A0BB" w14:textId="77777777" w:rsidR="00F216F2" w:rsidRPr="002B598A" w:rsidRDefault="00F216F2" w:rsidP="00F216F2">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w:t>
                </w:r>
                <w:r>
                  <w:rPr>
                    <w:rFonts w:cs="Arial"/>
                    <w:sz w:val="11"/>
                    <w:szCs w:val="11"/>
                  </w:rPr>
                  <w:t>Damir Mikuljan</w:t>
                </w:r>
              </w:p>
            </w:tc>
            <w:tc>
              <w:tcPr>
                <w:tcW w:w="2126" w:type="dxa"/>
                <w:vMerge/>
                <w:tcBorders>
                  <w:top w:val="nil"/>
                  <w:left w:val="nil"/>
                  <w:bottom w:val="single" w:sz="4" w:space="0" w:color="auto"/>
                  <w:right w:val="nil"/>
                </w:tcBorders>
              </w:tcPr>
              <w:p w14:paraId="591718A6" w14:textId="77777777" w:rsidR="00F216F2" w:rsidRPr="002B598A" w:rsidRDefault="00F216F2" w:rsidP="00F216F2">
                <w:pPr>
                  <w:pStyle w:val="Footer"/>
                  <w:rPr>
                    <w:rFonts w:cs="Arial"/>
                    <w:sz w:val="11"/>
                    <w:szCs w:val="11"/>
                  </w:rPr>
                </w:pPr>
              </w:p>
            </w:tc>
          </w:tr>
          <w:tr w:rsidR="00F216F2" w:rsidRPr="002B598A" w14:paraId="24A76822" w14:textId="77777777" w:rsidTr="00D50296">
            <w:trPr>
              <w:cantSplit/>
              <w:trHeight w:val="170"/>
            </w:trPr>
            <w:tc>
              <w:tcPr>
                <w:tcW w:w="7513" w:type="dxa"/>
                <w:gridSpan w:val="4"/>
                <w:tcBorders>
                  <w:top w:val="single" w:sz="4" w:space="0" w:color="auto"/>
                  <w:left w:val="nil"/>
                  <w:bottom w:val="nil"/>
                  <w:right w:val="nil"/>
                </w:tcBorders>
                <w:vAlign w:val="bottom"/>
              </w:tcPr>
              <w:p w14:paraId="79C6C0E7" w14:textId="77777777" w:rsidR="00F216F2" w:rsidRDefault="00F216F2" w:rsidP="00F216F2">
                <w:pPr>
                  <w:pStyle w:val="Footer"/>
                  <w:spacing w:line="216" w:lineRule="auto"/>
                  <w:ind w:right="-108"/>
                  <w:rPr>
                    <w:rFonts w:cs="Arial"/>
                    <w:sz w:val="11"/>
                    <w:szCs w:val="11"/>
                  </w:rPr>
                </w:pPr>
                <w:r>
                  <w:rPr>
                    <w:rFonts w:cs="Arial"/>
                    <w:sz w:val="11"/>
                    <w:szCs w:val="11"/>
                  </w:rPr>
                  <w:t xml:space="preserve">  </w:t>
                </w:r>
              </w:p>
            </w:tc>
            <w:tc>
              <w:tcPr>
                <w:tcW w:w="2126" w:type="dxa"/>
                <w:tcBorders>
                  <w:top w:val="single" w:sz="4" w:space="0" w:color="auto"/>
                  <w:left w:val="nil"/>
                  <w:bottom w:val="nil"/>
                  <w:right w:val="nil"/>
                </w:tcBorders>
              </w:tcPr>
              <w:p w14:paraId="58E357AD" w14:textId="77777777" w:rsidR="00F216F2" w:rsidRPr="002B598A" w:rsidRDefault="00F216F2" w:rsidP="00F216F2">
                <w:pPr>
                  <w:pStyle w:val="Footer"/>
                  <w:rPr>
                    <w:rFonts w:cs="Arial"/>
                    <w:sz w:val="11"/>
                    <w:szCs w:val="11"/>
                  </w:rPr>
                </w:pPr>
              </w:p>
            </w:tc>
          </w:tr>
        </w:tbl>
        <w:p w14:paraId="0F95AA6A" w14:textId="17F9FAC2" w:rsidR="003E20D9" w:rsidRPr="00D0792C" w:rsidRDefault="003E20D9" w:rsidP="003E20D9">
          <w:pPr>
            <w:pStyle w:val="Footer"/>
            <w:ind w:right="-72"/>
            <w:rPr>
              <w:rFonts w:cs="Arial"/>
              <w:sz w:val="11"/>
              <w:szCs w:val="11"/>
            </w:rPr>
          </w:pPr>
        </w:p>
      </w:tc>
      <w:tc>
        <w:tcPr>
          <w:tcW w:w="1554" w:type="dxa"/>
          <w:tcBorders>
            <w:top w:val="single" w:sz="4" w:space="0" w:color="auto"/>
            <w:left w:val="nil"/>
            <w:bottom w:val="nil"/>
            <w:right w:val="nil"/>
          </w:tcBorders>
          <w:vAlign w:val="center"/>
        </w:tcPr>
        <w:p w14:paraId="7BB75236" w14:textId="73A18F0E" w:rsidR="003E20D9" w:rsidRPr="002B598A" w:rsidRDefault="003E20D9" w:rsidP="003E20D9">
          <w:pPr>
            <w:pStyle w:val="Footer"/>
            <w:ind w:left="-108"/>
            <w:rPr>
              <w:sz w:val="10"/>
              <w:szCs w:val="10"/>
            </w:rPr>
          </w:pPr>
        </w:p>
      </w:tc>
      <w:tc>
        <w:tcPr>
          <w:tcW w:w="1908" w:type="dxa"/>
          <w:tcBorders>
            <w:top w:val="single" w:sz="4" w:space="0" w:color="auto"/>
            <w:left w:val="nil"/>
            <w:bottom w:val="nil"/>
            <w:right w:val="nil"/>
          </w:tcBorders>
          <w:vAlign w:val="center"/>
        </w:tcPr>
        <w:p w14:paraId="42D9DA2D" w14:textId="698021E7" w:rsidR="003E20D9" w:rsidRPr="002B598A" w:rsidRDefault="003E20D9" w:rsidP="003E20D9">
          <w:pPr>
            <w:pStyle w:val="Footer"/>
            <w:ind w:left="-108"/>
            <w:rPr>
              <w:rFonts w:cs="Arial"/>
              <w:sz w:val="10"/>
              <w:szCs w:val="10"/>
            </w:rPr>
          </w:pPr>
        </w:p>
      </w:tc>
      <w:tc>
        <w:tcPr>
          <w:tcW w:w="1845" w:type="dxa"/>
          <w:tcBorders>
            <w:top w:val="single" w:sz="4" w:space="0" w:color="auto"/>
            <w:left w:val="nil"/>
            <w:bottom w:val="nil"/>
            <w:right w:val="nil"/>
          </w:tcBorders>
          <w:vAlign w:val="center"/>
        </w:tcPr>
        <w:p w14:paraId="3A93D43A" w14:textId="4EF6B4BA" w:rsidR="003E20D9" w:rsidRPr="002B598A" w:rsidRDefault="003E20D9" w:rsidP="003E20D9">
          <w:pPr>
            <w:pStyle w:val="Footer"/>
            <w:ind w:left="-108" w:right="-108"/>
            <w:rPr>
              <w:rFonts w:cs="Arial"/>
              <w:sz w:val="10"/>
              <w:szCs w:val="10"/>
            </w:rPr>
          </w:pPr>
        </w:p>
      </w:tc>
      <w:tc>
        <w:tcPr>
          <w:tcW w:w="2159" w:type="dxa"/>
          <w:vMerge w:val="restart"/>
          <w:tcBorders>
            <w:top w:val="single" w:sz="4" w:space="0" w:color="auto"/>
            <w:left w:val="nil"/>
            <w:right w:val="nil"/>
          </w:tcBorders>
          <w:tcMar>
            <w:left w:w="57" w:type="dxa"/>
            <w:right w:w="57" w:type="dxa"/>
          </w:tcMar>
        </w:tcPr>
        <w:p w14:paraId="19AF06A7" w14:textId="7BA39E24" w:rsidR="003E20D9" w:rsidRPr="002B598A" w:rsidRDefault="003E20D9" w:rsidP="003E20D9">
          <w:pPr>
            <w:pStyle w:val="Footer"/>
            <w:rPr>
              <w:sz w:val="11"/>
              <w:szCs w:val="11"/>
            </w:rPr>
          </w:pPr>
        </w:p>
      </w:tc>
    </w:tr>
    <w:tr w:rsidR="003E20D9" w:rsidRPr="002B598A" w14:paraId="595490DD" w14:textId="77777777" w:rsidTr="0098776B">
      <w:trPr>
        <w:cantSplit/>
        <w:trHeight w:val="1304"/>
      </w:trPr>
      <w:tc>
        <w:tcPr>
          <w:tcW w:w="1998" w:type="dxa"/>
          <w:vMerge/>
          <w:tcBorders>
            <w:left w:val="nil"/>
            <w:bottom w:val="nil"/>
            <w:right w:val="nil"/>
          </w:tcBorders>
        </w:tcPr>
        <w:p w14:paraId="6D1A26AA" w14:textId="77777777" w:rsidR="003E20D9" w:rsidRPr="002B598A" w:rsidRDefault="003E20D9" w:rsidP="003E20D9">
          <w:pPr>
            <w:pStyle w:val="Footer"/>
            <w:rPr>
              <w:rFonts w:cs="Arial"/>
              <w:b/>
              <w:bCs/>
              <w:sz w:val="11"/>
              <w:szCs w:val="11"/>
            </w:rPr>
          </w:pPr>
        </w:p>
      </w:tc>
      <w:tc>
        <w:tcPr>
          <w:tcW w:w="1554" w:type="dxa"/>
          <w:tcBorders>
            <w:top w:val="nil"/>
            <w:left w:val="nil"/>
            <w:bottom w:val="nil"/>
            <w:right w:val="nil"/>
          </w:tcBorders>
        </w:tcPr>
        <w:p w14:paraId="541FD54D" w14:textId="77777777" w:rsidR="003E20D9" w:rsidRPr="00342211" w:rsidRDefault="003E20D9" w:rsidP="003E20D9">
          <w:pPr>
            <w:pStyle w:val="Footer"/>
            <w:spacing w:line="216" w:lineRule="auto"/>
            <w:ind w:left="-108"/>
            <w:rPr>
              <w:rFonts w:ascii="Arial Narrow" w:hAnsi="Arial Narrow"/>
              <w:sz w:val="10"/>
              <w:szCs w:val="10"/>
              <w:lang w:bidi="ta-IN"/>
            </w:rPr>
          </w:pPr>
        </w:p>
      </w:tc>
      <w:tc>
        <w:tcPr>
          <w:tcW w:w="1908" w:type="dxa"/>
          <w:tcBorders>
            <w:top w:val="nil"/>
            <w:left w:val="nil"/>
            <w:bottom w:val="nil"/>
            <w:right w:val="nil"/>
          </w:tcBorders>
        </w:tcPr>
        <w:p w14:paraId="4E32536A" w14:textId="77777777" w:rsidR="003E20D9" w:rsidRPr="00342211" w:rsidRDefault="003E20D9" w:rsidP="003E20D9">
          <w:pPr>
            <w:pStyle w:val="Footer"/>
            <w:spacing w:line="216" w:lineRule="auto"/>
            <w:ind w:right="-66"/>
            <w:rPr>
              <w:rFonts w:ascii="Arial Narrow" w:hAnsi="Arial Narrow" w:cs="Arial"/>
              <w:sz w:val="10"/>
              <w:szCs w:val="10"/>
            </w:rPr>
          </w:pPr>
        </w:p>
      </w:tc>
      <w:tc>
        <w:tcPr>
          <w:tcW w:w="1845" w:type="dxa"/>
          <w:tcBorders>
            <w:top w:val="nil"/>
            <w:left w:val="nil"/>
            <w:bottom w:val="nil"/>
            <w:right w:val="nil"/>
          </w:tcBorders>
        </w:tcPr>
        <w:p w14:paraId="2143FA1F" w14:textId="77777777" w:rsidR="003E20D9" w:rsidRPr="00342211" w:rsidRDefault="003E20D9" w:rsidP="003E20D9">
          <w:pPr>
            <w:pStyle w:val="Footer"/>
            <w:spacing w:line="216" w:lineRule="auto"/>
            <w:ind w:left="-108" w:right="-108"/>
            <w:rPr>
              <w:sz w:val="6"/>
              <w:szCs w:val="6"/>
              <w:lang w:bidi="ta-IN"/>
            </w:rPr>
          </w:pPr>
        </w:p>
      </w:tc>
      <w:tc>
        <w:tcPr>
          <w:tcW w:w="2159" w:type="dxa"/>
          <w:vMerge/>
          <w:tcBorders>
            <w:left w:val="nil"/>
            <w:bottom w:val="nil"/>
            <w:right w:val="nil"/>
          </w:tcBorders>
        </w:tcPr>
        <w:p w14:paraId="47DF372D" w14:textId="77777777" w:rsidR="003E20D9" w:rsidRPr="002B598A" w:rsidRDefault="003E20D9" w:rsidP="003E20D9">
          <w:pPr>
            <w:pStyle w:val="Footer"/>
            <w:rPr>
              <w:rFonts w:cs="Arial"/>
              <w:sz w:val="11"/>
              <w:szCs w:val="11"/>
            </w:rPr>
          </w:pPr>
        </w:p>
      </w:tc>
    </w:tr>
    <w:tr w:rsidR="003E20D9" w:rsidRPr="002B598A" w14:paraId="6D192324" w14:textId="77777777" w:rsidTr="0098776B">
      <w:trPr>
        <w:cantSplit/>
        <w:trHeight w:val="300"/>
      </w:trPr>
      <w:tc>
        <w:tcPr>
          <w:tcW w:w="7305" w:type="dxa"/>
          <w:gridSpan w:val="4"/>
          <w:tcBorders>
            <w:top w:val="nil"/>
            <w:left w:val="nil"/>
            <w:bottom w:val="single" w:sz="4" w:space="0" w:color="auto"/>
            <w:right w:val="nil"/>
          </w:tcBorders>
          <w:vAlign w:val="bottom"/>
        </w:tcPr>
        <w:p w14:paraId="461EB472" w14:textId="6C15A2E4" w:rsidR="003E20D9" w:rsidRPr="002B598A" w:rsidRDefault="003E20D9" w:rsidP="003E20D9">
          <w:pPr>
            <w:pStyle w:val="Footer"/>
            <w:spacing w:line="216" w:lineRule="auto"/>
            <w:ind w:right="-108"/>
            <w:rPr>
              <w:rFonts w:cs="Arial"/>
              <w:sz w:val="11"/>
              <w:szCs w:val="11"/>
            </w:rPr>
          </w:pPr>
        </w:p>
      </w:tc>
      <w:tc>
        <w:tcPr>
          <w:tcW w:w="2159" w:type="dxa"/>
          <w:vMerge/>
          <w:tcBorders>
            <w:top w:val="nil"/>
            <w:left w:val="nil"/>
            <w:bottom w:val="single" w:sz="4" w:space="0" w:color="auto"/>
            <w:right w:val="nil"/>
          </w:tcBorders>
        </w:tcPr>
        <w:p w14:paraId="22FD5E58" w14:textId="77777777" w:rsidR="003E20D9" w:rsidRPr="002B598A" w:rsidRDefault="003E20D9" w:rsidP="003E20D9">
          <w:pPr>
            <w:pStyle w:val="Footer"/>
            <w:rPr>
              <w:rFonts w:cs="Arial"/>
              <w:sz w:val="11"/>
              <w:szCs w:val="11"/>
            </w:rPr>
          </w:pPr>
        </w:p>
      </w:tc>
    </w:tr>
    <w:tr w:rsidR="003E20D9" w:rsidRPr="002B598A" w14:paraId="1343D053" w14:textId="77777777" w:rsidTr="0098776B">
      <w:trPr>
        <w:cantSplit/>
        <w:trHeight w:val="170"/>
      </w:trPr>
      <w:tc>
        <w:tcPr>
          <w:tcW w:w="7305" w:type="dxa"/>
          <w:gridSpan w:val="4"/>
          <w:tcBorders>
            <w:top w:val="single" w:sz="4" w:space="0" w:color="auto"/>
            <w:left w:val="nil"/>
            <w:bottom w:val="nil"/>
            <w:right w:val="nil"/>
          </w:tcBorders>
          <w:vAlign w:val="bottom"/>
        </w:tcPr>
        <w:p w14:paraId="78661FB9" w14:textId="1516EA6F" w:rsidR="003E20D9" w:rsidRDefault="003E20D9" w:rsidP="003E20D9">
          <w:pPr>
            <w:pStyle w:val="Footer"/>
            <w:spacing w:line="216" w:lineRule="auto"/>
            <w:ind w:right="-108"/>
            <w:rPr>
              <w:rFonts w:cs="Arial"/>
              <w:sz w:val="11"/>
              <w:szCs w:val="11"/>
            </w:rPr>
          </w:pPr>
        </w:p>
      </w:tc>
      <w:tc>
        <w:tcPr>
          <w:tcW w:w="2159" w:type="dxa"/>
          <w:tcBorders>
            <w:top w:val="single" w:sz="4" w:space="0" w:color="auto"/>
            <w:left w:val="nil"/>
            <w:bottom w:val="nil"/>
            <w:right w:val="nil"/>
          </w:tcBorders>
        </w:tcPr>
        <w:p w14:paraId="00DC01F5" w14:textId="77777777" w:rsidR="003E20D9" w:rsidRPr="002B598A" w:rsidRDefault="003E20D9" w:rsidP="003E20D9">
          <w:pPr>
            <w:pStyle w:val="Footer"/>
            <w:rPr>
              <w:rFonts w:cs="Arial"/>
              <w:sz w:val="11"/>
              <w:szCs w:val="11"/>
            </w:rPr>
          </w:pPr>
        </w:p>
      </w:tc>
    </w:tr>
  </w:tbl>
  <w:p w14:paraId="2B9BBC19" w14:textId="77777777" w:rsidR="003E20D9" w:rsidRPr="00095236" w:rsidRDefault="003E20D9" w:rsidP="003E20D9">
    <w:pPr>
      <w:pStyle w:val="Footer"/>
      <w:jc w:val="right"/>
    </w:pPr>
    <w:r>
      <w:rPr>
        <w:rFonts w:cs="Arial"/>
        <w:sz w:val="11"/>
        <w:szCs w:val="11"/>
      </w:rPr>
      <w:tab/>
    </w:r>
    <w:r w:rsidRPr="003F5049">
      <w:rPr>
        <w:rFonts w:cs="Arial"/>
        <w:sz w:val="11"/>
        <w:szCs w:val="11"/>
      </w:rPr>
      <w:t xml:space="preserve">str. - </w:t>
    </w:r>
    <w:r w:rsidRPr="003F5049">
      <w:rPr>
        <w:rFonts w:cs="Arial"/>
        <w:i/>
        <w:sz w:val="11"/>
        <w:szCs w:val="11"/>
      </w:rPr>
      <w:t>page</w:t>
    </w:r>
    <w:r w:rsidRPr="003F5049">
      <w:rPr>
        <w:rFonts w:cs="Arial"/>
        <w:sz w:val="11"/>
        <w:szCs w:val="11"/>
      </w:rPr>
      <w:t xml:space="preserve"> </w:t>
    </w:r>
    <w:r w:rsidRPr="003F5049">
      <w:rPr>
        <w:rFonts w:cs="Arial"/>
        <w:sz w:val="11"/>
        <w:szCs w:val="11"/>
      </w:rPr>
      <w:fldChar w:fldCharType="begin"/>
    </w:r>
    <w:r w:rsidRPr="003F5049">
      <w:rPr>
        <w:rFonts w:cs="Arial"/>
        <w:sz w:val="11"/>
        <w:szCs w:val="11"/>
      </w:rPr>
      <w:instrText xml:space="preserve"> PAGE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r w:rsidRPr="003F5049">
      <w:rPr>
        <w:rFonts w:cs="Arial"/>
        <w:sz w:val="11"/>
        <w:szCs w:val="11"/>
      </w:rPr>
      <w:t>/</w:t>
    </w:r>
    <w:r w:rsidRPr="003F5049">
      <w:rPr>
        <w:rFonts w:cs="Arial"/>
        <w:sz w:val="11"/>
        <w:szCs w:val="11"/>
      </w:rPr>
      <w:fldChar w:fldCharType="begin"/>
    </w:r>
    <w:r w:rsidRPr="003F5049">
      <w:rPr>
        <w:rFonts w:cs="Arial"/>
        <w:sz w:val="11"/>
        <w:szCs w:val="11"/>
      </w:rPr>
      <w:instrText xml:space="preserve"> NUMPAGES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p>
  <w:p w14:paraId="108BD60D" w14:textId="77777777" w:rsidR="003E20D9" w:rsidRDefault="003E20D9" w:rsidP="003E20D9"/>
  <w:p w14:paraId="6C8E22B2" w14:textId="77777777" w:rsidR="00C0068C" w:rsidRPr="003E20D9" w:rsidRDefault="00C0068C" w:rsidP="003E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41B0" w14:textId="77777777" w:rsidR="00A07306" w:rsidRDefault="00A07306">
    <w:pPr>
      <w:pStyle w:val="Foo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985"/>
      <w:gridCol w:w="2126"/>
      <w:gridCol w:w="2126"/>
    </w:tblGrid>
    <w:tr w:rsidR="00F216F2" w:rsidRPr="00713B78" w14:paraId="15751774" w14:textId="77777777" w:rsidTr="00D50296">
      <w:trPr>
        <w:cantSplit/>
        <w:trHeight w:val="181"/>
      </w:trPr>
      <w:tc>
        <w:tcPr>
          <w:tcW w:w="1701" w:type="dxa"/>
          <w:vMerge w:val="restart"/>
          <w:tcBorders>
            <w:top w:val="single" w:sz="4" w:space="0" w:color="auto"/>
            <w:left w:val="nil"/>
            <w:right w:val="nil"/>
          </w:tcBorders>
        </w:tcPr>
        <w:p w14:paraId="58E78B16" w14:textId="77777777" w:rsidR="00F216F2" w:rsidRDefault="00F216F2" w:rsidP="00F216F2">
          <w:pPr>
            <w:pStyle w:val="Footer"/>
            <w:spacing w:before="20" w:after="20"/>
            <w:rPr>
              <w:rFonts w:cs="Arial"/>
              <w:b/>
              <w:bCs/>
              <w:sz w:val="14"/>
              <w:szCs w:val="14"/>
            </w:rPr>
          </w:pPr>
        </w:p>
        <w:p w14:paraId="45CFAB33" w14:textId="77777777" w:rsidR="00F216F2" w:rsidRPr="002B598A" w:rsidRDefault="00F216F2" w:rsidP="00F216F2">
          <w:pPr>
            <w:pStyle w:val="Footer"/>
            <w:spacing w:before="20" w:after="20"/>
            <w:rPr>
              <w:rFonts w:cs="Arial"/>
              <w:b/>
              <w:bCs/>
              <w:sz w:val="14"/>
              <w:szCs w:val="14"/>
            </w:rPr>
          </w:pPr>
          <w:r w:rsidRPr="002B598A">
            <w:rPr>
              <w:rFonts w:cs="Arial"/>
              <w:b/>
              <w:bCs/>
              <w:sz w:val="14"/>
              <w:szCs w:val="14"/>
            </w:rPr>
            <w:t>INA, d.d.</w:t>
          </w:r>
        </w:p>
        <w:p w14:paraId="4AE7A60F" w14:textId="77777777" w:rsidR="00F216F2" w:rsidRPr="002B598A" w:rsidRDefault="00F216F2" w:rsidP="00F216F2">
          <w:pPr>
            <w:pStyle w:val="Footer"/>
            <w:rPr>
              <w:rFonts w:cs="Arial"/>
              <w:sz w:val="11"/>
              <w:szCs w:val="11"/>
            </w:rPr>
          </w:pPr>
          <w:r w:rsidRPr="002B598A">
            <w:rPr>
              <w:rFonts w:cs="Arial"/>
              <w:sz w:val="11"/>
              <w:szCs w:val="11"/>
            </w:rPr>
            <w:t xml:space="preserve">Avenija Većeslava Holjevca 10 </w:t>
          </w:r>
        </w:p>
        <w:p w14:paraId="33DA61D2" w14:textId="77777777" w:rsidR="00F216F2" w:rsidRPr="002B598A" w:rsidRDefault="00F216F2" w:rsidP="00F216F2">
          <w:pPr>
            <w:pStyle w:val="Footer"/>
            <w:rPr>
              <w:rFonts w:cs="Arial"/>
              <w:sz w:val="11"/>
              <w:szCs w:val="11"/>
            </w:rPr>
          </w:pPr>
          <w:r w:rsidRPr="002B598A">
            <w:rPr>
              <w:rFonts w:cs="Arial"/>
              <w:sz w:val="11"/>
              <w:szCs w:val="11"/>
            </w:rPr>
            <w:t>10 002 Zagreb    p.p. 555</w:t>
          </w:r>
        </w:p>
        <w:p w14:paraId="5BE77CFE" w14:textId="77777777" w:rsidR="00F216F2" w:rsidRDefault="00F216F2" w:rsidP="00F216F2">
          <w:pPr>
            <w:pStyle w:val="Footer"/>
            <w:rPr>
              <w:rFonts w:cs="Arial"/>
              <w:i/>
              <w:iCs/>
              <w:sz w:val="11"/>
              <w:szCs w:val="11"/>
            </w:rPr>
          </w:pPr>
          <w:r w:rsidRPr="002B598A">
            <w:rPr>
              <w:rFonts w:cs="Arial"/>
              <w:sz w:val="11"/>
              <w:szCs w:val="11"/>
            </w:rPr>
            <w:t xml:space="preserve">Hrvatska </w:t>
          </w:r>
          <w:r>
            <w:rPr>
              <w:rFonts w:cs="Arial"/>
              <w:sz w:val="11"/>
              <w:szCs w:val="11"/>
            </w:rPr>
            <w:t>–</w:t>
          </w:r>
          <w:r w:rsidRPr="002B598A">
            <w:rPr>
              <w:rFonts w:cs="Arial"/>
              <w:sz w:val="11"/>
              <w:szCs w:val="11"/>
            </w:rPr>
            <w:t xml:space="preserve"> </w:t>
          </w:r>
          <w:r w:rsidRPr="002B598A">
            <w:rPr>
              <w:rFonts w:cs="Arial"/>
              <w:i/>
              <w:iCs/>
              <w:sz w:val="11"/>
              <w:szCs w:val="11"/>
            </w:rPr>
            <w:t>Croatia</w:t>
          </w:r>
        </w:p>
        <w:p w14:paraId="5AB315F5" w14:textId="77777777" w:rsidR="00F216F2" w:rsidRPr="00B871AD" w:rsidRDefault="00F216F2" w:rsidP="00F216F2">
          <w:pPr>
            <w:pStyle w:val="Footer"/>
            <w:rPr>
              <w:rFonts w:cs="Arial"/>
              <w:sz w:val="11"/>
              <w:szCs w:val="11"/>
            </w:rPr>
          </w:pPr>
          <w:r w:rsidRPr="00B871AD">
            <w:rPr>
              <w:sz w:val="11"/>
              <w:szCs w:val="11"/>
            </w:rPr>
            <w:t>BIC (SWIFT): INAHHR22</w:t>
          </w:r>
        </w:p>
        <w:p w14:paraId="235E313F" w14:textId="77777777" w:rsidR="00F216F2" w:rsidRPr="002B598A" w:rsidRDefault="00F216F2" w:rsidP="00F216F2">
          <w:pPr>
            <w:pStyle w:val="Footer"/>
            <w:rPr>
              <w:sz w:val="11"/>
              <w:szCs w:val="11"/>
            </w:rPr>
          </w:pPr>
          <w:r w:rsidRPr="002B598A">
            <w:rPr>
              <w:rFonts w:cs="Arial"/>
              <w:sz w:val="11"/>
              <w:szCs w:val="11"/>
            </w:rPr>
            <w:t xml:space="preserve">Telefon </w:t>
          </w:r>
          <w:r>
            <w:rPr>
              <w:rFonts w:cs="Arial"/>
              <w:sz w:val="11"/>
              <w:szCs w:val="11"/>
            </w:rPr>
            <w:t>–</w:t>
          </w:r>
          <w:r w:rsidRPr="002B598A">
            <w:rPr>
              <w:rFonts w:cs="Arial"/>
              <w:sz w:val="11"/>
              <w:szCs w:val="11"/>
            </w:rPr>
            <w:t xml:space="preserve"> </w:t>
          </w:r>
          <w:r w:rsidRPr="002B598A">
            <w:rPr>
              <w:rFonts w:cs="Arial"/>
              <w:i/>
              <w:iCs/>
              <w:sz w:val="11"/>
              <w:szCs w:val="11"/>
            </w:rPr>
            <w:t>Telephone</w:t>
          </w:r>
          <w:r>
            <w:rPr>
              <w:rFonts w:cs="Arial"/>
              <w:i/>
              <w:iCs/>
              <w:sz w:val="11"/>
              <w:szCs w:val="11"/>
            </w:rPr>
            <w:t>:</w:t>
          </w:r>
          <w:r w:rsidRPr="002B598A">
            <w:rPr>
              <w:rFonts w:cs="Arial"/>
              <w:sz w:val="11"/>
              <w:szCs w:val="11"/>
            </w:rPr>
            <w:t xml:space="preserve"> </w:t>
          </w:r>
          <w:r>
            <w:rPr>
              <w:rFonts w:cs="Arial"/>
              <w:sz w:val="11"/>
              <w:szCs w:val="11"/>
            </w:rPr>
            <w:t>08001112</w:t>
          </w:r>
        </w:p>
      </w:tc>
      <w:tc>
        <w:tcPr>
          <w:tcW w:w="1701" w:type="dxa"/>
          <w:tcBorders>
            <w:top w:val="single" w:sz="4" w:space="0" w:color="auto"/>
            <w:left w:val="nil"/>
            <w:bottom w:val="nil"/>
            <w:right w:val="nil"/>
          </w:tcBorders>
          <w:vAlign w:val="center"/>
        </w:tcPr>
        <w:p w14:paraId="6F93FE2C" w14:textId="77777777" w:rsidR="00F216F2" w:rsidRDefault="00F216F2" w:rsidP="00F216F2">
          <w:pPr>
            <w:pStyle w:val="Footer"/>
            <w:ind w:left="-108"/>
            <w:rPr>
              <w:rFonts w:cs="Arial"/>
              <w:sz w:val="11"/>
              <w:szCs w:val="11"/>
            </w:rPr>
          </w:pPr>
        </w:p>
        <w:p w14:paraId="1B8AD858" w14:textId="77777777" w:rsidR="00F216F2" w:rsidRPr="00713B78" w:rsidRDefault="00F216F2" w:rsidP="00F216F2">
          <w:pPr>
            <w:pStyle w:val="Footer"/>
            <w:ind w:left="-108"/>
            <w:rPr>
              <w:sz w:val="11"/>
              <w:szCs w:val="11"/>
            </w:rPr>
          </w:pPr>
          <w:r w:rsidRPr="00713B78">
            <w:rPr>
              <w:rFonts w:cs="Arial"/>
              <w:sz w:val="11"/>
              <w:szCs w:val="11"/>
            </w:rPr>
            <w:t xml:space="preserve">Banka - </w:t>
          </w:r>
          <w:r w:rsidRPr="00713B78">
            <w:rPr>
              <w:rFonts w:cs="Arial"/>
              <w:i/>
              <w:iCs/>
              <w:sz w:val="11"/>
              <w:szCs w:val="11"/>
            </w:rPr>
            <w:t>Bank</w:t>
          </w:r>
        </w:p>
      </w:tc>
      <w:tc>
        <w:tcPr>
          <w:tcW w:w="1985" w:type="dxa"/>
          <w:tcBorders>
            <w:top w:val="single" w:sz="4" w:space="0" w:color="auto"/>
            <w:left w:val="nil"/>
            <w:bottom w:val="nil"/>
            <w:right w:val="nil"/>
          </w:tcBorders>
          <w:vAlign w:val="center"/>
        </w:tcPr>
        <w:p w14:paraId="389A7346" w14:textId="77777777" w:rsidR="00F216F2" w:rsidRPr="00713B78" w:rsidRDefault="00F216F2" w:rsidP="00F216F2">
          <w:pPr>
            <w:pStyle w:val="Footer"/>
            <w:ind w:left="-108"/>
            <w:rPr>
              <w:rFonts w:cs="Arial"/>
              <w:sz w:val="11"/>
              <w:szCs w:val="11"/>
            </w:rPr>
          </w:pPr>
        </w:p>
        <w:p w14:paraId="18450CF7" w14:textId="77777777" w:rsidR="00F216F2" w:rsidRPr="00713B78" w:rsidRDefault="00F216F2" w:rsidP="00F216F2">
          <w:pPr>
            <w:pStyle w:val="Footer"/>
            <w:ind w:left="-108"/>
            <w:rPr>
              <w:rFonts w:cs="Arial"/>
              <w:sz w:val="11"/>
              <w:szCs w:val="11"/>
            </w:rPr>
          </w:pPr>
          <w:r w:rsidRPr="00713B78">
            <w:rPr>
              <w:rFonts w:cs="Arial"/>
              <w:sz w:val="11"/>
              <w:szCs w:val="11"/>
            </w:rPr>
            <w:t xml:space="preserve">Adresa - </w:t>
          </w:r>
          <w:r w:rsidRPr="00713B78">
            <w:rPr>
              <w:rFonts w:cs="Arial"/>
              <w:i/>
              <w:iCs/>
              <w:sz w:val="11"/>
              <w:szCs w:val="11"/>
              <w:lang w:val="en-GB"/>
            </w:rPr>
            <w:t>Address</w:t>
          </w:r>
        </w:p>
      </w:tc>
      <w:tc>
        <w:tcPr>
          <w:tcW w:w="2126" w:type="dxa"/>
          <w:tcBorders>
            <w:top w:val="single" w:sz="4" w:space="0" w:color="auto"/>
            <w:left w:val="nil"/>
            <w:bottom w:val="nil"/>
            <w:right w:val="nil"/>
          </w:tcBorders>
          <w:vAlign w:val="center"/>
        </w:tcPr>
        <w:p w14:paraId="2C0F0C9D" w14:textId="77777777" w:rsidR="00F216F2" w:rsidRPr="00713B78" w:rsidRDefault="00F216F2" w:rsidP="00F216F2">
          <w:pPr>
            <w:pStyle w:val="Footer"/>
            <w:ind w:left="-108" w:right="-108"/>
            <w:rPr>
              <w:rFonts w:cs="Arial"/>
              <w:sz w:val="11"/>
              <w:szCs w:val="11"/>
            </w:rPr>
          </w:pPr>
        </w:p>
        <w:p w14:paraId="5863B54E" w14:textId="77777777" w:rsidR="00F216F2" w:rsidRPr="00713B78" w:rsidRDefault="00F216F2" w:rsidP="00F216F2">
          <w:pPr>
            <w:pStyle w:val="Footer"/>
            <w:ind w:left="-108" w:right="-108"/>
            <w:rPr>
              <w:rFonts w:cs="Arial"/>
              <w:sz w:val="11"/>
              <w:szCs w:val="11"/>
            </w:rPr>
          </w:pPr>
          <w:r w:rsidRPr="00713B78">
            <w:rPr>
              <w:rFonts w:cs="Arial"/>
              <w:sz w:val="11"/>
              <w:szCs w:val="11"/>
            </w:rPr>
            <w:t xml:space="preserve">IBAN broj - </w:t>
          </w:r>
          <w:r w:rsidRPr="00713B78">
            <w:rPr>
              <w:rFonts w:cs="Arial"/>
              <w:i/>
              <w:iCs/>
              <w:sz w:val="11"/>
              <w:szCs w:val="11"/>
            </w:rPr>
            <w:t xml:space="preserve">IBAN </w:t>
          </w:r>
          <w:r w:rsidRPr="00713B78">
            <w:rPr>
              <w:rFonts w:cs="Arial"/>
              <w:i/>
              <w:iCs/>
              <w:sz w:val="11"/>
              <w:szCs w:val="11"/>
              <w:lang w:val="en-GB"/>
            </w:rPr>
            <w:t>Number</w:t>
          </w:r>
          <w:r w:rsidRPr="00713B78">
            <w:rPr>
              <w:rFonts w:cs="Arial"/>
              <w:i/>
              <w:iCs/>
              <w:sz w:val="11"/>
              <w:szCs w:val="11"/>
            </w:rPr>
            <w:t xml:space="preserve">, </w:t>
          </w:r>
        </w:p>
      </w:tc>
      <w:tc>
        <w:tcPr>
          <w:tcW w:w="2126" w:type="dxa"/>
          <w:vMerge w:val="restart"/>
          <w:tcBorders>
            <w:top w:val="single" w:sz="4" w:space="0" w:color="auto"/>
            <w:left w:val="nil"/>
            <w:right w:val="nil"/>
          </w:tcBorders>
          <w:tcMar>
            <w:left w:w="57" w:type="dxa"/>
            <w:right w:w="57" w:type="dxa"/>
          </w:tcMar>
        </w:tcPr>
        <w:p w14:paraId="042F5C1D" w14:textId="77777777" w:rsidR="00F216F2" w:rsidRPr="00713B78" w:rsidRDefault="00F216F2" w:rsidP="00F216F2">
          <w:pPr>
            <w:pStyle w:val="Footer"/>
            <w:spacing w:before="40"/>
            <w:rPr>
              <w:rFonts w:cs="Arial"/>
              <w:sz w:val="11"/>
              <w:szCs w:val="11"/>
            </w:rPr>
          </w:pPr>
        </w:p>
        <w:p w14:paraId="27ED71CB" w14:textId="77777777" w:rsidR="00F216F2" w:rsidRPr="00713B78" w:rsidRDefault="00F216F2" w:rsidP="00F216F2">
          <w:pPr>
            <w:pStyle w:val="Footer"/>
            <w:spacing w:before="40"/>
            <w:rPr>
              <w:rFonts w:cs="Arial"/>
              <w:sz w:val="11"/>
              <w:szCs w:val="11"/>
            </w:rPr>
          </w:pPr>
          <w:r w:rsidRPr="00713B78">
            <w:rPr>
              <w:rFonts w:cs="Arial"/>
              <w:sz w:val="11"/>
              <w:szCs w:val="11"/>
            </w:rPr>
            <w:t>Trgovački sud u Zagrebu</w:t>
          </w:r>
        </w:p>
        <w:p w14:paraId="5B33477F" w14:textId="77777777" w:rsidR="00F216F2" w:rsidRPr="00713B78" w:rsidRDefault="00F216F2" w:rsidP="00F216F2">
          <w:pPr>
            <w:pStyle w:val="Footer"/>
            <w:rPr>
              <w:rFonts w:cs="Arial"/>
              <w:i/>
              <w:iCs/>
              <w:sz w:val="11"/>
              <w:szCs w:val="11"/>
            </w:rPr>
          </w:pPr>
          <w:r w:rsidRPr="00713B78">
            <w:rPr>
              <w:rFonts w:cs="Arial"/>
              <w:i/>
              <w:iCs/>
              <w:sz w:val="11"/>
              <w:szCs w:val="11"/>
              <w:lang w:val="en-US"/>
            </w:rPr>
            <w:t>Commercial</w:t>
          </w:r>
          <w:r w:rsidRPr="00713B78">
            <w:rPr>
              <w:rFonts w:cs="Arial"/>
              <w:i/>
              <w:iCs/>
              <w:sz w:val="11"/>
              <w:szCs w:val="11"/>
            </w:rPr>
            <w:t xml:space="preserve"> </w:t>
          </w:r>
          <w:r w:rsidRPr="00713B78">
            <w:rPr>
              <w:rFonts w:cs="Arial"/>
              <w:i/>
              <w:iCs/>
              <w:sz w:val="11"/>
              <w:szCs w:val="11"/>
              <w:lang w:val="en-US"/>
            </w:rPr>
            <w:t>Court</w:t>
          </w:r>
          <w:r w:rsidRPr="00713B78">
            <w:rPr>
              <w:rFonts w:cs="Arial"/>
              <w:i/>
              <w:iCs/>
              <w:sz w:val="11"/>
              <w:szCs w:val="11"/>
            </w:rPr>
            <w:t xml:space="preserve"> </w:t>
          </w:r>
          <w:r w:rsidRPr="00713B78">
            <w:rPr>
              <w:rFonts w:cs="Arial"/>
              <w:i/>
              <w:iCs/>
              <w:sz w:val="11"/>
              <w:szCs w:val="11"/>
              <w:lang w:val="en-US"/>
            </w:rPr>
            <w:t>in</w:t>
          </w:r>
          <w:r w:rsidRPr="00713B78">
            <w:rPr>
              <w:rFonts w:cs="Arial"/>
              <w:i/>
              <w:iCs/>
              <w:sz w:val="11"/>
              <w:szCs w:val="11"/>
            </w:rPr>
            <w:t xml:space="preserve"> </w:t>
          </w:r>
          <w:r w:rsidRPr="00713B78">
            <w:rPr>
              <w:rFonts w:cs="Arial"/>
              <w:i/>
              <w:iCs/>
              <w:sz w:val="11"/>
              <w:szCs w:val="11"/>
              <w:lang w:val="en-US"/>
            </w:rPr>
            <w:t>Zagreb</w:t>
          </w:r>
        </w:p>
        <w:p w14:paraId="594AA94E" w14:textId="77777777" w:rsidR="00F216F2" w:rsidRPr="00713B78" w:rsidRDefault="00F216F2" w:rsidP="00F216F2">
          <w:pPr>
            <w:pStyle w:val="Footer"/>
            <w:rPr>
              <w:rFonts w:cs="Arial"/>
              <w:sz w:val="11"/>
              <w:szCs w:val="11"/>
            </w:rPr>
          </w:pPr>
          <w:r w:rsidRPr="00713B78">
            <w:rPr>
              <w:rFonts w:cs="Arial"/>
              <w:sz w:val="11"/>
              <w:szCs w:val="11"/>
            </w:rPr>
            <w:t>MBS: 080000604</w:t>
          </w:r>
        </w:p>
        <w:p w14:paraId="204DEAD5" w14:textId="77777777" w:rsidR="00F216F2" w:rsidRPr="00713B78" w:rsidRDefault="00F216F2" w:rsidP="00F216F2">
          <w:pPr>
            <w:pStyle w:val="Footer"/>
            <w:rPr>
              <w:rFonts w:cs="Arial"/>
              <w:i/>
              <w:iCs/>
              <w:sz w:val="11"/>
              <w:szCs w:val="11"/>
            </w:rPr>
          </w:pPr>
          <w:r w:rsidRPr="00713B78">
            <w:rPr>
              <w:rFonts w:cs="Arial"/>
              <w:sz w:val="11"/>
              <w:szCs w:val="11"/>
            </w:rPr>
            <w:t xml:space="preserve">Uplaćen temeljni kapital – </w:t>
          </w:r>
          <w:r w:rsidRPr="00713B78">
            <w:rPr>
              <w:rFonts w:cs="Arial"/>
              <w:i/>
              <w:iCs/>
              <w:sz w:val="11"/>
              <w:szCs w:val="11"/>
              <w:lang w:val="en-US"/>
            </w:rPr>
            <w:t>Paid</w:t>
          </w:r>
          <w:r w:rsidRPr="00713B78">
            <w:rPr>
              <w:rFonts w:cs="Arial"/>
              <w:sz w:val="11"/>
              <w:szCs w:val="11"/>
            </w:rPr>
            <w:t xml:space="preserve"> </w:t>
          </w:r>
          <w:r w:rsidRPr="00713B78">
            <w:rPr>
              <w:rFonts w:cs="Arial"/>
              <w:sz w:val="11"/>
              <w:szCs w:val="11"/>
              <w:lang w:val="en-US"/>
            </w:rPr>
            <w:t>c</w:t>
          </w:r>
          <w:r w:rsidRPr="00713B78">
            <w:rPr>
              <w:rFonts w:cs="Arial"/>
              <w:i/>
              <w:iCs/>
              <w:sz w:val="11"/>
              <w:szCs w:val="11"/>
              <w:lang w:val="en-US"/>
            </w:rPr>
            <w:t>apital</w:t>
          </w:r>
          <w:r w:rsidRPr="00713B78">
            <w:rPr>
              <w:rFonts w:cs="Arial"/>
              <w:i/>
              <w:iCs/>
              <w:sz w:val="11"/>
              <w:szCs w:val="11"/>
            </w:rPr>
            <w:t xml:space="preserve"> </w:t>
          </w:r>
          <w:r w:rsidRPr="00713B78">
            <w:rPr>
              <w:rFonts w:cs="Arial"/>
              <w:i/>
              <w:iCs/>
              <w:sz w:val="11"/>
              <w:szCs w:val="11"/>
              <w:lang w:val="en-US"/>
            </w:rPr>
            <w:t>stock</w:t>
          </w:r>
        </w:p>
        <w:p w14:paraId="6836AA85" w14:textId="77777777" w:rsidR="00F216F2" w:rsidRPr="00713B78" w:rsidRDefault="00F216F2" w:rsidP="00F216F2">
          <w:pPr>
            <w:pStyle w:val="Footer"/>
            <w:rPr>
              <w:rFonts w:cs="Arial"/>
              <w:sz w:val="11"/>
              <w:szCs w:val="11"/>
            </w:rPr>
          </w:pPr>
          <w:r w:rsidRPr="00713B78">
            <w:rPr>
              <w:rFonts w:cs="Arial"/>
              <w:sz w:val="11"/>
              <w:szCs w:val="11"/>
            </w:rPr>
            <w:t xml:space="preserve">9.000.000.000,00 kn - HRK </w:t>
          </w:r>
        </w:p>
        <w:p w14:paraId="1438928D" w14:textId="77777777" w:rsidR="00F216F2" w:rsidRPr="00713B78" w:rsidRDefault="00F216F2" w:rsidP="00F216F2">
          <w:pPr>
            <w:pStyle w:val="Footer"/>
            <w:rPr>
              <w:rFonts w:cs="Arial"/>
              <w:sz w:val="11"/>
              <w:szCs w:val="11"/>
            </w:rPr>
          </w:pPr>
          <w:r w:rsidRPr="00713B78">
            <w:rPr>
              <w:rFonts w:cs="Arial"/>
              <w:sz w:val="11"/>
              <w:szCs w:val="11"/>
            </w:rPr>
            <w:t>Broj izdanih dionica / Nominalna vrijednost</w:t>
          </w:r>
        </w:p>
        <w:p w14:paraId="595AE3B8" w14:textId="77777777" w:rsidR="00F216F2" w:rsidRPr="00713B78" w:rsidRDefault="00F216F2" w:rsidP="00F216F2">
          <w:pPr>
            <w:pStyle w:val="Footer"/>
            <w:rPr>
              <w:rFonts w:cs="Arial"/>
              <w:i/>
              <w:iCs/>
              <w:sz w:val="11"/>
              <w:szCs w:val="11"/>
              <w:lang w:val="en-US"/>
            </w:rPr>
          </w:pPr>
          <w:r w:rsidRPr="00713B78">
            <w:rPr>
              <w:rFonts w:cs="Arial"/>
              <w:i/>
              <w:iCs/>
              <w:sz w:val="11"/>
              <w:szCs w:val="11"/>
              <w:lang w:val="en-US"/>
            </w:rPr>
            <w:t>No. of issued shares / Nominal value</w:t>
          </w:r>
        </w:p>
        <w:p w14:paraId="0EDEE20A" w14:textId="77777777" w:rsidR="00F216F2" w:rsidRPr="00713B78" w:rsidRDefault="00F216F2" w:rsidP="00F216F2">
          <w:pPr>
            <w:pStyle w:val="Footer"/>
            <w:rPr>
              <w:rFonts w:cs="Arial"/>
              <w:sz w:val="11"/>
              <w:szCs w:val="11"/>
            </w:rPr>
          </w:pPr>
          <w:r w:rsidRPr="00713B78">
            <w:rPr>
              <w:rFonts w:cs="Arial"/>
              <w:sz w:val="11"/>
              <w:szCs w:val="11"/>
            </w:rPr>
            <w:t xml:space="preserve">10.000.000 / 900,00 kn - HRK </w:t>
          </w:r>
        </w:p>
        <w:p w14:paraId="17924518" w14:textId="77777777" w:rsidR="00F216F2" w:rsidRPr="00713B78" w:rsidRDefault="00F216F2" w:rsidP="00F216F2">
          <w:pPr>
            <w:pStyle w:val="Footer"/>
            <w:rPr>
              <w:rFonts w:cs="Arial"/>
              <w:sz w:val="11"/>
              <w:szCs w:val="11"/>
            </w:rPr>
          </w:pPr>
          <w:r w:rsidRPr="00713B78">
            <w:rPr>
              <w:rFonts w:cs="Arial"/>
              <w:sz w:val="11"/>
              <w:szCs w:val="11"/>
            </w:rPr>
            <w:t xml:space="preserve">Matični broj – </w:t>
          </w:r>
          <w:r w:rsidRPr="00713B78">
            <w:rPr>
              <w:rFonts w:cs="Arial"/>
              <w:i/>
              <w:iCs/>
              <w:sz w:val="11"/>
              <w:szCs w:val="11"/>
              <w:lang w:val="nl-NL"/>
            </w:rPr>
            <w:t>Reg. No</w:t>
          </w:r>
          <w:r w:rsidRPr="00713B78">
            <w:rPr>
              <w:rFonts w:cs="Arial"/>
              <w:i/>
              <w:iCs/>
              <w:sz w:val="11"/>
              <w:szCs w:val="11"/>
            </w:rPr>
            <w:t>.</w:t>
          </w:r>
          <w:r w:rsidRPr="00713B78">
            <w:rPr>
              <w:rFonts w:cs="Arial"/>
              <w:sz w:val="11"/>
              <w:szCs w:val="11"/>
            </w:rPr>
            <w:t xml:space="preserve"> 3586243</w:t>
          </w:r>
        </w:p>
        <w:p w14:paraId="61716AAE" w14:textId="77777777" w:rsidR="00F216F2" w:rsidRPr="00713B78" w:rsidRDefault="00F216F2" w:rsidP="00F216F2">
          <w:pPr>
            <w:pStyle w:val="Footer"/>
            <w:rPr>
              <w:rFonts w:cs="Arial"/>
              <w:sz w:val="11"/>
              <w:szCs w:val="11"/>
            </w:rPr>
          </w:pPr>
          <w:r w:rsidRPr="00713B78">
            <w:rPr>
              <w:rFonts w:cs="Arial"/>
              <w:sz w:val="11"/>
              <w:szCs w:val="11"/>
            </w:rPr>
            <w:t>OIB – 27759560625</w:t>
          </w:r>
        </w:p>
        <w:p w14:paraId="5716818E" w14:textId="77777777" w:rsidR="00F216F2" w:rsidRPr="00713B78" w:rsidRDefault="00F216F2" w:rsidP="00F216F2">
          <w:pPr>
            <w:pStyle w:val="Footer"/>
            <w:rPr>
              <w:sz w:val="11"/>
              <w:szCs w:val="11"/>
            </w:rPr>
          </w:pPr>
          <w:r w:rsidRPr="00713B78">
            <w:rPr>
              <w:rFonts w:cs="Arial"/>
              <w:sz w:val="11"/>
              <w:szCs w:val="11"/>
            </w:rPr>
            <w:t xml:space="preserve">PDV identifikacijski broj / </w:t>
          </w:r>
          <w:r w:rsidRPr="00713B78">
            <w:rPr>
              <w:rFonts w:cs="Arial"/>
              <w:i/>
              <w:iCs/>
              <w:sz w:val="11"/>
              <w:szCs w:val="11"/>
            </w:rPr>
            <w:t xml:space="preserve">VAT </w:t>
          </w:r>
          <w:r w:rsidRPr="00713B78">
            <w:rPr>
              <w:rFonts w:cs="Arial"/>
              <w:i/>
              <w:iCs/>
              <w:sz w:val="11"/>
              <w:szCs w:val="11"/>
              <w:lang w:val="en-US"/>
            </w:rPr>
            <w:t>identification number</w:t>
          </w:r>
          <w:r w:rsidRPr="00713B78">
            <w:rPr>
              <w:rFonts w:cs="Arial"/>
              <w:sz w:val="11"/>
              <w:szCs w:val="11"/>
            </w:rPr>
            <w:t xml:space="preserve"> </w:t>
          </w:r>
          <w:r w:rsidRPr="00713B78">
            <w:rPr>
              <w:sz w:val="11"/>
              <w:szCs w:val="11"/>
            </w:rPr>
            <w:t>HR27759560625</w:t>
          </w:r>
        </w:p>
      </w:tc>
    </w:tr>
    <w:tr w:rsidR="00F216F2" w:rsidRPr="002B598A" w14:paraId="584BB207" w14:textId="77777777" w:rsidTr="00D50296">
      <w:trPr>
        <w:cantSplit/>
        <w:trHeight w:val="1304"/>
      </w:trPr>
      <w:tc>
        <w:tcPr>
          <w:tcW w:w="1701" w:type="dxa"/>
          <w:vMerge/>
          <w:tcBorders>
            <w:left w:val="nil"/>
            <w:bottom w:val="nil"/>
            <w:right w:val="nil"/>
          </w:tcBorders>
        </w:tcPr>
        <w:p w14:paraId="48118213" w14:textId="77777777" w:rsidR="00F216F2" w:rsidRPr="002B598A" w:rsidRDefault="00F216F2" w:rsidP="00F216F2">
          <w:pPr>
            <w:pStyle w:val="Footer"/>
            <w:rPr>
              <w:rFonts w:cs="Arial"/>
              <w:b/>
              <w:bCs/>
              <w:sz w:val="11"/>
              <w:szCs w:val="11"/>
            </w:rPr>
          </w:pPr>
        </w:p>
      </w:tc>
      <w:tc>
        <w:tcPr>
          <w:tcW w:w="1701" w:type="dxa"/>
          <w:tcBorders>
            <w:top w:val="nil"/>
            <w:left w:val="nil"/>
            <w:bottom w:val="nil"/>
            <w:right w:val="nil"/>
          </w:tcBorders>
        </w:tcPr>
        <w:p w14:paraId="62B7F0F0"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Privredna banka Zagreb d.d.</w:t>
          </w:r>
        </w:p>
        <w:p w14:paraId="45A2FF74"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 xml:space="preserve">Raiffeisenbank Austria d.d. </w:t>
          </w:r>
        </w:p>
        <w:p w14:paraId="192EDDEF"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Zagrebačka banka d.d.</w:t>
          </w:r>
        </w:p>
        <w:p w14:paraId="3604D6AB"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OTP banka d.d.</w:t>
          </w:r>
        </w:p>
        <w:p w14:paraId="72AC247A" w14:textId="77777777" w:rsidR="00F216F2" w:rsidRPr="00713B78" w:rsidRDefault="00F216F2" w:rsidP="00F216F2">
          <w:pPr>
            <w:pStyle w:val="Footer"/>
            <w:spacing w:line="216" w:lineRule="auto"/>
            <w:ind w:left="-108"/>
            <w:rPr>
              <w:rFonts w:cs="Arial"/>
              <w:sz w:val="11"/>
              <w:szCs w:val="11"/>
            </w:rPr>
          </w:pPr>
          <w:r w:rsidRPr="00713B78">
            <w:rPr>
              <w:sz w:val="11"/>
              <w:szCs w:val="11"/>
            </w:rPr>
            <w:t xml:space="preserve">Erste&amp;Steiermärkische Bank </w:t>
          </w:r>
          <w:r w:rsidRPr="00713B78">
            <w:rPr>
              <w:rFonts w:cs="Arial"/>
              <w:sz w:val="11"/>
              <w:szCs w:val="11"/>
            </w:rPr>
            <w:t xml:space="preserve">d.d. </w:t>
          </w:r>
        </w:p>
        <w:p w14:paraId="51004BAA"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BANCA POPOLARE DI SONDRIO</w:t>
          </w:r>
        </w:p>
        <w:p w14:paraId="13638F9A" w14:textId="77777777" w:rsidR="00F216F2" w:rsidRDefault="00F216F2" w:rsidP="00F216F2">
          <w:pPr>
            <w:pStyle w:val="Footer"/>
            <w:spacing w:line="216" w:lineRule="auto"/>
            <w:ind w:left="-108"/>
            <w:rPr>
              <w:sz w:val="11"/>
              <w:szCs w:val="11"/>
              <w:lang w:bidi="ta-IN"/>
            </w:rPr>
          </w:pPr>
          <w:r w:rsidRPr="00C03313">
            <w:rPr>
              <w:sz w:val="11"/>
              <w:szCs w:val="11"/>
              <w:lang w:bidi="ta-IN"/>
            </w:rPr>
            <w:t>Hrvatska poštanska banka, d.</w:t>
          </w:r>
          <w:r>
            <w:rPr>
              <w:sz w:val="11"/>
              <w:szCs w:val="11"/>
              <w:lang w:bidi="ta-IN"/>
            </w:rPr>
            <w:t>d.</w:t>
          </w:r>
        </w:p>
        <w:p w14:paraId="6D88CE6D" w14:textId="77777777" w:rsidR="00F216F2" w:rsidRPr="00713B78" w:rsidRDefault="00F216F2" w:rsidP="00F216F2">
          <w:pPr>
            <w:pStyle w:val="Footer"/>
            <w:spacing w:line="216" w:lineRule="auto"/>
            <w:ind w:left="-108"/>
            <w:rPr>
              <w:sz w:val="11"/>
              <w:szCs w:val="11"/>
              <w:lang w:bidi="ta-IN"/>
            </w:rPr>
          </w:pPr>
          <w:r w:rsidRPr="00713B78">
            <w:rPr>
              <w:sz w:val="11"/>
              <w:szCs w:val="11"/>
              <w:lang w:bidi="ta-IN"/>
            </w:rPr>
            <w:t>UniCredit Bank Austria AG</w:t>
          </w:r>
        </w:p>
        <w:p w14:paraId="34641061" w14:textId="77777777" w:rsidR="00F216F2" w:rsidRDefault="00F216F2" w:rsidP="00F216F2">
          <w:pPr>
            <w:pStyle w:val="Footer"/>
            <w:spacing w:line="216" w:lineRule="auto"/>
            <w:ind w:left="-108"/>
            <w:rPr>
              <w:sz w:val="11"/>
              <w:szCs w:val="11"/>
              <w:lang w:bidi="ta-IN"/>
            </w:rPr>
          </w:pPr>
        </w:p>
        <w:p w14:paraId="7DD5188D" w14:textId="77777777" w:rsidR="00F216F2" w:rsidRPr="00713B78" w:rsidRDefault="00F216F2" w:rsidP="00F216F2">
          <w:pPr>
            <w:pStyle w:val="Footer"/>
            <w:spacing w:line="216" w:lineRule="auto"/>
            <w:ind w:left="-108"/>
            <w:rPr>
              <w:sz w:val="11"/>
              <w:szCs w:val="11"/>
              <w:lang w:bidi="ta-IN"/>
            </w:rPr>
          </w:pPr>
        </w:p>
        <w:p w14:paraId="731BC5B7" w14:textId="77777777" w:rsidR="00F216F2" w:rsidRPr="00713B78" w:rsidRDefault="00F216F2" w:rsidP="00F216F2">
          <w:pPr>
            <w:pStyle w:val="Footer"/>
            <w:spacing w:line="216" w:lineRule="auto"/>
            <w:ind w:left="-108"/>
            <w:rPr>
              <w:sz w:val="11"/>
              <w:szCs w:val="11"/>
              <w:lang w:bidi="ta-IN"/>
            </w:rPr>
          </w:pPr>
        </w:p>
      </w:tc>
      <w:tc>
        <w:tcPr>
          <w:tcW w:w="1985" w:type="dxa"/>
          <w:tcBorders>
            <w:top w:val="nil"/>
            <w:left w:val="nil"/>
            <w:bottom w:val="nil"/>
            <w:right w:val="nil"/>
          </w:tcBorders>
        </w:tcPr>
        <w:p w14:paraId="0B7CFE4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Radnička cesta 50, 10000 Zagreb</w:t>
          </w:r>
        </w:p>
        <w:p w14:paraId="5533F34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Magazinska cesta 69, 10000 Zagreb</w:t>
          </w:r>
        </w:p>
        <w:p w14:paraId="45091D46"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Trg bana Josipa Jelačića 10, 10000 Zagreb</w:t>
          </w:r>
        </w:p>
        <w:p w14:paraId="09B4D38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Domovinskog rata 61, 21000 Split</w:t>
          </w:r>
        </w:p>
        <w:p w14:paraId="7923DEB8"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Jadranski trg 3a, 51000 Rijeka</w:t>
          </w:r>
        </w:p>
        <w:p w14:paraId="702442A2"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Viale Innocenzo XI n.71, 22100 COMO</w:t>
          </w:r>
        </w:p>
        <w:p w14:paraId="3A1D428E" w14:textId="77777777" w:rsidR="00F216F2" w:rsidRPr="00713B78" w:rsidRDefault="00F216F2" w:rsidP="00F216F2">
          <w:pPr>
            <w:pStyle w:val="Footer"/>
            <w:spacing w:line="216" w:lineRule="auto"/>
            <w:ind w:left="-108" w:right="-66"/>
            <w:rPr>
              <w:sz w:val="11"/>
              <w:szCs w:val="11"/>
              <w:lang w:bidi="ta-IN"/>
            </w:rPr>
          </w:pPr>
          <w:r w:rsidRPr="00C03313">
            <w:rPr>
              <w:sz w:val="11"/>
              <w:szCs w:val="11"/>
              <w:lang w:bidi="ta-IN"/>
            </w:rPr>
            <w:t>Jurišićeva ulica 4, 10000 Zagreb</w:t>
          </w:r>
        </w:p>
        <w:p w14:paraId="0F8F0540" w14:textId="77777777" w:rsidR="00F216F2" w:rsidRPr="00713B78" w:rsidRDefault="00F216F2" w:rsidP="00F216F2">
          <w:pPr>
            <w:pStyle w:val="Footer"/>
            <w:spacing w:line="216" w:lineRule="auto"/>
            <w:ind w:left="-108" w:right="-66"/>
            <w:rPr>
              <w:sz w:val="11"/>
              <w:szCs w:val="11"/>
              <w:lang w:bidi="ta-IN"/>
            </w:rPr>
          </w:pPr>
          <w:r w:rsidRPr="00713B78">
            <w:rPr>
              <w:sz w:val="11"/>
              <w:szCs w:val="11"/>
              <w:lang w:bidi="ta-IN"/>
            </w:rPr>
            <w:t>Schottengasse 6-8, A-1010 Wien</w:t>
          </w:r>
        </w:p>
        <w:p w14:paraId="7CC91C8C" w14:textId="77777777" w:rsidR="00F216F2" w:rsidRPr="00713B78" w:rsidRDefault="00F216F2" w:rsidP="00F216F2">
          <w:pPr>
            <w:pStyle w:val="Footer"/>
            <w:spacing w:line="216" w:lineRule="auto"/>
            <w:ind w:left="-108" w:right="-66"/>
            <w:rPr>
              <w:sz w:val="11"/>
              <w:szCs w:val="11"/>
              <w:lang w:bidi="ta-IN"/>
            </w:rPr>
          </w:pPr>
        </w:p>
        <w:p w14:paraId="4A591ED2" w14:textId="77777777" w:rsidR="00F216F2" w:rsidRPr="00713B78" w:rsidRDefault="00F216F2" w:rsidP="00F216F2">
          <w:pPr>
            <w:pStyle w:val="Footer"/>
            <w:spacing w:line="216" w:lineRule="auto"/>
            <w:ind w:right="-66"/>
            <w:rPr>
              <w:rFonts w:cs="Arial"/>
              <w:sz w:val="11"/>
              <w:szCs w:val="11"/>
            </w:rPr>
          </w:pPr>
        </w:p>
      </w:tc>
      <w:tc>
        <w:tcPr>
          <w:tcW w:w="2126" w:type="dxa"/>
          <w:tcBorders>
            <w:top w:val="nil"/>
            <w:left w:val="nil"/>
            <w:bottom w:val="nil"/>
            <w:right w:val="nil"/>
          </w:tcBorders>
        </w:tcPr>
        <w:p w14:paraId="580030C9"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HR92 2340 0091 1000 2290 2</w:t>
          </w:r>
        </w:p>
        <w:p w14:paraId="1A5C6856"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HR70 2484 0081 1006 1948 3</w:t>
          </w:r>
        </w:p>
        <w:p w14:paraId="661B727F"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HR62 2360 0001 1013 0359 5</w:t>
          </w:r>
        </w:p>
        <w:p w14:paraId="46046860"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HR96 2407 0001 1001 5214 9 </w:t>
          </w:r>
        </w:p>
        <w:p w14:paraId="3224F67B"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HR34 </w:t>
          </w:r>
          <w:r w:rsidRPr="00713B78">
            <w:rPr>
              <w:sz w:val="11"/>
              <w:szCs w:val="11"/>
            </w:rPr>
            <w:t>2402 0061 1006 8111 4</w:t>
          </w:r>
        </w:p>
        <w:p w14:paraId="4F108AB9"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IT41 N056 9610 900E DCEU 0817 340 (EUR)</w:t>
          </w:r>
        </w:p>
        <w:p w14:paraId="48A6C455" w14:textId="77777777" w:rsidR="00F216F2" w:rsidRDefault="00F216F2" w:rsidP="00F216F2">
          <w:pPr>
            <w:pStyle w:val="Footer"/>
            <w:spacing w:line="216" w:lineRule="auto"/>
            <w:ind w:left="-108" w:right="-108"/>
            <w:rPr>
              <w:sz w:val="11"/>
              <w:szCs w:val="11"/>
              <w:lang w:bidi="ta-IN"/>
            </w:rPr>
          </w:pPr>
          <w:r w:rsidRPr="00C03313">
            <w:rPr>
              <w:sz w:val="11"/>
              <w:szCs w:val="11"/>
              <w:lang w:bidi="ta-IN"/>
            </w:rPr>
            <w:t>HR54 2390 0011 1013 4019</w:t>
          </w:r>
          <w:r>
            <w:rPr>
              <w:sz w:val="11"/>
              <w:szCs w:val="11"/>
              <w:lang w:bidi="ta-IN"/>
            </w:rPr>
            <w:t xml:space="preserve"> 7</w:t>
          </w:r>
        </w:p>
        <w:p w14:paraId="40C6C4A6"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 xml:space="preserve">AT21 1200 0528 4400 3466     (EUR) </w:t>
          </w:r>
        </w:p>
        <w:p w14:paraId="2472F0FE"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AT91 1200 0528 4400 3467     (USD)</w:t>
          </w:r>
        </w:p>
        <w:p w14:paraId="68940E32" w14:textId="77777777" w:rsidR="00F216F2" w:rsidRPr="00713B78" w:rsidRDefault="00F216F2" w:rsidP="00F216F2">
          <w:pPr>
            <w:pStyle w:val="Footer"/>
            <w:spacing w:line="216" w:lineRule="auto"/>
            <w:ind w:left="-108" w:right="-108"/>
            <w:rPr>
              <w:sz w:val="11"/>
              <w:szCs w:val="11"/>
              <w:lang w:bidi="ta-IN"/>
            </w:rPr>
          </w:pPr>
        </w:p>
      </w:tc>
      <w:tc>
        <w:tcPr>
          <w:tcW w:w="2126" w:type="dxa"/>
          <w:vMerge/>
          <w:tcBorders>
            <w:left w:val="nil"/>
            <w:bottom w:val="nil"/>
            <w:right w:val="nil"/>
          </w:tcBorders>
        </w:tcPr>
        <w:p w14:paraId="12F190C6" w14:textId="77777777" w:rsidR="00F216F2" w:rsidRPr="002B598A" w:rsidRDefault="00F216F2" w:rsidP="00F216F2">
          <w:pPr>
            <w:pStyle w:val="Footer"/>
            <w:rPr>
              <w:rFonts w:cs="Arial"/>
              <w:sz w:val="11"/>
              <w:szCs w:val="11"/>
            </w:rPr>
          </w:pPr>
        </w:p>
      </w:tc>
    </w:tr>
    <w:tr w:rsidR="00F216F2" w:rsidRPr="002B598A" w14:paraId="36E8DE03" w14:textId="77777777" w:rsidTr="00D50296">
      <w:trPr>
        <w:cantSplit/>
        <w:trHeight w:val="300"/>
      </w:trPr>
      <w:tc>
        <w:tcPr>
          <w:tcW w:w="7513" w:type="dxa"/>
          <w:gridSpan w:val="4"/>
          <w:tcBorders>
            <w:top w:val="nil"/>
            <w:left w:val="nil"/>
            <w:bottom w:val="single" w:sz="4" w:space="0" w:color="auto"/>
            <w:right w:val="nil"/>
          </w:tcBorders>
          <w:vAlign w:val="bottom"/>
        </w:tcPr>
        <w:p w14:paraId="6AF995ED" w14:textId="77777777" w:rsidR="00F216F2" w:rsidRPr="002B598A" w:rsidRDefault="00F216F2" w:rsidP="00F216F2">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03F987B5" w14:textId="6A1817E4" w:rsidR="00F216F2" w:rsidRPr="002B598A" w:rsidRDefault="00161EE6" w:rsidP="00F216F2">
          <w:pPr>
            <w:pStyle w:val="Footer"/>
            <w:spacing w:line="216" w:lineRule="auto"/>
            <w:ind w:right="-108"/>
            <w:rPr>
              <w:rFonts w:cs="Arial"/>
              <w:sz w:val="4"/>
              <w:szCs w:val="4"/>
            </w:rPr>
          </w:pPr>
          <w:r w:rsidRPr="00161EE6">
            <w:rPr>
              <w:sz w:val="11"/>
              <w:szCs w:val="11"/>
            </w:rPr>
            <w:t>Zsuzsanna Éva Ortutay</w:t>
          </w:r>
          <w:r w:rsidR="00F216F2" w:rsidRPr="00847E16">
            <w:rPr>
              <w:sz w:val="11"/>
              <w:szCs w:val="11"/>
            </w:rPr>
            <w:t xml:space="preserve">, </w:t>
          </w:r>
          <w:r w:rsidR="00E12FD9">
            <w:rPr>
              <w:sz w:val="11"/>
              <w:szCs w:val="11"/>
            </w:rPr>
            <w:t>Zsombor Marton</w:t>
          </w:r>
          <w:r w:rsidR="00F216F2" w:rsidRPr="00847E16">
            <w:rPr>
              <w:sz w:val="11"/>
              <w:szCs w:val="11"/>
            </w:rPr>
            <w:t>, Krisztián Pulay, Miroslav Skalicki, Hrvoje Šimović, Marin Zovko</w:t>
          </w:r>
        </w:p>
        <w:p w14:paraId="16D7DFBB" w14:textId="77777777" w:rsidR="00F216F2" w:rsidRPr="002B598A" w:rsidRDefault="00F216F2" w:rsidP="00F216F2">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w:t>
          </w:r>
          <w:r>
            <w:rPr>
              <w:rFonts w:cs="Arial"/>
              <w:sz w:val="11"/>
              <w:szCs w:val="11"/>
            </w:rPr>
            <w:t>Damir Mikuljan</w:t>
          </w:r>
        </w:p>
      </w:tc>
      <w:tc>
        <w:tcPr>
          <w:tcW w:w="2126" w:type="dxa"/>
          <w:vMerge/>
          <w:tcBorders>
            <w:top w:val="nil"/>
            <w:left w:val="nil"/>
            <w:bottom w:val="single" w:sz="4" w:space="0" w:color="auto"/>
            <w:right w:val="nil"/>
          </w:tcBorders>
        </w:tcPr>
        <w:p w14:paraId="72AECC84" w14:textId="77777777" w:rsidR="00F216F2" w:rsidRPr="002B598A" w:rsidRDefault="00F216F2" w:rsidP="00F216F2">
          <w:pPr>
            <w:pStyle w:val="Footer"/>
            <w:rPr>
              <w:rFonts w:cs="Arial"/>
              <w:sz w:val="11"/>
              <w:szCs w:val="11"/>
            </w:rPr>
          </w:pPr>
        </w:p>
      </w:tc>
    </w:tr>
    <w:tr w:rsidR="00F216F2" w:rsidRPr="002B598A" w14:paraId="27C5A9A6" w14:textId="77777777" w:rsidTr="00D50296">
      <w:trPr>
        <w:cantSplit/>
        <w:trHeight w:val="170"/>
      </w:trPr>
      <w:tc>
        <w:tcPr>
          <w:tcW w:w="7513" w:type="dxa"/>
          <w:gridSpan w:val="4"/>
          <w:tcBorders>
            <w:top w:val="single" w:sz="4" w:space="0" w:color="auto"/>
            <w:left w:val="nil"/>
            <w:bottom w:val="nil"/>
            <w:right w:val="nil"/>
          </w:tcBorders>
          <w:vAlign w:val="bottom"/>
        </w:tcPr>
        <w:p w14:paraId="1E99EEE3" w14:textId="77777777" w:rsidR="00F216F2" w:rsidRDefault="00F216F2" w:rsidP="00F216F2">
          <w:pPr>
            <w:pStyle w:val="Footer"/>
            <w:spacing w:line="216" w:lineRule="auto"/>
            <w:ind w:right="-108"/>
            <w:rPr>
              <w:rFonts w:cs="Arial"/>
              <w:sz w:val="11"/>
              <w:szCs w:val="11"/>
            </w:rPr>
          </w:pPr>
          <w:r>
            <w:rPr>
              <w:rFonts w:cs="Arial"/>
              <w:sz w:val="11"/>
              <w:szCs w:val="11"/>
            </w:rPr>
            <w:t xml:space="preserve">  </w:t>
          </w:r>
        </w:p>
      </w:tc>
      <w:tc>
        <w:tcPr>
          <w:tcW w:w="2126" w:type="dxa"/>
          <w:tcBorders>
            <w:top w:val="single" w:sz="4" w:space="0" w:color="auto"/>
            <w:left w:val="nil"/>
            <w:bottom w:val="nil"/>
            <w:right w:val="nil"/>
          </w:tcBorders>
        </w:tcPr>
        <w:p w14:paraId="126E2D1F" w14:textId="77777777" w:rsidR="00F216F2" w:rsidRPr="002B598A" w:rsidRDefault="00F216F2" w:rsidP="00F216F2">
          <w:pPr>
            <w:pStyle w:val="Footer"/>
            <w:rPr>
              <w:rFonts w:cs="Arial"/>
              <w:sz w:val="11"/>
              <w:szCs w:val="11"/>
            </w:rPr>
          </w:pPr>
        </w:p>
      </w:tc>
    </w:tr>
  </w:tbl>
  <w:p w14:paraId="02C4EDC5" w14:textId="77777777" w:rsidR="00A07306" w:rsidRPr="00095236" w:rsidRDefault="00A07306" w:rsidP="00A07306">
    <w:pPr>
      <w:pStyle w:val="Footer"/>
      <w:jc w:val="right"/>
    </w:pPr>
    <w:r>
      <w:rPr>
        <w:rFonts w:cs="Arial"/>
        <w:sz w:val="11"/>
        <w:szCs w:val="11"/>
      </w:rPr>
      <w:tab/>
    </w:r>
    <w:r w:rsidRPr="003F5049">
      <w:rPr>
        <w:rFonts w:cs="Arial"/>
        <w:sz w:val="11"/>
        <w:szCs w:val="11"/>
      </w:rPr>
      <w:t xml:space="preserve">str. - </w:t>
    </w:r>
    <w:r w:rsidRPr="003F5049">
      <w:rPr>
        <w:rFonts w:cs="Arial"/>
        <w:i/>
        <w:sz w:val="11"/>
        <w:szCs w:val="11"/>
      </w:rPr>
      <w:t>page</w:t>
    </w:r>
    <w:r w:rsidRPr="003F5049">
      <w:rPr>
        <w:rFonts w:cs="Arial"/>
        <w:sz w:val="11"/>
        <w:szCs w:val="11"/>
      </w:rPr>
      <w:t xml:space="preserve"> </w:t>
    </w:r>
    <w:r w:rsidRPr="003F5049">
      <w:rPr>
        <w:rFonts w:cs="Arial"/>
        <w:sz w:val="11"/>
        <w:szCs w:val="11"/>
      </w:rPr>
      <w:fldChar w:fldCharType="begin"/>
    </w:r>
    <w:r w:rsidRPr="003F5049">
      <w:rPr>
        <w:rFonts w:cs="Arial"/>
        <w:sz w:val="11"/>
        <w:szCs w:val="11"/>
      </w:rPr>
      <w:instrText xml:space="preserve"> PAGE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r w:rsidRPr="003F5049">
      <w:rPr>
        <w:rFonts w:cs="Arial"/>
        <w:sz w:val="11"/>
        <w:szCs w:val="11"/>
      </w:rPr>
      <w:t>/</w:t>
    </w:r>
    <w:r w:rsidRPr="003F5049">
      <w:rPr>
        <w:rFonts w:cs="Arial"/>
        <w:sz w:val="11"/>
        <w:szCs w:val="11"/>
      </w:rPr>
      <w:fldChar w:fldCharType="begin"/>
    </w:r>
    <w:r w:rsidRPr="003F5049">
      <w:rPr>
        <w:rFonts w:cs="Arial"/>
        <w:sz w:val="11"/>
        <w:szCs w:val="11"/>
      </w:rPr>
      <w:instrText xml:space="preserve"> NUMPAGES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0CAB" w14:textId="77777777" w:rsidR="00DA6032" w:rsidRDefault="00DA6032" w:rsidP="00A07306">
      <w:r>
        <w:separator/>
      </w:r>
    </w:p>
  </w:footnote>
  <w:footnote w:type="continuationSeparator" w:id="0">
    <w:p w14:paraId="21AD9F0B" w14:textId="77777777" w:rsidR="00DA6032" w:rsidRDefault="00DA6032" w:rsidP="00A0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F0A0" w14:textId="44462D8B" w:rsidR="00C0068C" w:rsidRDefault="0013372E">
    <w:pPr>
      <w:pStyle w:val="Header"/>
    </w:pPr>
    <w:r>
      <w:rPr>
        <w:noProof/>
      </w:rPr>
      <w:drawing>
        <wp:inline distT="0" distB="0" distL="0" distR="0" wp14:anchorId="534E0B01" wp14:editId="74091993">
          <wp:extent cx="1212850" cy="450850"/>
          <wp:effectExtent l="0" t="0" r="6350" b="635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450850"/>
                  </a:xfrm>
                  <a:prstGeom prst="rect">
                    <a:avLst/>
                  </a:prstGeom>
                </pic:spPr>
              </pic:pic>
            </a:graphicData>
          </a:graphic>
        </wp:inline>
      </w:drawing>
    </w:r>
  </w:p>
  <w:p w14:paraId="4D4D10B4" w14:textId="77777777" w:rsidR="00C0068C" w:rsidRDefault="00C0068C"/>
  <w:p w14:paraId="2086966B" w14:textId="77777777" w:rsidR="00C0068C" w:rsidRDefault="00C006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14B0" w14:textId="77777777" w:rsidR="00A07306" w:rsidRPr="00A07306" w:rsidRDefault="00A07306" w:rsidP="00A07306">
    <w:pPr>
      <w:tabs>
        <w:tab w:val="center" w:pos="4536"/>
        <w:tab w:val="right" w:pos="9072"/>
      </w:tabs>
      <w:rPr>
        <w:rFonts w:ascii="Calibri" w:eastAsia="Calibri" w:hAnsi="Calibri" w:cs="Arial"/>
      </w:rPr>
    </w:pPr>
    <w:r w:rsidRPr="00A07306">
      <w:rPr>
        <w:rFonts w:ascii="Calibri" w:eastAsia="Calibri" w:hAnsi="Calibri" w:cs="Arial"/>
        <w:noProof/>
        <w:sz w:val="2"/>
        <w:lang w:eastAsia="hr-HR"/>
      </w:rPr>
      <w:drawing>
        <wp:anchor distT="0" distB="0" distL="114300" distR="114300" simplePos="0" relativeHeight="251659264" behindDoc="0" locked="0" layoutInCell="1" allowOverlap="1" wp14:anchorId="16F01097" wp14:editId="12B93711">
          <wp:simplePos x="0" y="0"/>
          <wp:positionH relativeFrom="column">
            <wp:posOffset>0</wp:posOffset>
          </wp:positionH>
          <wp:positionV relativeFrom="paragraph">
            <wp:posOffset>-635</wp:posOffset>
          </wp:positionV>
          <wp:extent cx="1213415" cy="451220"/>
          <wp:effectExtent l="0" t="0" r="6350" b="6350"/>
          <wp:wrapNone/>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14:paraId="2AEE98D4" w14:textId="77777777" w:rsidR="00A07306" w:rsidRPr="00A07306" w:rsidRDefault="00A07306" w:rsidP="00A07306">
    <w:pPr>
      <w:rPr>
        <w:rFonts w:ascii="Calibri" w:eastAsia="Calibri" w:hAnsi="Calibri" w:cs="Arial"/>
      </w:rPr>
    </w:pPr>
  </w:p>
  <w:p w14:paraId="1E69BE48" w14:textId="77777777" w:rsidR="00A07306" w:rsidRDefault="00A07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2EE"/>
    <w:multiLevelType w:val="hybridMultilevel"/>
    <w:tmpl w:val="1938D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47029"/>
    <w:multiLevelType w:val="hybridMultilevel"/>
    <w:tmpl w:val="3CD408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17454F"/>
    <w:multiLevelType w:val="hybridMultilevel"/>
    <w:tmpl w:val="3E5487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CD1E8F"/>
    <w:multiLevelType w:val="hybridMultilevel"/>
    <w:tmpl w:val="6EAAD4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824294"/>
    <w:multiLevelType w:val="hybridMultilevel"/>
    <w:tmpl w:val="D5DAB58C"/>
    <w:lvl w:ilvl="0" w:tplc="FFFFFFFF">
      <w:start w:val="1"/>
      <w:numFmt w:val="bullet"/>
      <w:lvlText w:val=""/>
      <w:lvlJc w:val="left"/>
      <w:pPr>
        <w:ind w:left="720" w:hanging="360"/>
      </w:pPr>
      <w:rPr>
        <w:rFonts w:ascii="Symbol" w:hAnsi="Symbol" w:hint="default"/>
        <w:lang w:val="en-GB"/>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C0708A"/>
    <w:multiLevelType w:val="hybridMultilevel"/>
    <w:tmpl w:val="A6408866"/>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B92BCE"/>
    <w:multiLevelType w:val="hybridMultilevel"/>
    <w:tmpl w:val="7AC2DA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2850BA"/>
    <w:multiLevelType w:val="hybridMultilevel"/>
    <w:tmpl w:val="72C441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A943E2"/>
    <w:multiLevelType w:val="hybridMultilevel"/>
    <w:tmpl w:val="51FCA2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3F4E6F"/>
    <w:multiLevelType w:val="hybridMultilevel"/>
    <w:tmpl w:val="954CE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3B57EB"/>
    <w:multiLevelType w:val="hybridMultilevel"/>
    <w:tmpl w:val="1E888E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AE2578"/>
    <w:multiLevelType w:val="hybridMultilevel"/>
    <w:tmpl w:val="B39E39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E167AB"/>
    <w:multiLevelType w:val="hybridMultilevel"/>
    <w:tmpl w:val="6352B7D6"/>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E3F5215"/>
    <w:multiLevelType w:val="hybridMultilevel"/>
    <w:tmpl w:val="4D0C597A"/>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07F3FEA"/>
    <w:multiLevelType w:val="hybridMultilevel"/>
    <w:tmpl w:val="4AB451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513D5F"/>
    <w:multiLevelType w:val="hybridMultilevel"/>
    <w:tmpl w:val="0DACF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117D85"/>
    <w:multiLevelType w:val="hybridMultilevel"/>
    <w:tmpl w:val="70606FC2"/>
    <w:lvl w:ilvl="0" w:tplc="CE9A8978">
      <w:start w:val="1"/>
      <w:numFmt w:val="bullet"/>
      <w:lvlText w:val=""/>
      <w:lvlJc w:val="left"/>
      <w:pPr>
        <w:ind w:left="720" w:hanging="360"/>
      </w:pPr>
      <w:rPr>
        <w:rFonts w:ascii="Symbol" w:hAnsi="Symbol" w:hint="default"/>
        <w:lang w:val="en-G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2BC7561"/>
    <w:multiLevelType w:val="hybridMultilevel"/>
    <w:tmpl w:val="4ADAF2DA"/>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3555CB8"/>
    <w:multiLevelType w:val="hybridMultilevel"/>
    <w:tmpl w:val="8D5A1A48"/>
    <w:lvl w:ilvl="0" w:tplc="041A000D">
      <w:start w:val="1"/>
      <w:numFmt w:val="bullet"/>
      <w:lvlText w:val=""/>
      <w:lvlJc w:val="left"/>
      <w:pPr>
        <w:ind w:left="1776" w:hanging="360"/>
      </w:pPr>
      <w:rPr>
        <w:rFonts w:ascii="Wingdings" w:hAnsi="Wingding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9" w15:restartNumberingAfterBreak="0">
    <w:nsid w:val="4D9341CF"/>
    <w:multiLevelType w:val="hybridMultilevel"/>
    <w:tmpl w:val="E92E0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351513"/>
    <w:multiLevelType w:val="hybridMultilevel"/>
    <w:tmpl w:val="3E827AE2"/>
    <w:lvl w:ilvl="0" w:tplc="FFFFFFFF">
      <w:start w:val="1"/>
      <w:numFmt w:val="bullet"/>
      <w:lvlText w:val=""/>
      <w:lvlJc w:val="left"/>
      <w:pPr>
        <w:ind w:left="720" w:hanging="360"/>
      </w:pPr>
      <w:rPr>
        <w:rFonts w:ascii="Symbol" w:hAnsi="Symbol" w:hint="default"/>
        <w:lang w:val="en-GB"/>
      </w:rPr>
    </w:lvl>
    <w:lvl w:ilvl="1" w:tplc="041A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64C590D"/>
    <w:multiLevelType w:val="hybridMultilevel"/>
    <w:tmpl w:val="3814D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7C72437"/>
    <w:multiLevelType w:val="hybridMultilevel"/>
    <w:tmpl w:val="1F5A21D4"/>
    <w:lvl w:ilvl="0" w:tplc="FFFFFFFF">
      <w:start w:val="1"/>
      <w:numFmt w:val="bullet"/>
      <w:lvlText w:val=""/>
      <w:lvlJc w:val="left"/>
      <w:pPr>
        <w:ind w:left="720" w:hanging="360"/>
      </w:pPr>
      <w:rPr>
        <w:rFonts w:ascii="Symbol" w:hAnsi="Symbol" w:hint="default"/>
        <w:lang w:val="en-GB"/>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843509D"/>
    <w:multiLevelType w:val="hybridMultilevel"/>
    <w:tmpl w:val="C57485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BF514B"/>
    <w:multiLevelType w:val="hybridMultilevel"/>
    <w:tmpl w:val="C55E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9C63C6E"/>
    <w:multiLevelType w:val="hybridMultilevel"/>
    <w:tmpl w:val="34BED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0777F2F"/>
    <w:multiLevelType w:val="hybridMultilevel"/>
    <w:tmpl w:val="E0E42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7591751"/>
    <w:multiLevelType w:val="hybridMultilevel"/>
    <w:tmpl w:val="65C0E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C1C3347"/>
    <w:multiLevelType w:val="hybridMultilevel"/>
    <w:tmpl w:val="02DC2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C1C370F"/>
    <w:multiLevelType w:val="hybridMultilevel"/>
    <w:tmpl w:val="0CE4D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FCF3A04"/>
    <w:multiLevelType w:val="hybridMultilevel"/>
    <w:tmpl w:val="F7F86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1B463E7"/>
    <w:multiLevelType w:val="hybridMultilevel"/>
    <w:tmpl w:val="A1CED8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786F025D"/>
    <w:multiLevelType w:val="hybridMultilevel"/>
    <w:tmpl w:val="54F244AC"/>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76319406">
    <w:abstractNumId w:val="18"/>
  </w:num>
  <w:num w:numId="2" w16cid:durableId="43264358">
    <w:abstractNumId w:val="14"/>
  </w:num>
  <w:num w:numId="3" w16cid:durableId="1123618612">
    <w:abstractNumId w:val="11"/>
  </w:num>
  <w:num w:numId="4" w16cid:durableId="1668630047">
    <w:abstractNumId w:val="16"/>
  </w:num>
  <w:num w:numId="5" w16cid:durableId="1278878942">
    <w:abstractNumId w:val="1"/>
  </w:num>
  <w:num w:numId="6" w16cid:durableId="1100876839">
    <w:abstractNumId w:val="0"/>
  </w:num>
  <w:num w:numId="7" w16cid:durableId="40830037">
    <w:abstractNumId w:val="21"/>
  </w:num>
  <w:num w:numId="8" w16cid:durableId="1943950947">
    <w:abstractNumId w:val="24"/>
  </w:num>
  <w:num w:numId="9" w16cid:durableId="245112646">
    <w:abstractNumId w:val="15"/>
  </w:num>
  <w:num w:numId="10" w16cid:durableId="1870801161">
    <w:abstractNumId w:val="27"/>
  </w:num>
  <w:num w:numId="11" w16cid:durableId="372654406">
    <w:abstractNumId w:val="26"/>
  </w:num>
  <w:num w:numId="12" w16cid:durableId="1772162996">
    <w:abstractNumId w:val="8"/>
  </w:num>
  <w:num w:numId="13" w16cid:durableId="1489445754">
    <w:abstractNumId w:val="20"/>
  </w:num>
  <w:num w:numId="14" w16cid:durableId="1216812522">
    <w:abstractNumId w:val="28"/>
  </w:num>
  <w:num w:numId="15" w16cid:durableId="1125657878">
    <w:abstractNumId w:val="30"/>
  </w:num>
  <w:num w:numId="16" w16cid:durableId="2104063454">
    <w:abstractNumId w:val="22"/>
  </w:num>
  <w:num w:numId="17" w16cid:durableId="2146046576">
    <w:abstractNumId w:val="3"/>
  </w:num>
  <w:num w:numId="18" w16cid:durableId="1999914731">
    <w:abstractNumId w:val="25"/>
  </w:num>
  <w:num w:numId="19" w16cid:durableId="111753121">
    <w:abstractNumId w:val="19"/>
  </w:num>
  <w:num w:numId="20" w16cid:durableId="513811033">
    <w:abstractNumId w:val="31"/>
  </w:num>
  <w:num w:numId="21" w16cid:durableId="1379470203">
    <w:abstractNumId w:val="32"/>
  </w:num>
  <w:num w:numId="22" w16cid:durableId="1462113121">
    <w:abstractNumId w:val="12"/>
  </w:num>
  <w:num w:numId="23" w16cid:durableId="658271159">
    <w:abstractNumId w:val="13"/>
  </w:num>
  <w:num w:numId="24" w16cid:durableId="954217667">
    <w:abstractNumId w:val="5"/>
  </w:num>
  <w:num w:numId="25" w16cid:durableId="1363215380">
    <w:abstractNumId w:val="17"/>
  </w:num>
  <w:num w:numId="26" w16cid:durableId="1995328639">
    <w:abstractNumId w:val="4"/>
  </w:num>
  <w:num w:numId="27" w16cid:durableId="643316176">
    <w:abstractNumId w:val="6"/>
  </w:num>
  <w:num w:numId="28" w16cid:durableId="500896155">
    <w:abstractNumId w:val="9"/>
  </w:num>
  <w:num w:numId="29" w16cid:durableId="978725268">
    <w:abstractNumId w:val="23"/>
  </w:num>
  <w:num w:numId="30" w16cid:durableId="2082482099">
    <w:abstractNumId w:val="10"/>
  </w:num>
  <w:num w:numId="31" w16cid:durableId="1512910509">
    <w:abstractNumId w:val="29"/>
  </w:num>
  <w:num w:numId="32" w16cid:durableId="391199030">
    <w:abstractNumId w:val="2"/>
  </w:num>
  <w:num w:numId="33" w16cid:durableId="8016578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06"/>
    <w:rsid w:val="00001965"/>
    <w:rsid w:val="000038FF"/>
    <w:rsid w:val="000063B9"/>
    <w:rsid w:val="00006E61"/>
    <w:rsid w:val="000106AF"/>
    <w:rsid w:val="00013155"/>
    <w:rsid w:val="00015028"/>
    <w:rsid w:val="00016558"/>
    <w:rsid w:val="00021E11"/>
    <w:rsid w:val="000233FE"/>
    <w:rsid w:val="00033ED8"/>
    <w:rsid w:val="00034C52"/>
    <w:rsid w:val="00040895"/>
    <w:rsid w:val="00045B27"/>
    <w:rsid w:val="000555C6"/>
    <w:rsid w:val="00056C94"/>
    <w:rsid w:val="000577D5"/>
    <w:rsid w:val="00062B61"/>
    <w:rsid w:val="00064C22"/>
    <w:rsid w:val="00064DE6"/>
    <w:rsid w:val="00066CC9"/>
    <w:rsid w:val="000753DC"/>
    <w:rsid w:val="00075962"/>
    <w:rsid w:val="00075C1B"/>
    <w:rsid w:val="000769AF"/>
    <w:rsid w:val="00077B63"/>
    <w:rsid w:val="000835F8"/>
    <w:rsid w:val="00083921"/>
    <w:rsid w:val="00087FC6"/>
    <w:rsid w:val="000945A4"/>
    <w:rsid w:val="00094919"/>
    <w:rsid w:val="000967F4"/>
    <w:rsid w:val="000972FF"/>
    <w:rsid w:val="0009763B"/>
    <w:rsid w:val="000A20B6"/>
    <w:rsid w:val="000A58D7"/>
    <w:rsid w:val="000B23EC"/>
    <w:rsid w:val="000B6D92"/>
    <w:rsid w:val="000B77BF"/>
    <w:rsid w:val="000C23D1"/>
    <w:rsid w:val="000C45A6"/>
    <w:rsid w:val="000D22C6"/>
    <w:rsid w:val="000D2E38"/>
    <w:rsid w:val="000D375C"/>
    <w:rsid w:val="000D3B90"/>
    <w:rsid w:val="000E0E15"/>
    <w:rsid w:val="000E288B"/>
    <w:rsid w:val="000E3D25"/>
    <w:rsid w:val="000E409D"/>
    <w:rsid w:val="000F3912"/>
    <w:rsid w:val="0010148B"/>
    <w:rsid w:val="00105D1E"/>
    <w:rsid w:val="00111447"/>
    <w:rsid w:val="00112844"/>
    <w:rsid w:val="00114568"/>
    <w:rsid w:val="00117BDF"/>
    <w:rsid w:val="00117F90"/>
    <w:rsid w:val="001263D6"/>
    <w:rsid w:val="00130434"/>
    <w:rsid w:val="0013084B"/>
    <w:rsid w:val="0013372E"/>
    <w:rsid w:val="00134909"/>
    <w:rsid w:val="00136293"/>
    <w:rsid w:val="001362A0"/>
    <w:rsid w:val="001448B1"/>
    <w:rsid w:val="00146617"/>
    <w:rsid w:val="001472F0"/>
    <w:rsid w:val="00147E32"/>
    <w:rsid w:val="00151534"/>
    <w:rsid w:val="00153929"/>
    <w:rsid w:val="00161EE6"/>
    <w:rsid w:val="00162029"/>
    <w:rsid w:val="00162FC3"/>
    <w:rsid w:val="00163D44"/>
    <w:rsid w:val="00165049"/>
    <w:rsid w:val="00166F60"/>
    <w:rsid w:val="00172688"/>
    <w:rsid w:val="00177372"/>
    <w:rsid w:val="00183700"/>
    <w:rsid w:val="00184834"/>
    <w:rsid w:val="001A239C"/>
    <w:rsid w:val="001A2DAF"/>
    <w:rsid w:val="001A4E6A"/>
    <w:rsid w:val="001A7C4A"/>
    <w:rsid w:val="001B2A3A"/>
    <w:rsid w:val="001B3B73"/>
    <w:rsid w:val="001B483A"/>
    <w:rsid w:val="001B48EC"/>
    <w:rsid w:val="001B536A"/>
    <w:rsid w:val="001B7CDD"/>
    <w:rsid w:val="001C0EF2"/>
    <w:rsid w:val="001C4FAA"/>
    <w:rsid w:val="001C6C5E"/>
    <w:rsid w:val="001C6CF9"/>
    <w:rsid w:val="001D0D21"/>
    <w:rsid w:val="001D132E"/>
    <w:rsid w:val="001D151B"/>
    <w:rsid w:val="001D4B04"/>
    <w:rsid w:val="001E000E"/>
    <w:rsid w:val="001E0123"/>
    <w:rsid w:val="001E140E"/>
    <w:rsid w:val="001E281E"/>
    <w:rsid w:val="001E48FC"/>
    <w:rsid w:val="001E5655"/>
    <w:rsid w:val="001F5ECF"/>
    <w:rsid w:val="001F6842"/>
    <w:rsid w:val="00202F79"/>
    <w:rsid w:val="002030E3"/>
    <w:rsid w:val="00214EB6"/>
    <w:rsid w:val="0022011D"/>
    <w:rsid w:val="00221EC5"/>
    <w:rsid w:val="002221F8"/>
    <w:rsid w:val="00223745"/>
    <w:rsid w:val="00225B6F"/>
    <w:rsid w:val="00227B4B"/>
    <w:rsid w:val="00231FCC"/>
    <w:rsid w:val="00232639"/>
    <w:rsid w:val="0023457E"/>
    <w:rsid w:val="00237922"/>
    <w:rsid w:val="00240342"/>
    <w:rsid w:val="00241087"/>
    <w:rsid w:val="00243210"/>
    <w:rsid w:val="0024618E"/>
    <w:rsid w:val="00251B1A"/>
    <w:rsid w:val="00257BAA"/>
    <w:rsid w:val="00260049"/>
    <w:rsid w:val="00265A1F"/>
    <w:rsid w:val="00270929"/>
    <w:rsid w:val="0027205C"/>
    <w:rsid w:val="00272CE3"/>
    <w:rsid w:val="00274E46"/>
    <w:rsid w:val="0027613C"/>
    <w:rsid w:val="002769D2"/>
    <w:rsid w:val="00276E62"/>
    <w:rsid w:val="002837F5"/>
    <w:rsid w:val="00283A83"/>
    <w:rsid w:val="00286848"/>
    <w:rsid w:val="00286F32"/>
    <w:rsid w:val="002956FD"/>
    <w:rsid w:val="002963FD"/>
    <w:rsid w:val="00296CC5"/>
    <w:rsid w:val="00297125"/>
    <w:rsid w:val="00297A3D"/>
    <w:rsid w:val="002A1874"/>
    <w:rsid w:val="002A501B"/>
    <w:rsid w:val="002A6174"/>
    <w:rsid w:val="002A7CB2"/>
    <w:rsid w:val="002B22D3"/>
    <w:rsid w:val="002B39B1"/>
    <w:rsid w:val="002B51C0"/>
    <w:rsid w:val="002B5FAD"/>
    <w:rsid w:val="002B6CB4"/>
    <w:rsid w:val="002C08C0"/>
    <w:rsid w:val="002C34F5"/>
    <w:rsid w:val="002C38AC"/>
    <w:rsid w:val="002D0A6C"/>
    <w:rsid w:val="002D0F23"/>
    <w:rsid w:val="002D2434"/>
    <w:rsid w:val="002D44F8"/>
    <w:rsid w:val="002D594B"/>
    <w:rsid w:val="002E0304"/>
    <w:rsid w:val="002E0F32"/>
    <w:rsid w:val="002E2E7E"/>
    <w:rsid w:val="002E345D"/>
    <w:rsid w:val="002E6E7C"/>
    <w:rsid w:val="002F2A5D"/>
    <w:rsid w:val="002F4203"/>
    <w:rsid w:val="002F4967"/>
    <w:rsid w:val="00306F07"/>
    <w:rsid w:val="0031125B"/>
    <w:rsid w:val="0031203C"/>
    <w:rsid w:val="003139DA"/>
    <w:rsid w:val="00313DB3"/>
    <w:rsid w:val="00321627"/>
    <w:rsid w:val="00321CD9"/>
    <w:rsid w:val="00323A42"/>
    <w:rsid w:val="003248DC"/>
    <w:rsid w:val="00325E61"/>
    <w:rsid w:val="003273A7"/>
    <w:rsid w:val="003314B8"/>
    <w:rsid w:val="00331FD1"/>
    <w:rsid w:val="00337E37"/>
    <w:rsid w:val="0034205C"/>
    <w:rsid w:val="003468D8"/>
    <w:rsid w:val="00347914"/>
    <w:rsid w:val="0034797C"/>
    <w:rsid w:val="00347A80"/>
    <w:rsid w:val="0035475B"/>
    <w:rsid w:val="0035526D"/>
    <w:rsid w:val="00355947"/>
    <w:rsid w:val="003559B8"/>
    <w:rsid w:val="00357DD9"/>
    <w:rsid w:val="00364B42"/>
    <w:rsid w:val="00364F23"/>
    <w:rsid w:val="00366BCC"/>
    <w:rsid w:val="0037138B"/>
    <w:rsid w:val="003731C2"/>
    <w:rsid w:val="00373666"/>
    <w:rsid w:val="0037692E"/>
    <w:rsid w:val="00380A8E"/>
    <w:rsid w:val="00383290"/>
    <w:rsid w:val="00384881"/>
    <w:rsid w:val="003868E8"/>
    <w:rsid w:val="00386A08"/>
    <w:rsid w:val="003876B9"/>
    <w:rsid w:val="00393DE1"/>
    <w:rsid w:val="003A0B54"/>
    <w:rsid w:val="003A14E2"/>
    <w:rsid w:val="003A3965"/>
    <w:rsid w:val="003A5418"/>
    <w:rsid w:val="003A6795"/>
    <w:rsid w:val="003A7E66"/>
    <w:rsid w:val="003B1331"/>
    <w:rsid w:val="003B353C"/>
    <w:rsid w:val="003B46A4"/>
    <w:rsid w:val="003B4AFF"/>
    <w:rsid w:val="003C2068"/>
    <w:rsid w:val="003C2A56"/>
    <w:rsid w:val="003C314F"/>
    <w:rsid w:val="003C3441"/>
    <w:rsid w:val="003C65FB"/>
    <w:rsid w:val="003C77A4"/>
    <w:rsid w:val="003D1715"/>
    <w:rsid w:val="003D2CA2"/>
    <w:rsid w:val="003D2D55"/>
    <w:rsid w:val="003E071E"/>
    <w:rsid w:val="003E0A2F"/>
    <w:rsid w:val="003E20D9"/>
    <w:rsid w:val="003E475E"/>
    <w:rsid w:val="003E4785"/>
    <w:rsid w:val="003E57F0"/>
    <w:rsid w:val="003F498C"/>
    <w:rsid w:val="003F55E0"/>
    <w:rsid w:val="003F5B82"/>
    <w:rsid w:val="003F785C"/>
    <w:rsid w:val="004020CB"/>
    <w:rsid w:val="00403945"/>
    <w:rsid w:val="00404512"/>
    <w:rsid w:val="00405E9C"/>
    <w:rsid w:val="004069E8"/>
    <w:rsid w:val="00407B3A"/>
    <w:rsid w:val="0041123B"/>
    <w:rsid w:val="00411241"/>
    <w:rsid w:val="004124B1"/>
    <w:rsid w:val="0041437F"/>
    <w:rsid w:val="004151D9"/>
    <w:rsid w:val="00420131"/>
    <w:rsid w:val="00420338"/>
    <w:rsid w:val="00423AE4"/>
    <w:rsid w:val="00427003"/>
    <w:rsid w:val="00430188"/>
    <w:rsid w:val="004309F0"/>
    <w:rsid w:val="004324F8"/>
    <w:rsid w:val="00433F2A"/>
    <w:rsid w:val="00437627"/>
    <w:rsid w:val="004376B1"/>
    <w:rsid w:val="00440E17"/>
    <w:rsid w:val="00441485"/>
    <w:rsid w:val="0044150E"/>
    <w:rsid w:val="0044210D"/>
    <w:rsid w:val="00442645"/>
    <w:rsid w:val="00453C86"/>
    <w:rsid w:val="00455F6D"/>
    <w:rsid w:val="0045614F"/>
    <w:rsid w:val="0046036C"/>
    <w:rsid w:val="0046662D"/>
    <w:rsid w:val="00476181"/>
    <w:rsid w:val="0048462C"/>
    <w:rsid w:val="00487852"/>
    <w:rsid w:val="00494525"/>
    <w:rsid w:val="00496CAD"/>
    <w:rsid w:val="00497291"/>
    <w:rsid w:val="004A3B35"/>
    <w:rsid w:val="004A4ED5"/>
    <w:rsid w:val="004B13DC"/>
    <w:rsid w:val="004B1EBF"/>
    <w:rsid w:val="004B2EB1"/>
    <w:rsid w:val="004B7A02"/>
    <w:rsid w:val="004C3F56"/>
    <w:rsid w:val="004C64EF"/>
    <w:rsid w:val="004C6F0A"/>
    <w:rsid w:val="004C76E9"/>
    <w:rsid w:val="004D5D12"/>
    <w:rsid w:val="004E0934"/>
    <w:rsid w:val="004E0FD6"/>
    <w:rsid w:val="004F413E"/>
    <w:rsid w:val="0050011D"/>
    <w:rsid w:val="005007A0"/>
    <w:rsid w:val="00501017"/>
    <w:rsid w:val="005011CA"/>
    <w:rsid w:val="00505513"/>
    <w:rsid w:val="00506621"/>
    <w:rsid w:val="00512F9B"/>
    <w:rsid w:val="0051395B"/>
    <w:rsid w:val="0051396B"/>
    <w:rsid w:val="005146D8"/>
    <w:rsid w:val="00515D1E"/>
    <w:rsid w:val="0052022F"/>
    <w:rsid w:val="005211C6"/>
    <w:rsid w:val="005226B3"/>
    <w:rsid w:val="00522D26"/>
    <w:rsid w:val="00522F2E"/>
    <w:rsid w:val="00527035"/>
    <w:rsid w:val="005312C1"/>
    <w:rsid w:val="0054262B"/>
    <w:rsid w:val="00545F15"/>
    <w:rsid w:val="00547E81"/>
    <w:rsid w:val="0055479B"/>
    <w:rsid w:val="00554833"/>
    <w:rsid w:val="00565775"/>
    <w:rsid w:val="00565C51"/>
    <w:rsid w:val="00566799"/>
    <w:rsid w:val="0057079C"/>
    <w:rsid w:val="005717D9"/>
    <w:rsid w:val="005756D5"/>
    <w:rsid w:val="0057609B"/>
    <w:rsid w:val="00580CD7"/>
    <w:rsid w:val="00585BCD"/>
    <w:rsid w:val="005931EA"/>
    <w:rsid w:val="005936BF"/>
    <w:rsid w:val="00597637"/>
    <w:rsid w:val="00597DDB"/>
    <w:rsid w:val="005A1789"/>
    <w:rsid w:val="005A39FC"/>
    <w:rsid w:val="005A407C"/>
    <w:rsid w:val="005B2AA4"/>
    <w:rsid w:val="005B374E"/>
    <w:rsid w:val="005B4D06"/>
    <w:rsid w:val="005B6126"/>
    <w:rsid w:val="005B69EC"/>
    <w:rsid w:val="005C02B3"/>
    <w:rsid w:val="005C17F9"/>
    <w:rsid w:val="005C4F96"/>
    <w:rsid w:val="005C61F0"/>
    <w:rsid w:val="005D198A"/>
    <w:rsid w:val="005D2D6D"/>
    <w:rsid w:val="005D3C0A"/>
    <w:rsid w:val="005D5A8F"/>
    <w:rsid w:val="005E43FF"/>
    <w:rsid w:val="005E5C4D"/>
    <w:rsid w:val="005E7152"/>
    <w:rsid w:val="005E78FB"/>
    <w:rsid w:val="005F5CBB"/>
    <w:rsid w:val="005F6008"/>
    <w:rsid w:val="005F790D"/>
    <w:rsid w:val="00604157"/>
    <w:rsid w:val="00605FBA"/>
    <w:rsid w:val="006106CE"/>
    <w:rsid w:val="00612708"/>
    <w:rsid w:val="00613701"/>
    <w:rsid w:val="00613995"/>
    <w:rsid w:val="00613BA8"/>
    <w:rsid w:val="006158C3"/>
    <w:rsid w:val="00621EAF"/>
    <w:rsid w:val="00623A95"/>
    <w:rsid w:val="00623B67"/>
    <w:rsid w:val="0062486E"/>
    <w:rsid w:val="00625749"/>
    <w:rsid w:val="00625852"/>
    <w:rsid w:val="006258D4"/>
    <w:rsid w:val="00627952"/>
    <w:rsid w:val="006305DF"/>
    <w:rsid w:val="006353CC"/>
    <w:rsid w:val="00642104"/>
    <w:rsid w:val="00642FA2"/>
    <w:rsid w:val="006439EE"/>
    <w:rsid w:val="00652828"/>
    <w:rsid w:val="0065381D"/>
    <w:rsid w:val="00654D99"/>
    <w:rsid w:val="00657843"/>
    <w:rsid w:val="00657979"/>
    <w:rsid w:val="00665709"/>
    <w:rsid w:val="00671C99"/>
    <w:rsid w:val="00672D8E"/>
    <w:rsid w:val="00673CEA"/>
    <w:rsid w:val="00674AA7"/>
    <w:rsid w:val="00677952"/>
    <w:rsid w:val="00680F9A"/>
    <w:rsid w:val="00680FC4"/>
    <w:rsid w:val="00684CCA"/>
    <w:rsid w:val="00684FB7"/>
    <w:rsid w:val="006863E9"/>
    <w:rsid w:val="006900BF"/>
    <w:rsid w:val="00692C59"/>
    <w:rsid w:val="00693673"/>
    <w:rsid w:val="006A2204"/>
    <w:rsid w:val="006A3999"/>
    <w:rsid w:val="006A4C41"/>
    <w:rsid w:val="006A68BF"/>
    <w:rsid w:val="006A6D32"/>
    <w:rsid w:val="006B107F"/>
    <w:rsid w:val="006B1AA3"/>
    <w:rsid w:val="006B25B3"/>
    <w:rsid w:val="006B28F0"/>
    <w:rsid w:val="006B457D"/>
    <w:rsid w:val="006B658F"/>
    <w:rsid w:val="006C0C2A"/>
    <w:rsid w:val="006C0D5C"/>
    <w:rsid w:val="006C325C"/>
    <w:rsid w:val="006C421A"/>
    <w:rsid w:val="006C4C08"/>
    <w:rsid w:val="006C7C65"/>
    <w:rsid w:val="006D001E"/>
    <w:rsid w:val="006D33F3"/>
    <w:rsid w:val="006D39BE"/>
    <w:rsid w:val="006D62BF"/>
    <w:rsid w:val="006D656F"/>
    <w:rsid w:val="006E5565"/>
    <w:rsid w:val="006F117C"/>
    <w:rsid w:val="006F1FE5"/>
    <w:rsid w:val="006F2663"/>
    <w:rsid w:val="00700262"/>
    <w:rsid w:val="00702406"/>
    <w:rsid w:val="00707041"/>
    <w:rsid w:val="00711992"/>
    <w:rsid w:val="00713418"/>
    <w:rsid w:val="0071492D"/>
    <w:rsid w:val="00716B79"/>
    <w:rsid w:val="007175E1"/>
    <w:rsid w:val="0071782E"/>
    <w:rsid w:val="00717D51"/>
    <w:rsid w:val="00720907"/>
    <w:rsid w:val="00731BBA"/>
    <w:rsid w:val="00732CA1"/>
    <w:rsid w:val="00737BAE"/>
    <w:rsid w:val="007401F7"/>
    <w:rsid w:val="00742C7A"/>
    <w:rsid w:val="00750FB8"/>
    <w:rsid w:val="007521DD"/>
    <w:rsid w:val="00754D1F"/>
    <w:rsid w:val="00755DAA"/>
    <w:rsid w:val="00755E62"/>
    <w:rsid w:val="00756EF3"/>
    <w:rsid w:val="007579C7"/>
    <w:rsid w:val="00761DC2"/>
    <w:rsid w:val="00765C27"/>
    <w:rsid w:val="00767E2D"/>
    <w:rsid w:val="00770C61"/>
    <w:rsid w:val="007711E3"/>
    <w:rsid w:val="007746B5"/>
    <w:rsid w:val="00776947"/>
    <w:rsid w:val="0077729C"/>
    <w:rsid w:val="00780249"/>
    <w:rsid w:val="007852A5"/>
    <w:rsid w:val="007864BA"/>
    <w:rsid w:val="00790D62"/>
    <w:rsid w:val="00791BD1"/>
    <w:rsid w:val="007934EA"/>
    <w:rsid w:val="007A4523"/>
    <w:rsid w:val="007A68CA"/>
    <w:rsid w:val="007B1294"/>
    <w:rsid w:val="007B324F"/>
    <w:rsid w:val="007C1E7D"/>
    <w:rsid w:val="007C355D"/>
    <w:rsid w:val="007D0138"/>
    <w:rsid w:val="007D01D5"/>
    <w:rsid w:val="007D19FC"/>
    <w:rsid w:val="007D366C"/>
    <w:rsid w:val="007D3B29"/>
    <w:rsid w:val="007D6CFF"/>
    <w:rsid w:val="007E0291"/>
    <w:rsid w:val="007E0BD7"/>
    <w:rsid w:val="007E1A49"/>
    <w:rsid w:val="007E2B90"/>
    <w:rsid w:val="007E4644"/>
    <w:rsid w:val="007E64EB"/>
    <w:rsid w:val="007E71AC"/>
    <w:rsid w:val="007F7010"/>
    <w:rsid w:val="00800C1E"/>
    <w:rsid w:val="00802C46"/>
    <w:rsid w:val="00805888"/>
    <w:rsid w:val="00806181"/>
    <w:rsid w:val="00807102"/>
    <w:rsid w:val="0081320A"/>
    <w:rsid w:val="00815158"/>
    <w:rsid w:val="00824044"/>
    <w:rsid w:val="00826F12"/>
    <w:rsid w:val="00826FF5"/>
    <w:rsid w:val="00830370"/>
    <w:rsid w:val="00830665"/>
    <w:rsid w:val="008311F6"/>
    <w:rsid w:val="00831768"/>
    <w:rsid w:val="00841A74"/>
    <w:rsid w:val="00842AAB"/>
    <w:rsid w:val="00845290"/>
    <w:rsid w:val="00847218"/>
    <w:rsid w:val="0085055B"/>
    <w:rsid w:val="00851268"/>
    <w:rsid w:val="008554E9"/>
    <w:rsid w:val="0085625B"/>
    <w:rsid w:val="00856A36"/>
    <w:rsid w:val="00856FD4"/>
    <w:rsid w:val="0086253C"/>
    <w:rsid w:val="00863377"/>
    <w:rsid w:val="00864246"/>
    <w:rsid w:val="008643AD"/>
    <w:rsid w:val="008748CD"/>
    <w:rsid w:val="00876FC0"/>
    <w:rsid w:val="0088007E"/>
    <w:rsid w:val="0088215D"/>
    <w:rsid w:val="00884290"/>
    <w:rsid w:val="008860CB"/>
    <w:rsid w:val="00890BB2"/>
    <w:rsid w:val="00894C46"/>
    <w:rsid w:val="008954C8"/>
    <w:rsid w:val="00897BE7"/>
    <w:rsid w:val="008A04B2"/>
    <w:rsid w:val="008A1F31"/>
    <w:rsid w:val="008A1FD6"/>
    <w:rsid w:val="008A7194"/>
    <w:rsid w:val="008B0057"/>
    <w:rsid w:val="008B13EE"/>
    <w:rsid w:val="008C1447"/>
    <w:rsid w:val="008C19B4"/>
    <w:rsid w:val="008C1F52"/>
    <w:rsid w:val="008C4D4F"/>
    <w:rsid w:val="008C6D6F"/>
    <w:rsid w:val="008D3AC1"/>
    <w:rsid w:val="008E16CD"/>
    <w:rsid w:val="008E299C"/>
    <w:rsid w:val="008E2A75"/>
    <w:rsid w:val="008E2B37"/>
    <w:rsid w:val="008E662B"/>
    <w:rsid w:val="008F151C"/>
    <w:rsid w:val="008F1560"/>
    <w:rsid w:val="008F24D0"/>
    <w:rsid w:val="008F3FC2"/>
    <w:rsid w:val="008F4A07"/>
    <w:rsid w:val="008F7EC8"/>
    <w:rsid w:val="00900453"/>
    <w:rsid w:val="0090084A"/>
    <w:rsid w:val="00900CD6"/>
    <w:rsid w:val="00910D5D"/>
    <w:rsid w:val="009126D1"/>
    <w:rsid w:val="009145A3"/>
    <w:rsid w:val="009146A1"/>
    <w:rsid w:val="0092012F"/>
    <w:rsid w:val="00920326"/>
    <w:rsid w:val="0092225F"/>
    <w:rsid w:val="009238D3"/>
    <w:rsid w:val="009301F7"/>
    <w:rsid w:val="00930350"/>
    <w:rsid w:val="0093062C"/>
    <w:rsid w:val="00931535"/>
    <w:rsid w:val="00935171"/>
    <w:rsid w:val="00936E15"/>
    <w:rsid w:val="00942E3B"/>
    <w:rsid w:val="00945394"/>
    <w:rsid w:val="00951341"/>
    <w:rsid w:val="009513C4"/>
    <w:rsid w:val="00955696"/>
    <w:rsid w:val="00956A48"/>
    <w:rsid w:val="00956DC8"/>
    <w:rsid w:val="00961F60"/>
    <w:rsid w:val="00966335"/>
    <w:rsid w:val="009666B8"/>
    <w:rsid w:val="00967926"/>
    <w:rsid w:val="00967A77"/>
    <w:rsid w:val="00974E20"/>
    <w:rsid w:val="00975056"/>
    <w:rsid w:val="00984929"/>
    <w:rsid w:val="0098528B"/>
    <w:rsid w:val="00990C8F"/>
    <w:rsid w:val="00991847"/>
    <w:rsid w:val="00993090"/>
    <w:rsid w:val="009A1AD1"/>
    <w:rsid w:val="009A2B29"/>
    <w:rsid w:val="009A4026"/>
    <w:rsid w:val="009A4F48"/>
    <w:rsid w:val="009A5E4F"/>
    <w:rsid w:val="009B0FA5"/>
    <w:rsid w:val="009B1837"/>
    <w:rsid w:val="009B1CD9"/>
    <w:rsid w:val="009B2C61"/>
    <w:rsid w:val="009B2E68"/>
    <w:rsid w:val="009B6ECF"/>
    <w:rsid w:val="009B77C6"/>
    <w:rsid w:val="009B7931"/>
    <w:rsid w:val="009C0B07"/>
    <w:rsid w:val="009C147C"/>
    <w:rsid w:val="009C37EC"/>
    <w:rsid w:val="009D3923"/>
    <w:rsid w:val="009D4183"/>
    <w:rsid w:val="009D694B"/>
    <w:rsid w:val="009E69BB"/>
    <w:rsid w:val="009E6AFA"/>
    <w:rsid w:val="009F4B63"/>
    <w:rsid w:val="00A03B09"/>
    <w:rsid w:val="00A0433F"/>
    <w:rsid w:val="00A06D2D"/>
    <w:rsid w:val="00A07306"/>
    <w:rsid w:val="00A12868"/>
    <w:rsid w:val="00A13B13"/>
    <w:rsid w:val="00A14119"/>
    <w:rsid w:val="00A14CAD"/>
    <w:rsid w:val="00A173FE"/>
    <w:rsid w:val="00A223F1"/>
    <w:rsid w:val="00A24762"/>
    <w:rsid w:val="00A24BF1"/>
    <w:rsid w:val="00A2541B"/>
    <w:rsid w:val="00A32E62"/>
    <w:rsid w:val="00A41557"/>
    <w:rsid w:val="00A4165F"/>
    <w:rsid w:val="00A440A7"/>
    <w:rsid w:val="00A4619A"/>
    <w:rsid w:val="00A475B0"/>
    <w:rsid w:val="00A5022E"/>
    <w:rsid w:val="00A51E5F"/>
    <w:rsid w:val="00A52AF3"/>
    <w:rsid w:val="00A53014"/>
    <w:rsid w:val="00A53E80"/>
    <w:rsid w:val="00A54172"/>
    <w:rsid w:val="00A5434B"/>
    <w:rsid w:val="00A55E47"/>
    <w:rsid w:val="00A64523"/>
    <w:rsid w:val="00A64A64"/>
    <w:rsid w:val="00A64A8E"/>
    <w:rsid w:val="00A74968"/>
    <w:rsid w:val="00A76FCC"/>
    <w:rsid w:val="00A83BE9"/>
    <w:rsid w:val="00A85B26"/>
    <w:rsid w:val="00A9002B"/>
    <w:rsid w:val="00A91610"/>
    <w:rsid w:val="00A921A4"/>
    <w:rsid w:val="00A93A4F"/>
    <w:rsid w:val="00A94556"/>
    <w:rsid w:val="00A9479F"/>
    <w:rsid w:val="00A96F29"/>
    <w:rsid w:val="00AA148B"/>
    <w:rsid w:val="00AA307B"/>
    <w:rsid w:val="00AA5F15"/>
    <w:rsid w:val="00AA7638"/>
    <w:rsid w:val="00AB35F1"/>
    <w:rsid w:val="00AB4360"/>
    <w:rsid w:val="00AB7CDA"/>
    <w:rsid w:val="00AC3452"/>
    <w:rsid w:val="00AC3691"/>
    <w:rsid w:val="00AC3CAC"/>
    <w:rsid w:val="00AC503A"/>
    <w:rsid w:val="00AC63C9"/>
    <w:rsid w:val="00AD3478"/>
    <w:rsid w:val="00AD7D7F"/>
    <w:rsid w:val="00AE72FC"/>
    <w:rsid w:val="00AF326E"/>
    <w:rsid w:val="00AF4234"/>
    <w:rsid w:val="00AF46C2"/>
    <w:rsid w:val="00AF4CDD"/>
    <w:rsid w:val="00AF7646"/>
    <w:rsid w:val="00AF7A3F"/>
    <w:rsid w:val="00B01CFD"/>
    <w:rsid w:val="00B025E1"/>
    <w:rsid w:val="00B02ABC"/>
    <w:rsid w:val="00B04157"/>
    <w:rsid w:val="00B053D4"/>
    <w:rsid w:val="00B05CB1"/>
    <w:rsid w:val="00B103EE"/>
    <w:rsid w:val="00B167D5"/>
    <w:rsid w:val="00B20E20"/>
    <w:rsid w:val="00B23B32"/>
    <w:rsid w:val="00B23B44"/>
    <w:rsid w:val="00B27595"/>
    <w:rsid w:val="00B4133D"/>
    <w:rsid w:val="00B462ED"/>
    <w:rsid w:val="00B63859"/>
    <w:rsid w:val="00B63D77"/>
    <w:rsid w:val="00B720CE"/>
    <w:rsid w:val="00B73FAC"/>
    <w:rsid w:val="00B901FA"/>
    <w:rsid w:val="00B9068D"/>
    <w:rsid w:val="00B909C7"/>
    <w:rsid w:val="00B90A2E"/>
    <w:rsid w:val="00B93B4A"/>
    <w:rsid w:val="00B9421D"/>
    <w:rsid w:val="00B974C7"/>
    <w:rsid w:val="00BB05E1"/>
    <w:rsid w:val="00BB39E7"/>
    <w:rsid w:val="00BC1483"/>
    <w:rsid w:val="00BC24F7"/>
    <w:rsid w:val="00BC4C77"/>
    <w:rsid w:val="00BC616F"/>
    <w:rsid w:val="00BC6BAE"/>
    <w:rsid w:val="00BD0F5D"/>
    <w:rsid w:val="00BD3070"/>
    <w:rsid w:val="00BD6224"/>
    <w:rsid w:val="00BE1B87"/>
    <w:rsid w:val="00BE2CC1"/>
    <w:rsid w:val="00BE56A5"/>
    <w:rsid w:val="00BF743A"/>
    <w:rsid w:val="00C0068C"/>
    <w:rsid w:val="00C0261B"/>
    <w:rsid w:val="00C02F5F"/>
    <w:rsid w:val="00C051CC"/>
    <w:rsid w:val="00C05667"/>
    <w:rsid w:val="00C069D3"/>
    <w:rsid w:val="00C06C9E"/>
    <w:rsid w:val="00C104C9"/>
    <w:rsid w:val="00C14AFF"/>
    <w:rsid w:val="00C15454"/>
    <w:rsid w:val="00C1594F"/>
    <w:rsid w:val="00C17025"/>
    <w:rsid w:val="00C20BC7"/>
    <w:rsid w:val="00C24F05"/>
    <w:rsid w:val="00C273C8"/>
    <w:rsid w:val="00C27ADB"/>
    <w:rsid w:val="00C324EC"/>
    <w:rsid w:val="00C343AD"/>
    <w:rsid w:val="00C343D0"/>
    <w:rsid w:val="00C352E1"/>
    <w:rsid w:val="00C414D8"/>
    <w:rsid w:val="00C45868"/>
    <w:rsid w:val="00C47B49"/>
    <w:rsid w:val="00C52255"/>
    <w:rsid w:val="00C52DE4"/>
    <w:rsid w:val="00C57659"/>
    <w:rsid w:val="00C5768C"/>
    <w:rsid w:val="00C57F34"/>
    <w:rsid w:val="00C60277"/>
    <w:rsid w:val="00C605BE"/>
    <w:rsid w:val="00C62875"/>
    <w:rsid w:val="00C6430E"/>
    <w:rsid w:val="00C71873"/>
    <w:rsid w:val="00C73B3D"/>
    <w:rsid w:val="00C75354"/>
    <w:rsid w:val="00C75789"/>
    <w:rsid w:val="00C76CA9"/>
    <w:rsid w:val="00C83ECF"/>
    <w:rsid w:val="00C8463B"/>
    <w:rsid w:val="00C8682E"/>
    <w:rsid w:val="00C95ABB"/>
    <w:rsid w:val="00C96C54"/>
    <w:rsid w:val="00CA67A6"/>
    <w:rsid w:val="00CB2476"/>
    <w:rsid w:val="00CB2C78"/>
    <w:rsid w:val="00CC0625"/>
    <w:rsid w:val="00CC209F"/>
    <w:rsid w:val="00CC298A"/>
    <w:rsid w:val="00CC5891"/>
    <w:rsid w:val="00CD059D"/>
    <w:rsid w:val="00CD6145"/>
    <w:rsid w:val="00CD7179"/>
    <w:rsid w:val="00CD76A6"/>
    <w:rsid w:val="00CE1EA3"/>
    <w:rsid w:val="00CE5428"/>
    <w:rsid w:val="00CE5EC1"/>
    <w:rsid w:val="00CE6C07"/>
    <w:rsid w:val="00CF0B87"/>
    <w:rsid w:val="00CF230A"/>
    <w:rsid w:val="00CF3AA7"/>
    <w:rsid w:val="00CF77E0"/>
    <w:rsid w:val="00D00BB8"/>
    <w:rsid w:val="00D01187"/>
    <w:rsid w:val="00D0289B"/>
    <w:rsid w:val="00D049B2"/>
    <w:rsid w:val="00D05848"/>
    <w:rsid w:val="00D067D9"/>
    <w:rsid w:val="00D136BC"/>
    <w:rsid w:val="00D13CD4"/>
    <w:rsid w:val="00D32B1D"/>
    <w:rsid w:val="00D355E6"/>
    <w:rsid w:val="00D35C05"/>
    <w:rsid w:val="00D374E5"/>
    <w:rsid w:val="00D37E10"/>
    <w:rsid w:val="00D4664D"/>
    <w:rsid w:val="00D46695"/>
    <w:rsid w:val="00D60F23"/>
    <w:rsid w:val="00D6667E"/>
    <w:rsid w:val="00D7162C"/>
    <w:rsid w:val="00D733A7"/>
    <w:rsid w:val="00D749AE"/>
    <w:rsid w:val="00D7628A"/>
    <w:rsid w:val="00D77C68"/>
    <w:rsid w:val="00D82CA9"/>
    <w:rsid w:val="00D85D36"/>
    <w:rsid w:val="00D8792C"/>
    <w:rsid w:val="00D9254A"/>
    <w:rsid w:val="00D935EA"/>
    <w:rsid w:val="00DA2E28"/>
    <w:rsid w:val="00DA34A2"/>
    <w:rsid w:val="00DA6032"/>
    <w:rsid w:val="00DA7CF4"/>
    <w:rsid w:val="00DB2CED"/>
    <w:rsid w:val="00DB3FFE"/>
    <w:rsid w:val="00DC033C"/>
    <w:rsid w:val="00DC1E03"/>
    <w:rsid w:val="00DC6F07"/>
    <w:rsid w:val="00DC7675"/>
    <w:rsid w:val="00DD5242"/>
    <w:rsid w:val="00DD7D8F"/>
    <w:rsid w:val="00DE1018"/>
    <w:rsid w:val="00DE2426"/>
    <w:rsid w:val="00DE2F6A"/>
    <w:rsid w:val="00DE5C19"/>
    <w:rsid w:val="00DE61CC"/>
    <w:rsid w:val="00DE6C6D"/>
    <w:rsid w:val="00DF0C69"/>
    <w:rsid w:val="00DF5878"/>
    <w:rsid w:val="00E042CB"/>
    <w:rsid w:val="00E043E2"/>
    <w:rsid w:val="00E04417"/>
    <w:rsid w:val="00E050DE"/>
    <w:rsid w:val="00E06A0C"/>
    <w:rsid w:val="00E108A5"/>
    <w:rsid w:val="00E10CB6"/>
    <w:rsid w:val="00E12DF3"/>
    <w:rsid w:val="00E12FD9"/>
    <w:rsid w:val="00E15F4E"/>
    <w:rsid w:val="00E17464"/>
    <w:rsid w:val="00E23ABC"/>
    <w:rsid w:val="00E25474"/>
    <w:rsid w:val="00E34E11"/>
    <w:rsid w:val="00E361D8"/>
    <w:rsid w:val="00E36EAC"/>
    <w:rsid w:val="00E41B95"/>
    <w:rsid w:val="00E471B1"/>
    <w:rsid w:val="00E5488D"/>
    <w:rsid w:val="00E55F85"/>
    <w:rsid w:val="00E56C79"/>
    <w:rsid w:val="00E6163C"/>
    <w:rsid w:val="00E64C44"/>
    <w:rsid w:val="00E662DB"/>
    <w:rsid w:val="00E70ECF"/>
    <w:rsid w:val="00E738ED"/>
    <w:rsid w:val="00E73AF4"/>
    <w:rsid w:val="00E73BC7"/>
    <w:rsid w:val="00E748C5"/>
    <w:rsid w:val="00E7792B"/>
    <w:rsid w:val="00E77D7B"/>
    <w:rsid w:val="00E80D63"/>
    <w:rsid w:val="00E81FFE"/>
    <w:rsid w:val="00E849B6"/>
    <w:rsid w:val="00E90E60"/>
    <w:rsid w:val="00EA1ACB"/>
    <w:rsid w:val="00EA3FEA"/>
    <w:rsid w:val="00EA7F86"/>
    <w:rsid w:val="00EB6A3B"/>
    <w:rsid w:val="00EB7C99"/>
    <w:rsid w:val="00EC02DE"/>
    <w:rsid w:val="00EC101E"/>
    <w:rsid w:val="00EC3D8C"/>
    <w:rsid w:val="00EC5226"/>
    <w:rsid w:val="00ED59FF"/>
    <w:rsid w:val="00ED5DED"/>
    <w:rsid w:val="00ED77B2"/>
    <w:rsid w:val="00ED7AA1"/>
    <w:rsid w:val="00EE30AB"/>
    <w:rsid w:val="00EE4723"/>
    <w:rsid w:val="00EE4B60"/>
    <w:rsid w:val="00EE7B8D"/>
    <w:rsid w:val="00EF0907"/>
    <w:rsid w:val="00EF1597"/>
    <w:rsid w:val="00EF1E22"/>
    <w:rsid w:val="00EF1EF4"/>
    <w:rsid w:val="00F02807"/>
    <w:rsid w:val="00F04601"/>
    <w:rsid w:val="00F066D1"/>
    <w:rsid w:val="00F06C70"/>
    <w:rsid w:val="00F11420"/>
    <w:rsid w:val="00F1293E"/>
    <w:rsid w:val="00F216F2"/>
    <w:rsid w:val="00F245A3"/>
    <w:rsid w:val="00F2557B"/>
    <w:rsid w:val="00F260F5"/>
    <w:rsid w:val="00F30A99"/>
    <w:rsid w:val="00F35C2B"/>
    <w:rsid w:val="00F37D44"/>
    <w:rsid w:val="00F410A2"/>
    <w:rsid w:val="00F5197F"/>
    <w:rsid w:val="00F56832"/>
    <w:rsid w:val="00F56FE9"/>
    <w:rsid w:val="00F61D48"/>
    <w:rsid w:val="00F62EEC"/>
    <w:rsid w:val="00F71B11"/>
    <w:rsid w:val="00F73A0D"/>
    <w:rsid w:val="00F7439E"/>
    <w:rsid w:val="00F77244"/>
    <w:rsid w:val="00F848DD"/>
    <w:rsid w:val="00F84A86"/>
    <w:rsid w:val="00F84C34"/>
    <w:rsid w:val="00F84CCE"/>
    <w:rsid w:val="00F867D6"/>
    <w:rsid w:val="00F93867"/>
    <w:rsid w:val="00F95DD4"/>
    <w:rsid w:val="00FA06C4"/>
    <w:rsid w:val="00FA09CA"/>
    <w:rsid w:val="00FA2585"/>
    <w:rsid w:val="00FA2709"/>
    <w:rsid w:val="00FB2781"/>
    <w:rsid w:val="00FB383E"/>
    <w:rsid w:val="00FB6CB2"/>
    <w:rsid w:val="00FB6F58"/>
    <w:rsid w:val="00FC42B6"/>
    <w:rsid w:val="00FC5CC3"/>
    <w:rsid w:val="00FD27A4"/>
    <w:rsid w:val="00FD2D90"/>
    <w:rsid w:val="00FE1C76"/>
    <w:rsid w:val="00FE2C9D"/>
    <w:rsid w:val="00FE6BEA"/>
    <w:rsid w:val="00FF0C7C"/>
    <w:rsid w:val="00FF1CE1"/>
    <w:rsid w:val="00FF4893"/>
    <w:rsid w:val="00FF48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3D48"/>
  <w15:chartTrackingRefBased/>
  <w15:docId w15:val="{34C3D77B-0838-430E-A0CD-D317D750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53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79C7"/>
    <w:pPr>
      <w:keepNext/>
      <w:keepLines/>
      <w:spacing w:before="200" w:after="200"/>
      <w:jc w:val="both"/>
      <w:outlineLvl w:val="1"/>
    </w:pPr>
    <w:rPr>
      <w:rFonts w:ascii="Arial" w:eastAsiaTheme="majorEastAsia" w:hAnsi="Arial" w:cstheme="majorBidi"/>
      <w:b/>
      <w:color w:val="004676"/>
      <w:sz w:val="22"/>
      <w:szCs w:val="26"/>
      <w:lang w:val="en-GB"/>
    </w:rPr>
  </w:style>
  <w:style w:type="paragraph" w:styleId="Heading4">
    <w:name w:val="heading 4"/>
    <w:basedOn w:val="Normal"/>
    <w:next w:val="Normal"/>
    <w:link w:val="Heading4Char"/>
    <w:uiPriority w:val="9"/>
    <w:semiHidden/>
    <w:unhideWhenUsed/>
    <w:qFormat/>
    <w:rsid w:val="002600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7306"/>
    <w:pPr>
      <w:tabs>
        <w:tab w:val="center" w:pos="4536"/>
        <w:tab w:val="right" w:pos="9072"/>
      </w:tabs>
    </w:pPr>
  </w:style>
  <w:style w:type="character" w:customStyle="1" w:styleId="HeaderChar">
    <w:name w:val="Header Char"/>
    <w:basedOn w:val="DefaultParagraphFont"/>
    <w:link w:val="Header"/>
    <w:rsid w:val="00A07306"/>
  </w:style>
  <w:style w:type="paragraph" w:styleId="Footer">
    <w:name w:val="footer"/>
    <w:basedOn w:val="Normal"/>
    <w:link w:val="FooterChar"/>
    <w:unhideWhenUsed/>
    <w:rsid w:val="00A07306"/>
    <w:pPr>
      <w:tabs>
        <w:tab w:val="center" w:pos="4536"/>
        <w:tab w:val="right" w:pos="9072"/>
      </w:tabs>
    </w:pPr>
  </w:style>
  <w:style w:type="character" w:customStyle="1" w:styleId="FooterChar">
    <w:name w:val="Footer Char"/>
    <w:basedOn w:val="DefaultParagraphFont"/>
    <w:link w:val="Footer"/>
    <w:rsid w:val="00A07306"/>
  </w:style>
  <w:style w:type="character" w:styleId="Hyperlink">
    <w:name w:val="Hyperlink"/>
    <w:rsid w:val="00C0068C"/>
    <w:rPr>
      <w:color w:val="0000FF"/>
      <w:u w:val="single"/>
    </w:rPr>
  </w:style>
  <w:style w:type="paragraph" w:styleId="ListParagraph">
    <w:name w:val="List Paragraph"/>
    <w:basedOn w:val="Normal"/>
    <w:link w:val="ListParagraphChar"/>
    <w:uiPriority w:val="34"/>
    <w:qFormat/>
    <w:rsid w:val="00C0068C"/>
    <w:pPr>
      <w:ind w:left="720"/>
      <w:contextualSpacing/>
    </w:pPr>
  </w:style>
  <w:style w:type="character" w:customStyle="1" w:styleId="ListParagraphChar">
    <w:name w:val="List Paragraph Char"/>
    <w:basedOn w:val="DefaultParagraphFont"/>
    <w:link w:val="ListParagraph"/>
    <w:uiPriority w:val="34"/>
    <w:locked/>
    <w:rsid w:val="00C0068C"/>
    <w:rPr>
      <w:rFonts w:ascii="Times New Roman" w:eastAsia="Times New Roman" w:hAnsi="Times New Roman" w:cs="Times New Roman"/>
      <w:sz w:val="24"/>
      <w:szCs w:val="24"/>
    </w:rPr>
  </w:style>
  <w:style w:type="paragraph" w:styleId="NoSpacing">
    <w:name w:val="No Spacing"/>
    <w:aliases w:val="Normal_FR"/>
    <w:uiPriority w:val="1"/>
    <w:qFormat/>
    <w:rsid w:val="00C0068C"/>
    <w:pPr>
      <w:spacing w:before="120" w:after="120" w:line="240" w:lineRule="auto"/>
      <w:jc w:val="both"/>
    </w:pPr>
    <w:rPr>
      <w:rFonts w:ascii="Arial" w:hAnsi="Arial"/>
      <w:sz w:val="18"/>
      <w:szCs w:val="24"/>
      <w:lang w:val="en-GB"/>
    </w:rPr>
  </w:style>
  <w:style w:type="paragraph" w:styleId="BalloonText">
    <w:name w:val="Balloon Text"/>
    <w:basedOn w:val="Normal"/>
    <w:link w:val="BalloonTextChar"/>
    <w:uiPriority w:val="99"/>
    <w:semiHidden/>
    <w:unhideWhenUsed/>
    <w:rsid w:val="00C00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68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139DA"/>
    <w:rPr>
      <w:sz w:val="16"/>
      <w:szCs w:val="16"/>
    </w:rPr>
  </w:style>
  <w:style w:type="paragraph" w:styleId="CommentText">
    <w:name w:val="annotation text"/>
    <w:basedOn w:val="Normal"/>
    <w:link w:val="CommentTextChar"/>
    <w:uiPriority w:val="99"/>
    <w:unhideWhenUsed/>
    <w:rsid w:val="003139DA"/>
    <w:rPr>
      <w:sz w:val="20"/>
      <w:szCs w:val="20"/>
    </w:rPr>
  </w:style>
  <w:style w:type="character" w:customStyle="1" w:styleId="CommentTextChar">
    <w:name w:val="Comment Text Char"/>
    <w:basedOn w:val="DefaultParagraphFont"/>
    <w:link w:val="CommentText"/>
    <w:uiPriority w:val="99"/>
    <w:rsid w:val="003139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39DA"/>
    <w:rPr>
      <w:b/>
      <w:bCs/>
    </w:rPr>
  </w:style>
  <w:style w:type="character" w:customStyle="1" w:styleId="CommentSubjectChar">
    <w:name w:val="Comment Subject Char"/>
    <w:basedOn w:val="CommentTextChar"/>
    <w:link w:val="CommentSubject"/>
    <w:uiPriority w:val="99"/>
    <w:semiHidden/>
    <w:rsid w:val="003139D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579C7"/>
    <w:rPr>
      <w:rFonts w:ascii="Arial" w:eastAsiaTheme="majorEastAsia" w:hAnsi="Arial" w:cstheme="majorBidi"/>
      <w:b/>
      <w:color w:val="004676"/>
      <w:szCs w:val="26"/>
      <w:lang w:val="en-GB"/>
    </w:rPr>
  </w:style>
  <w:style w:type="paragraph" w:styleId="PlainText">
    <w:name w:val="Plain Text"/>
    <w:basedOn w:val="Normal"/>
    <w:link w:val="PlainTextChar"/>
    <w:uiPriority w:val="99"/>
    <w:semiHidden/>
    <w:unhideWhenUsed/>
    <w:rsid w:val="000038F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038FF"/>
    <w:rPr>
      <w:rFonts w:ascii="Calibri" w:hAnsi="Calibri"/>
      <w:szCs w:val="21"/>
    </w:rPr>
  </w:style>
  <w:style w:type="character" w:customStyle="1" w:styleId="Heading4Char">
    <w:name w:val="Heading 4 Char"/>
    <w:basedOn w:val="DefaultParagraphFont"/>
    <w:link w:val="Heading4"/>
    <w:uiPriority w:val="9"/>
    <w:semiHidden/>
    <w:rsid w:val="00260049"/>
    <w:rPr>
      <w:rFonts w:asciiTheme="majorHAnsi" w:eastAsiaTheme="majorEastAsia" w:hAnsiTheme="majorHAnsi" w:cstheme="majorBidi"/>
      <w:i/>
      <w:iCs/>
      <w:color w:val="2F5496" w:themeColor="accent1" w:themeShade="BF"/>
      <w:sz w:val="24"/>
      <w:szCs w:val="24"/>
    </w:rPr>
  </w:style>
  <w:style w:type="paragraph" w:styleId="Revision">
    <w:name w:val="Revision"/>
    <w:hidden/>
    <w:uiPriority w:val="99"/>
    <w:semiHidden/>
    <w:rsid w:val="00306F07"/>
    <w:pPr>
      <w:spacing w:after="0" w:line="240" w:lineRule="auto"/>
    </w:pPr>
    <w:rPr>
      <w:rFonts w:ascii="Times New Roman" w:eastAsia="Times New Roman" w:hAnsi="Times New Roman" w:cs="Times New Roman"/>
      <w:sz w:val="24"/>
      <w:szCs w:val="24"/>
    </w:rPr>
  </w:style>
  <w:style w:type="paragraph" w:customStyle="1" w:styleId="Default">
    <w:name w:val="Default"/>
    <w:rsid w:val="000E409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11992"/>
    <w:rPr>
      <w:color w:val="605E5C"/>
      <w:shd w:val="clear" w:color="auto" w:fill="E1DFDD"/>
    </w:rPr>
  </w:style>
  <w:style w:type="character" w:customStyle="1" w:styleId="Heading1Char">
    <w:name w:val="Heading 1 Char"/>
    <w:basedOn w:val="DefaultParagraphFont"/>
    <w:link w:val="Heading1"/>
    <w:uiPriority w:val="9"/>
    <w:rsid w:val="00945394"/>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910D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587">
      <w:bodyDiv w:val="1"/>
      <w:marLeft w:val="0"/>
      <w:marRight w:val="0"/>
      <w:marTop w:val="0"/>
      <w:marBottom w:val="0"/>
      <w:divBdr>
        <w:top w:val="none" w:sz="0" w:space="0" w:color="auto"/>
        <w:left w:val="none" w:sz="0" w:space="0" w:color="auto"/>
        <w:bottom w:val="none" w:sz="0" w:space="0" w:color="auto"/>
        <w:right w:val="none" w:sz="0" w:space="0" w:color="auto"/>
      </w:divBdr>
    </w:div>
    <w:div w:id="86081511">
      <w:bodyDiv w:val="1"/>
      <w:marLeft w:val="0"/>
      <w:marRight w:val="0"/>
      <w:marTop w:val="0"/>
      <w:marBottom w:val="0"/>
      <w:divBdr>
        <w:top w:val="none" w:sz="0" w:space="0" w:color="auto"/>
        <w:left w:val="none" w:sz="0" w:space="0" w:color="auto"/>
        <w:bottom w:val="none" w:sz="0" w:space="0" w:color="auto"/>
        <w:right w:val="none" w:sz="0" w:space="0" w:color="auto"/>
      </w:divBdr>
    </w:div>
    <w:div w:id="149103303">
      <w:bodyDiv w:val="1"/>
      <w:marLeft w:val="0"/>
      <w:marRight w:val="0"/>
      <w:marTop w:val="0"/>
      <w:marBottom w:val="0"/>
      <w:divBdr>
        <w:top w:val="none" w:sz="0" w:space="0" w:color="auto"/>
        <w:left w:val="none" w:sz="0" w:space="0" w:color="auto"/>
        <w:bottom w:val="none" w:sz="0" w:space="0" w:color="auto"/>
        <w:right w:val="none" w:sz="0" w:space="0" w:color="auto"/>
      </w:divBdr>
    </w:div>
    <w:div w:id="316959264">
      <w:bodyDiv w:val="1"/>
      <w:marLeft w:val="0"/>
      <w:marRight w:val="0"/>
      <w:marTop w:val="0"/>
      <w:marBottom w:val="0"/>
      <w:divBdr>
        <w:top w:val="none" w:sz="0" w:space="0" w:color="auto"/>
        <w:left w:val="none" w:sz="0" w:space="0" w:color="auto"/>
        <w:bottom w:val="none" w:sz="0" w:space="0" w:color="auto"/>
        <w:right w:val="none" w:sz="0" w:space="0" w:color="auto"/>
      </w:divBdr>
      <w:divsChild>
        <w:div w:id="571358559">
          <w:marLeft w:val="0"/>
          <w:marRight w:val="0"/>
          <w:marTop w:val="0"/>
          <w:marBottom w:val="0"/>
          <w:divBdr>
            <w:top w:val="none" w:sz="0" w:space="0" w:color="auto"/>
            <w:left w:val="none" w:sz="0" w:space="0" w:color="auto"/>
            <w:bottom w:val="none" w:sz="0" w:space="0" w:color="auto"/>
            <w:right w:val="none" w:sz="0" w:space="0" w:color="auto"/>
          </w:divBdr>
          <w:divsChild>
            <w:div w:id="1093624166">
              <w:marLeft w:val="0"/>
              <w:marRight w:val="0"/>
              <w:marTop w:val="0"/>
              <w:marBottom w:val="0"/>
              <w:divBdr>
                <w:top w:val="none" w:sz="0" w:space="0" w:color="auto"/>
                <w:left w:val="none" w:sz="0" w:space="0" w:color="auto"/>
                <w:bottom w:val="none" w:sz="0" w:space="0" w:color="auto"/>
                <w:right w:val="none" w:sz="0" w:space="0" w:color="auto"/>
              </w:divBdr>
              <w:divsChild>
                <w:div w:id="1892501631">
                  <w:marLeft w:val="0"/>
                  <w:marRight w:val="0"/>
                  <w:marTop w:val="0"/>
                  <w:marBottom w:val="0"/>
                  <w:divBdr>
                    <w:top w:val="none" w:sz="0" w:space="0" w:color="auto"/>
                    <w:left w:val="none" w:sz="0" w:space="0" w:color="auto"/>
                    <w:bottom w:val="none" w:sz="0" w:space="0" w:color="auto"/>
                    <w:right w:val="none" w:sz="0" w:space="0" w:color="auto"/>
                  </w:divBdr>
                  <w:divsChild>
                    <w:div w:id="147285342">
                      <w:marLeft w:val="0"/>
                      <w:marRight w:val="0"/>
                      <w:marTop w:val="0"/>
                      <w:marBottom w:val="0"/>
                      <w:divBdr>
                        <w:top w:val="none" w:sz="0" w:space="0" w:color="auto"/>
                        <w:left w:val="none" w:sz="0" w:space="0" w:color="auto"/>
                        <w:bottom w:val="none" w:sz="0" w:space="0" w:color="auto"/>
                        <w:right w:val="none" w:sz="0" w:space="0" w:color="auto"/>
                      </w:divBdr>
                      <w:divsChild>
                        <w:div w:id="2068525123">
                          <w:marLeft w:val="0"/>
                          <w:marRight w:val="0"/>
                          <w:marTop w:val="0"/>
                          <w:marBottom w:val="0"/>
                          <w:divBdr>
                            <w:top w:val="none" w:sz="0" w:space="0" w:color="auto"/>
                            <w:left w:val="none" w:sz="0" w:space="0" w:color="auto"/>
                            <w:bottom w:val="none" w:sz="0" w:space="0" w:color="auto"/>
                            <w:right w:val="none" w:sz="0" w:space="0" w:color="auto"/>
                          </w:divBdr>
                          <w:divsChild>
                            <w:div w:id="863981967">
                              <w:marLeft w:val="0"/>
                              <w:marRight w:val="0"/>
                              <w:marTop w:val="0"/>
                              <w:marBottom w:val="0"/>
                              <w:divBdr>
                                <w:top w:val="none" w:sz="0" w:space="0" w:color="auto"/>
                                <w:left w:val="none" w:sz="0" w:space="0" w:color="auto"/>
                                <w:bottom w:val="none" w:sz="0" w:space="0" w:color="auto"/>
                                <w:right w:val="none" w:sz="0" w:space="0" w:color="auto"/>
                              </w:divBdr>
                              <w:divsChild>
                                <w:div w:id="736443497">
                                  <w:marLeft w:val="0"/>
                                  <w:marRight w:val="0"/>
                                  <w:marTop w:val="0"/>
                                  <w:marBottom w:val="0"/>
                                  <w:divBdr>
                                    <w:top w:val="none" w:sz="0" w:space="0" w:color="auto"/>
                                    <w:left w:val="none" w:sz="0" w:space="0" w:color="auto"/>
                                    <w:bottom w:val="none" w:sz="0" w:space="0" w:color="auto"/>
                                    <w:right w:val="none" w:sz="0" w:space="0" w:color="auto"/>
                                  </w:divBdr>
                                  <w:divsChild>
                                    <w:div w:id="305209166">
                                      <w:marLeft w:val="0"/>
                                      <w:marRight w:val="0"/>
                                      <w:marTop w:val="0"/>
                                      <w:marBottom w:val="0"/>
                                      <w:divBdr>
                                        <w:top w:val="none" w:sz="0" w:space="0" w:color="auto"/>
                                        <w:left w:val="none" w:sz="0" w:space="0" w:color="auto"/>
                                        <w:bottom w:val="none" w:sz="0" w:space="0" w:color="auto"/>
                                        <w:right w:val="none" w:sz="0" w:space="0" w:color="auto"/>
                                      </w:divBdr>
                                    </w:div>
                                    <w:div w:id="706688248">
                                      <w:marLeft w:val="0"/>
                                      <w:marRight w:val="0"/>
                                      <w:marTop w:val="0"/>
                                      <w:marBottom w:val="0"/>
                                      <w:divBdr>
                                        <w:top w:val="none" w:sz="0" w:space="0" w:color="auto"/>
                                        <w:left w:val="none" w:sz="0" w:space="0" w:color="auto"/>
                                        <w:bottom w:val="none" w:sz="0" w:space="0" w:color="auto"/>
                                        <w:right w:val="none" w:sz="0" w:space="0" w:color="auto"/>
                                      </w:divBdr>
                                      <w:divsChild>
                                        <w:div w:id="1359965840">
                                          <w:marLeft w:val="0"/>
                                          <w:marRight w:val="165"/>
                                          <w:marTop w:val="150"/>
                                          <w:marBottom w:val="0"/>
                                          <w:divBdr>
                                            <w:top w:val="none" w:sz="0" w:space="0" w:color="auto"/>
                                            <w:left w:val="none" w:sz="0" w:space="0" w:color="auto"/>
                                            <w:bottom w:val="none" w:sz="0" w:space="0" w:color="auto"/>
                                            <w:right w:val="none" w:sz="0" w:space="0" w:color="auto"/>
                                          </w:divBdr>
                                          <w:divsChild>
                                            <w:div w:id="671686180">
                                              <w:marLeft w:val="0"/>
                                              <w:marRight w:val="0"/>
                                              <w:marTop w:val="0"/>
                                              <w:marBottom w:val="0"/>
                                              <w:divBdr>
                                                <w:top w:val="none" w:sz="0" w:space="0" w:color="auto"/>
                                                <w:left w:val="none" w:sz="0" w:space="0" w:color="auto"/>
                                                <w:bottom w:val="none" w:sz="0" w:space="0" w:color="auto"/>
                                                <w:right w:val="none" w:sz="0" w:space="0" w:color="auto"/>
                                              </w:divBdr>
                                              <w:divsChild>
                                                <w:div w:id="19113116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505722">
      <w:bodyDiv w:val="1"/>
      <w:marLeft w:val="0"/>
      <w:marRight w:val="0"/>
      <w:marTop w:val="0"/>
      <w:marBottom w:val="0"/>
      <w:divBdr>
        <w:top w:val="none" w:sz="0" w:space="0" w:color="auto"/>
        <w:left w:val="none" w:sz="0" w:space="0" w:color="auto"/>
        <w:bottom w:val="none" w:sz="0" w:space="0" w:color="auto"/>
        <w:right w:val="none" w:sz="0" w:space="0" w:color="auto"/>
      </w:divBdr>
    </w:div>
    <w:div w:id="933055737">
      <w:bodyDiv w:val="1"/>
      <w:marLeft w:val="0"/>
      <w:marRight w:val="0"/>
      <w:marTop w:val="0"/>
      <w:marBottom w:val="0"/>
      <w:divBdr>
        <w:top w:val="none" w:sz="0" w:space="0" w:color="auto"/>
        <w:left w:val="none" w:sz="0" w:space="0" w:color="auto"/>
        <w:bottom w:val="none" w:sz="0" w:space="0" w:color="auto"/>
        <w:right w:val="none" w:sz="0" w:space="0" w:color="auto"/>
      </w:divBdr>
    </w:div>
    <w:div w:id="1065110495">
      <w:bodyDiv w:val="1"/>
      <w:marLeft w:val="0"/>
      <w:marRight w:val="0"/>
      <w:marTop w:val="0"/>
      <w:marBottom w:val="0"/>
      <w:divBdr>
        <w:top w:val="none" w:sz="0" w:space="0" w:color="auto"/>
        <w:left w:val="none" w:sz="0" w:space="0" w:color="auto"/>
        <w:bottom w:val="none" w:sz="0" w:space="0" w:color="auto"/>
        <w:right w:val="none" w:sz="0" w:space="0" w:color="auto"/>
      </w:divBdr>
    </w:div>
    <w:div w:id="1101803558">
      <w:bodyDiv w:val="1"/>
      <w:marLeft w:val="0"/>
      <w:marRight w:val="0"/>
      <w:marTop w:val="0"/>
      <w:marBottom w:val="0"/>
      <w:divBdr>
        <w:top w:val="none" w:sz="0" w:space="0" w:color="auto"/>
        <w:left w:val="none" w:sz="0" w:space="0" w:color="auto"/>
        <w:bottom w:val="none" w:sz="0" w:space="0" w:color="auto"/>
        <w:right w:val="none" w:sz="0" w:space="0" w:color="auto"/>
      </w:divBdr>
    </w:div>
    <w:div w:id="1293947813">
      <w:bodyDiv w:val="1"/>
      <w:marLeft w:val="0"/>
      <w:marRight w:val="0"/>
      <w:marTop w:val="0"/>
      <w:marBottom w:val="0"/>
      <w:divBdr>
        <w:top w:val="none" w:sz="0" w:space="0" w:color="auto"/>
        <w:left w:val="none" w:sz="0" w:space="0" w:color="auto"/>
        <w:bottom w:val="none" w:sz="0" w:space="0" w:color="auto"/>
        <w:right w:val="none" w:sz="0" w:space="0" w:color="auto"/>
      </w:divBdr>
    </w:div>
    <w:div w:id="1401706184">
      <w:bodyDiv w:val="1"/>
      <w:marLeft w:val="0"/>
      <w:marRight w:val="0"/>
      <w:marTop w:val="0"/>
      <w:marBottom w:val="0"/>
      <w:divBdr>
        <w:top w:val="none" w:sz="0" w:space="0" w:color="auto"/>
        <w:left w:val="none" w:sz="0" w:space="0" w:color="auto"/>
        <w:bottom w:val="none" w:sz="0" w:space="0" w:color="auto"/>
        <w:right w:val="none" w:sz="0" w:space="0" w:color="auto"/>
      </w:divBdr>
    </w:div>
    <w:div w:id="1513059165">
      <w:bodyDiv w:val="1"/>
      <w:marLeft w:val="0"/>
      <w:marRight w:val="0"/>
      <w:marTop w:val="0"/>
      <w:marBottom w:val="0"/>
      <w:divBdr>
        <w:top w:val="none" w:sz="0" w:space="0" w:color="auto"/>
        <w:left w:val="none" w:sz="0" w:space="0" w:color="auto"/>
        <w:bottom w:val="none" w:sz="0" w:space="0" w:color="auto"/>
        <w:right w:val="none" w:sz="0" w:space="0" w:color="auto"/>
      </w:divBdr>
    </w:div>
    <w:div w:id="1710953145">
      <w:bodyDiv w:val="1"/>
      <w:marLeft w:val="0"/>
      <w:marRight w:val="0"/>
      <w:marTop w:val="0"/>
      <w:marBottom w:val="0"/>
      <w:divBdr>
        <w:top w:val="none" w:sz="0" w:space="0" w:color="auto"/>
        <w:left w:val="none" w:sz="0" w:space="0" w:color="auto"/>
        <w:bottom w:val="none" w:sz="0" w:space="0" w:color="auto"/>
        <w:right w:val="none" w:sz="0" w:space="0" w:color="auto"/>
      </w:divBdr>
    </w:div>
    <w:div w:id="19042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a.hr" TargetMode="Externa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hr"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s://www.ina.hr/en/press-cente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ina.obavijesti@gmail.com" TargetMode="Externa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2FDB-8E9C-4EB2-B42B-0CC4F201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Đolo Sandra</dc:creator>
  <cp:keywords/>
  <dc:description/>
  <cp:lastModifiedBy>Šakić Nataša (INA d.d.)</cp:lastModifiedBy>
  <cp:revision>15</cp:revision>
  <cp:lastPrinted>2023-02-15T14:13:00Z</cp:lastPrinted>
  <dcterms:created xsi:type="dcterms:W3CDTF">2023-07-25T06:54:00Z</dcterms:created>
  <dcterms:modified xsi:type="dcterms:W3CDTF">2023-07-28T11:18:00Z</dcterms:modified>
</cp:coreProperties>
</file>