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D8BE" w14:textId="50506C0B" w:rsidR="00C0068C" w:rsidRPr="00D436A1" w:rsidRDefault="00A72DAC" w:rsidP="00C0068C">
      <w:pPr>
        <w:jc w:val="both"/>
        <w:rPr>
          <w:rFonts w:asciiTheme="minorHAnsi" w:hAnsiTheme="minorHAnsi" w:cstheme="minorHAnsi"/>
        </w:rPr>
      </w:pPr>
      <w:bookmarkStart w:id="0" w:name="_Hlk101870254"/>
      <w:bookmarkEnd w:id="0"/>
      <w:r w:rsidRPr="00D436A1">
        <w:rPr>
          <w:rFonts w:asciiTheme="minorHAnsi" w:hAnsiTheme="minorHAnsi" w:cstheme="minorHAnsi"/>
        </w:rPr>
        <w:t xml:space="preserve"> </w:t>
      </w:r>
    </w:p>
    <w:p w14:paraId="4F7FB7C1" w14:textId="77777777" w:rsidR="00C0068C" w:rsidRPr="00D436A1" w:rsidRDefault="00C0068C" w:rsidP="00C0068C">
      <w:pPr>
        <w:jc w:val="both"/>
        <w:rPr>
          <w:rFonts w:asciiTheme="minorHAnsi" w:hAnsiTheme="minorHAnsi" w:cstheme="minorHAnsi"/>
        </w:rPr>
      </w:pPr>
    </w:p>
    <w:p w14:paraId="71B952EF" w14:textId="77777777" w:rsidR="00C0068C" w:rsidRPr="00D436A1" w:rsidRDefault="00C0068C" w:rsidP="00C0068C">
      <w:pPr>
        <w:jc w:val="both"/>
        <w:rPr>
          <w:rFonts w:asciiTheme="minorHAnsi" w:hAnsiTheme="minorHAnsi" w:cstheme="minorHAnsi"/>
        </w:rPr>
      </w:pPr>
    </w:p>
    <w:p w14:paraId="6DAF8346" w14:textId="77777777" w:rsidR="00C0068C" w:rsidRPr="00D436A1" w:rsidRDefault="00C0068C" w:rsidP="00C0068C">
      <w:pPr>
        <w:jc w:val="both"/>
        <w:rPr>
          <w:rFonts w:asciiTheme="minorHAnsi" w:hAnsiTheme="minorHAnsi" w:cstheme="minorHAnsi"/>
        </w:rPr>
      </w:pPr>
    </w:p>
    <w:p w14:paraId="014BF65D" w14:textId="77777777" w:rsidR="00C0068C" w:rsidRPr="00D436A1" w:rsidRDefault="00C0068C" w:rsidP="00C0068C">
      <w:pPr>
        <w:jc w:val="both"/>
        <w:rPr>
          <w:rFonts w:asciiTheme="minorHAnsi" w:hAnsiTheme="minorHAnsi" w:cstheme="minorHAnsi"/>
        </w:rPr>
      </w:pPr>
    </w:p>
    <w:p w14:paraId="5A3710D8" w14:textId="77777777" w:rsidR="00C0068C" w:rsidRPr="00D436A1" w:rsidRDefault="00C0068C" w:rsidP="00C0068C">
      <w:pPr>
        <w:jc w:val="both"/>
        <w:rPr>
          <w:rFonts w:asciiTheme="minorHAnsi" w:hAnsiTheme="minorHAnsi" w:cstheme="minorHAnsi"/>
        </w:rPr>
      </w:pPr>
    </w:p>
    <w:p w14:paraId="0D8E1E1E" w14:textId="77777777" w:rsidR="00C0068C" w:rsidRPr="00D436A1" w:rsidRDefault="00C0068C" w:rsidP="00C0068C">
      <w:pPr>
        <w:jc w:val="both"/>
        <w:rPr>
          <w:rFonts w:asciiTheme="minorHAnsi" w:hAnsiTheme="minorHAnsi" w:cstheme="minorHAnsi"/>
        </w:rPr>
      </w:pPr>
    </w:p>
    <w:p w14:paraId="20261634" w14:textId="77777777" w:rsidR="00C0068C" w:rsidRPr="00D436A1" w:rsidRDefault="00C0068C" w:rsidP="00C0068C">
      <w:pPr>
        <w:jc w:val="both"/>
        <w:rPr>
          <w:rFonts w:asciiTheme="minorHAnsi" w:hAnsiTheme="minorHAnsi" w:cstheme="minorHAnsi"/>
        </w:rPr>
      </w:pPr>
    </w:p>
    <w:p w14:paraId="702E904B" w14:textId="6C95ADD6" w:rsidR="00C0068C" w:rsidRPr="00D436A1" w:rsidRDefault="00C0068C" w:rsidP="00C0068C">
      <w:pPr>
        <w:jc w:val="center"/>
        <w:rPr>
          <w:rFonts w:asciiTheme="minorHAnsi" w:hAnsiTheme="minorHAnsi" w:cstheme="minorHAnsi"/>
          <w:sz w:val="56"/>
          <w:szCs w:val="56"/>
        </w:rPr>
      </w:pPr>
      <w:r w:rsidRPr="00D436A1">
        <w:rPr>
          <w:rFonts w:asciiTheme="minorHAnsi" w:hAnsiTheme="minorHAnsi" w:cstheme="minorHAnsi"/>
          <w:sz w:val="56"/>
          <w:szCs w:val="56"/>
        </w:rPr>
        <w:t>FINAN</w:t>
      </w:r>
      <w:r w:rsidR="000A4619" w:rsidRPr="00D436A1">
        <w:rPr>
          <w:rFonts w:asciiTheme="minorHAnsi" w:hAnsiTheme="minorHAnsi" w:cstheme="minorHAnsi"/>
          <w:sz w:val="56"/>
          <w:szCs w:val="56"/>
        </w:rPr>
        <w:t>CIJSKI REZULTATI</w:t>
      </w:r>
    </w:p>
    <w:p w14:paraId="4562916B" w14:textId="3F38DD1A" w:rsidR="00C0068C" w:rsidRPr="00D436A1" w:rsidRDefault="00C34BDC" w:rsidP="00C0068C">
      <w:pPr>
        <w:jc w:val="center"/>
        <w:rPr>
          <w:rFonts w:asciiTheme="minorHAnsi" w:hAnsiTheme="minorHAnsi" w:cstheme="minorHAnsi"/>
          <w:sz w:val="56"/>
          <w:szCs w:val="56"/>
        </w:rPr>
      </w:pPr>
      <w:r w:rsidRPr="00D436A1">
        <w:rPr>
          <w:rFonts w:asciiTheme="minorHAnsi" w:hAnsiTheme="minorHAnsi" w:cstheme="minorHAnsi"/>
          <w:sz w:val="56"/>
          <w:szCs w:val="56"/>
        </w:rPr>
        <w:t>202</w:t>
      </w:r>
      <w:r w:rsidR="00830CEF" w:rsidRPr="00D436A1">
        <w:rPr>
          <w:rFonts w:asciiTheme="minorHAnsi" w:hAnsiTheme="minorHAnsi" w:cstheme="minorHAnsi"/>
          <w:sz w:val="56"/>
          <w:szCs w:val="56"/>
        </w:rPr>
        <w:t>3</w:t>
      </w:r>
      <w:r w:rsidRPr="00D436A1">
        <w:rPr>
          <w:rFonts w:asciiTheme="minorHAnsi" w:hAnsiTheme="minorHAnsi" w:cstheme="minorHAnsi"/>
          <w:sz w:val="56"/>
          <w:szCs w:val="56"/>
        </w:rPr>
        <w:t>.</w:t>
      </w:r>
    </w:p>
    <w:p w14:paraId="71719F98" w14:textId="77777777" w:rsidR="00C0068C" w:rsidRPr="00D436A1" w:rsidRDefault="00C0068C" w:rsidP="00C0068C">
      <w:pPr>
        <w:jc w:val="both"/>
        <w:rPr>
          <w:rFonts w:asciiTheme="minorHAnsi" w:hAnsiTheme="minorHAnsi" w:cstheme="minorHAnsi"/>
          <w:sz w:val="56"/>
          <w:szCs w:val="56"/>
        </w:rPr>
      </w:pPr>
    </w:p>
    <w:p w14:paraId="2F046F60" w14:textId="77777777" w:rsidR="00C0068C" w:rsidRPr="00D436A1" w:rsidRDefault="00C0068C" w:rsidP="00C0068C">
      <w:pPr>
        <w:jc w:val="both"/>
        <w:rPr>
          <w:rFonts w:asciiTheme="minorHAnsi" w:hAnsiTheme="minorHAnsi" w:cstheme="minorHAnsi"/>
        </w:rPr>
      </w:pPr>
    </w:p>
    <w:p w14:paraId="583171BE" w14:textId="77777777" w:rsidR="00C0068C" w:rsidRPr="00D436A1" w:rsidRDefault="00C0068C" w:rsidP="00C0068C">
      <w:pPr>
        <w:jc w:val="both"/>
        <w:rPr>
          <w:rFonts w:asciiTheme="minorHAnsi" w:hAnsiTheme="minorHAnsi" w:cstheme="minorHAnsi"/>
        </w:rPr>
      </w:pPr>
    </w:p>
    <w:p w14:paraId="7BE564E1" w14:textId="77777777" w:rsidR="00C0068C" w:rsidRPr="00D436A1" w:rsidRDefault="00C0068C" w:rsidP="00C0068C">
      <w:pPr>
        <w:jc w:val="both"/>
        <w:rPr>
          <w:rFonts w:asciiTheme="minorHAnsi" w:hAnsiTheme="minorHAnsi" w:cstheme="minorHAnsi"/>
        </w:rPr>
      </w:pPr>
    </w:p>
    <w:p w14:paraId="2A5C0A4B" w14:textId="77777777" w:rsidR="00C0068C" w:rsidRPr="00D436A1" w:rsidRDefault="00C0068C" w:rsidP="00C0068C">
      <w:pPr>
        <w:jc w:val="both"/>
        <w:rPr>
          <w:rFonts w:asciiTheme="minorHAnsi" w:hAnsiTheme="minorHAnsi" w:cstheme="minorHAnsi"/>
        </w:rPr>
      </w:pPr>
    </w:p>
    <w:p w14:paraId="30AFA060" w14:textId="77777777" w:rsidR="00C0068C" w:rsidRPr="00D436A1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A844BC" w14:textId="77777777" w:rsidR="00C0068C" w:rsidRPr="00D436A1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61D389" w14:textId="77777777" w:rsidR="00C0068C" w:rsidRPr="00D436A1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FD168C" w14:textId="5D5A3693" w:rsidR="00C0068C" w:rsidRPr="00D436A1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EC9C16" w14:textId="77777777" w:rsidR="00CA0D42" w:rsidRPr="00D436A1" w:rsidRDefault="00CA0D42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56C24B" w14:textId="00BBF025" w:rsidR="00C0068C" w:rsidRPr="00D436A1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F85B5C" w14:textId="77777777" w:rsidR="008F2696" w:rsidRPr="00D436A1" w:rsidRDefault="008F2696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686B05" w14:textId="77777777" w:rsidR="00C0068C" w:rsidRPr="00D436A1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61DD64" w14:textId="77777777" w:rsidR="000A4619" w:rsidRPr="00D436A1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D436A1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Kontakt:</w:t>
      </w:r>
    </w:p>
    <w:p w14:paraId="55772EE7" w14:textId="77777777" w:rsidR="000A4619" w:rsidRPr="00D436A1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584F2B22" w14:textId="77777777" w:rsidR="000A4619" w:rsidRPr="00D436A1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D436A1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INA-Industrija nafte, d.d.</w:t>
      </w:r>
    </w:p>
    <w:p w14:paraId="7036A1AC" w14:textId="77777777" w:rsidR="000A4619" w:rsidRPr="00D436A1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D436A1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Korporativne komunikacije i marketing</w:t>
      </w:r>
    </w:p>
    <w:p w14:paraId="7AE53A05" w14:textId="77777777" w:rsidR="000A4619" w:rsidRPr="00D436A1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D436A1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Avenija Većeslava Holjevca 10, Zagreb</w:t>
      </w:r>
    </w:p>
    <w:p w14:paraId="46EFB971" w14:textId="77777777" w:rsidR="000A4619" w:rsidRPr="00D436A1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7B978838" w14:textId="6B2667FC" w:rsidR="00906B86" w:rsidRPr="00D436A1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D436A1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E-mail:  </w:t>
      </w:r>
      <w:hyperlink r:id="rId8" w:history="1">
        <w:r w:rsidR="00906B86" w:rsidRPr="00D436A1">
          <w:rPr>
            <w:rStyle w:val="Hyperlink"/>
            <w:rFonts w:asciiTheme="minorHAnsi" w:hAnsiTheme="minorHAnsi" w:cstheme="minorHAnsi"/>
            <w:sz w:val="20"/>
            <w:szCs w:val="20"/>
          </w:rPr>
          <w:t>PR@ina.hr</w:t>
        </w:r>
      </w:hyperlink>
    </w:p>
    <w:p w14:paraId="4830C631" w14:textId="77777777" w:rsidR="00C0068C" w:rsidRPr="00D436A1" w:rsidRDefault="00000000" w:rsidP="000A4619">
      <w:pPr>
        <w:jc w:val="both"/>
        <w:rPr>
          <w:rFonts w:asciiTheme="minorHAnsi" w:hAnsiTheme="minorHAnsi" w:cstheme="minorHAnsi"/>
          <w:sz w:val="20"/>
          <w:szCs w:val="20"/>
        </w:rPr>
      </w:pPr>
      <w:hyperlink w:history="1">
        <w:r w:rsidR="00906B86" w:rsidRPr="00D436A1">
          <w:rPr>
            <w:rStyle w:val="Hyperlink"/>
            <w:rFonts w:asciiTheme="minorHAnsi" w:hAnsiTheme="minorHAnsi" w:cstheme="minorHAnsi"/>
            <w:sz w:val="20"/>
            <w:szCs w:val="20"/>
          </w:rPr>
          <w:t>Press centar</w:t>
        </w:r>
      </w:hyperlink>
      <w:r w:rsidR="00B35605" w:rsidRPr="00D436A1">
        <w:rPr>
          <w:rFonts w:asciiTheme="minorHAnsi" w:hAnsiTheme="minorHAnsi" w:cstheme="minorHAnsi"/>
          <w:sz w:val="20"/>
          <w:szCs w:val="20"/>
        </w:rPr>
        <w:t xml:space="preserve"> at </w:t>
      </w:r>
      <w:r w:rsidR="000A4619" w:rsidRPr="00D436A1">
        <w:rPr>
          <w:rFonts w:asciiTheme="minorHAnsi" w:hAnsiTheme="minorHAnsi" w:cstheme="minorHAnsi"/>
          <w:sz w:val="20"/>
          <w:szCs w:val="20"/>
        </w:rPr>
        <w:t>www.ina.hr</w:t>
      </w:r>
    </w:p>
    <w:p w14:paraId="5138ADAC" w14:textId="77777777" w:rsidR="00906B86" w:rsidRPr="00D436A1" w:rsidRDefault="00906B86" w:rsidP="000A461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EABBD2" w14:textId="2B4A01ED" w:rsidR="00906B86" w:rsidRPr="00D436A1" w:rsidRDefault="00906B86" w:rsidP="000A4619">
      <w:pPr>
        <w:jc w:val="both"/>
        <w:rPr>
          <w:rFonts w:asciiTheme="minorHAnsi" w:hAnsiTheme="minorHAnsi" w:cstheme="minorHAnsi"/>
        </w:rPr>
        <w:sectPr w:rsidR="00906B86" w:rsidRPr="00D436A1" w:rsidSect="0039152A">
          <w:headerReference w:type="default" r:id="rId9"/>
          <w:footerReference w:type="default" r:id="rId10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4D345249" w14:textId="011BF1EE" w:rsidR="00C0068C" w:rsidRPr="00D436A1" w:rsidRDefault="00C0068C" w:rsidP="00C0068C">
      <w:pPr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" w:name="OLE_LINK1"/>
    </w:p>
    <w:p w14:paraId="0C38239B" w14:textId="40180CDA" w:rsidR="00D04820" w:rsidRPr="00D436A1" w:rsidRDefault="004E2805" w:rsidP="00C0068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436A1">
        <w:rPr>
          <w:rFonts w:asciiTheme="minorHAnsi" w:hAnsiTheme="minorHAnsi" w:cstheme="minorHAnsi"/>
          <w:b/>
          <w:sz w:val="32"/>
          <w:szCs w:val="32"/>
        </w:rPr>
        <w:t>Inini rezultati održiv</w:t>
      </w:r>
      <w:r w:rsidR="00091442" w:rsidRPr="00D436A1">
        <w:rPr>
          <w:rFonts w:asciiTheme="minorHAnsi" w:hAnsiTheme="minorHAnsi" w:cstheme="minorHAnsi"/>
          <w:b/>
          <w:sz w:val="32"/>
          <w:szCs w:val="32"/>
        </w:rPr>
        <w:t>a su</w:t>
      </w:r>
      <w:r w:rsidRPr="00D436A1">
        <w:rPr>
          <w:rFonts w:asciiTheme="minorHAnsi" w:hAnsiTheme="minorHAnsi" w:cstheme="minorHAnsi"/>
          <w:b/>
          <w:sz w:val="32"/>
          <w:szCs w:val="32"/>
        </w:rPr>
        <w:t xml:space="preserve"> okosnic</w:t>
      </w:r>
      <w:r w:rsidR="00CC66E1" w:rsidRPr="00D436A1">
        <w:rPr>
          <w:rFonts w:asciiTheme="minorHAnsi" w:hAnsiTheme="minorHAnsi" w:cstheme="minorHAnsi"/>
          <w:b/>
          <w:sz w:val="32"/>
          <w:szCs w:val="32"/>
        </w:rPr>
        <w:t>a</w:t>
      </w:r>
      <w:r w:rsidRPr="00D436A1">
        <w:rPr>
          <w:rFonts w:asciiTheme="minorHAnsi" w:hAnsiTheme="minorHAnsi" w:cstheme="minorHAnsi"/>
          <w:b/>
          <w:sz w:val="32"/>
          <w:szCs w:val="32"/>
        </w:rPr>
        <w:t xml:space="preserve"> za buduća ulaganja</w:t>
      </w:r>
    </w:p>
    <w:p w14:paraId="3E6B94B7" w14:textId="77777777" w:rsidR="004E2805" w:rsidRPr="00D436A1" w:rsidRDefault="004E2805" w:rsidP="00C0068C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40586149" w14:textId="6FD42328" w:rsidR="00303F04" w:rsidRPr="00D436A1" w:rsidRDefault="00FA725A" w:rsidP="007F43FF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b/>
        </w:rPr>
      </w:pPr>
      <w:bookmarkStart w:id="2" w:name="_Hlk149233715"/>
      <w:r w:rsidRPr="00D436A1">
        <w:rPr>
          <w:rFonts w:asciiTheme="minorHAnsi" w:hAnsiTheme="minorHAnsi" w:cstheme="minorHAnsi"/>
          <w:b/>
        </w:rPr>
        <w:t>2023.</w:t>
      </w:r>
      <w:r w:rsidR="002263ED" w:rsidRPr="00D436A1">
        <w:rPr>
          <w:rFonts w:asciiTheme="minorHAnsi" w:hAnsiTheme="minorHAnsi" w:cstheme="minorHAnsi"/>
          <w:b/>
        </w:rPr>
        <w:t xml:space="preserve"> godinu obilježila je m</w:t>
      </w:r>
      <w:r w:rsidR="00F475AA" w:rsidRPr="00D436A1">
        <w:rPr>
          <w:rFonts w:asciiTheme="minorHAnsi" w:hAnsiTheme="minorHAnsi" w:cstheme="minorHAnsi"/>
          <w:b/>
        </w:rPr>
        <w:t>akroekonomska stabilizacija cijena ugljikovodika</w:t>
      </w:r>
      <w:r w:rsidR="002263ED" w:rsidRPr="00D436A1">
        <w:rPr>
          <w:rFonts w:asciiTheme="minorHAnsi" w:hAnsiTheme="minorHAnsi" w:cstheme="minorHAnsi"/>
          <w:b/>
        </w:rPr>
        <w:t xml:space="preserve"> </w:t>
      </w:r>
      <w:r w:rsidR="00303F04" w:rsidRPr="00D436A1">
        <w:rPr>
          <w:rFonts w:asciiTheme="minorHAnsi" w:hAnsiTheme="minorHAnsi" w:cstheme="minorHAnsi"/>
          <w:b/>
        </w:rPr>
        <w:t>što je rezultiralo nešto nižim</w:t>
      </w:r>
      <w:r w:rsidR="008C6EB7" w:rsidRPr="00D436A1">
        <w:rPr>
          <w:rFonts w:asciiTheme="minorHAnsi" w:hAnsiTheme="minorHAnsi" w:cstheme="minorHAnsi"/>
          <w:b/>
        </w:rPr>
        <w:t>,</w:t>
      </w:r>
      <w:r w:rsidR="00303F04" w:rsidRPr="00D436A1">
        <w:rPr>
          <w:rFonts w:asciiTheme="minorHAnsi" w:hAnsiTheme="minorHAnsi" w:cstheme="minorHAnsi"/>
          <w:b/>
        </w:rPr>
        <w:t xml:space="preserve"> no i dalje snažnim rezultatima INA Grupe. CC</w:t>
      </w:r>
      <w:r w:rsidR="007077D8" w:rsidRPr="00D436A1">
        <w:rPr>
          <w:rFonts w:asciiTheme="minorHAnsi" w:hAnsiTheme="minorHAnsi" w:cstheme="minorHAnsi"/>
          <w:b/>
        </w:rPr>
        <w:t>S</w:t>
      </w:r>
      <w:r w:rsidR="00303F04" w:rsidRPr="00D436A1">
        <w:rPr>
          <w:rFonts w:asciiTheme="minorHAnsi" w:hAnsiTheme="minorHAnsi" w:cstheme="minorHAnsi"/>
          <w:b/>
        </w:rPr>
        <w:t xml:space="preserve"> EBITDA bez jednokratnih stavki  u 2023. iznosila je 496 milijuna eura, dok je neto dobit ostala na razini 2022. godine, </w:t>
      </w:r>
      <w:r w:rsidR="00CD5338" w:rsidRPr="00D436A1">
        <w:rPr>
          <w:rFonts w:asciiTheme="minorHAnsi" w:hAnsiTheme="minorHAnsi" w:cstheme="minorHAnsi"/>
          <w:b/>
        </w:rPr>
        <w:t xml:space="preserve">oko </w:t>
      </w:r>
      <w:r w:rsidR="00303F04" w:rsidRPr="00D436A1">
        <w:rPr>
          <w:rFonts w:asciiTheme="minorHAnsi" w:hAnsiTheme="minorHAnsi" w:cstheme="minorHAnsi"/>
          <w:b/>
        </w:rPr>
        <w:t>250 milijuna eura</w:t>
      </w:r>
      <w:r w:rsidR="00CD28C5" w:rsidRPr="00D436A1">
        <w:rPr>
          <w:rFonts w:asciiTheme="minorHAnsi" w:hAnsiTheme="minorHAnsi" w:cstheme="minorHAnsi"/>
          <w:b/>
        </w:rPr>
        <w:t xml:space="preserve">, </w:t>
      </w:r>
      <w:r w:rsidR="00D13B66" w:rsidRPr="00D436A1">
        <w:rPr>
          <w:rFonts w:asciiTheme="minorHAnsi" w:hAnsiTheme="minorHAnsi" w:cstheme="minorHAnsi"/>
          <w:b/>
        </w:rPr>
        <w:t>između ostalog i z</w:t>
      </w:r>
      <w:r w:rsidR="00A91849" w:rsidRPr="00D436A1">
        <w:rPr>
          <w:rFonts w:asciiTheme="minorHAnsi" w:hAnsiTheme="minorHAnsi" w:cstheme="minorHAnsi"/>
          <w:b/>
        </w:rPr>
        <w:t>bog toga</w:t>
      </w:r>
      <w:r w:rsidR="00DC1E62" w:rsidRPr="00D436A1">
        <w:rPr>
          <w:rFonts w:asciiTheme="minorHAnsi" w:hAnsiTheme="minorHAnsi" w:cstheme="minorHAnsi"/>
          <w:b/>
        </w:rPr>
        <w:t xml:space="preserve"> što u 2023. nije bilo </w:t>
      </w:r>
      <w:r w:rsidR="000C7FD7" w:rsidRPr="00D436A1">
        <w:rPr>
          <w:rFonts w:asciiTheme="minorHAnsi" w:hAnsiTheme="minorHAnsi" w:cstheme="minorHAnsi"/>
          <w:b/>
        </w:rPr>
        <w:t xml:space="preserve">dodatnog </w:t>
      </w:r>
      <w:r w:rsidR="00DC1E62" w:rsidRPr="00D436A1">
        <w:rPr>
          <w:rFonts w:asciiTheme="minorHAnsi" w:hAnsiTheme="minorHAnsi" w:cstheme="minorHAnsi"/>
          <w:b/>
        </w:rPr>
        <w:t>poreza na</w:t>
      </w:r>
      <w:r w:rsidR="00CE705F" w:rsidRPr="00D436A1">
        <w:rPr>
          <w:rFonts w:asciiTheme="minorHAnsi" w:hAnsiTheme="minorHAnsi" w:cstheme="minorHAnsi"/>
          <w:b/>
        </w:rPr>
        <w:t xml:space="preserve"> </w:t>
      </w:r>
      <w:r w:rsidR="00DC1E62" w:rsidRPr="00D436A1">
        <w:rPr>
          <w:rFonts w:asciiTheme="minorHAnsi" w:hAnsiTheme="minorHAnsi" w:cstheme="minorHAnsi"/>
          <w:b/>
        </w:rPr>
        <w:t>dobit</w:t>
      </w:r>
      <w:r w:rsidR="00303F04" w:rsidRPr="00D436A1">
        <w:rPr>
          <w:rFonts w:asciiTheme="minorHAnsi" w:hAnsiTheme="minorHAnsi" w:cstheme="minorHAnsi"/>
          <w:b/>
        </w:rPr>
        <w:t>.</w:t>
      </w:r>
    </w:p>
    <w:p w14:paraId="23E4249A" w14:textId="77777777" w:rsidR="005D54F2" w:rsidRPr="00D436A1" w:rsidRDefault="005D54F2" w:rsidP="005D54F2">
      <w:pPr>
        <w:pStyle w:val="ListParagraph"/>
        <w:spacing w:after="120"/>
        <w:jc w:val="both"/>
        <w:rPr>
          <w:rFonts w:asciiTheme="minorHAnsi" w:hAnsiTheme="minorHAnsi" w:cstheme="minorHAnsi"/>
          <w:b/>
        </w:rPr>
      </w:pPr>
    </w:p>
    <w:p w14:paraId="1999142D" w14:textId="188F05D1" w:rsidR="00303F04" w:rsidRPr="00D436A1" w:rsidRDefault="00303F04" w:rsidP="00303F04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b/>
        </w:rPr>
      </w:pPr>
      <w:r w:rsidRPr="00D436A1">
        <w:rPr>
          <w:rFonts w:asciiTheme="minorHAnsi" w:hAnsiTheme="minorHAnsi" w:cstheme="minorHAnsi"/>
          <w:b/>
        </w:rPr>
        <w:t>EBITDA djelatnosti Istraživanja i proizvodnje nafte i plina za 2023. godinu niža je nastavno na vanjsko okruženje i umjeren pad proizvodnje</w:t>
      </w:r>
      <w:r w:rsidR="00E565DD" w:rsidRPr="00D436A1">
        <w:rPr>
          <w:rFonts w:asciiTheme="minorHAnsi" w:hAnsiTheme="minorHAnsi" w:cstheme="minorHAnsi"/>
          <w:b/>
        </w:rPr>
        <w:t xml:space="preserve"> od šest posto</w:t>
      </w:r>
      <w:r w:rsidRPr="00D436A1">
        <w:rPr>
          <w:rFonts w:asciiTheme="minorHAnsi" w:hAnsiTheme="minorHAnsi" w:cstheme="minorHAnsi"/>
          <w:b/>
        </w:rPr>
        <w:t xml:space="preserve"> te iznosi 413 milijuna eura. Proizvodnja je smanjena u skladu s očekivan</w:t>
      </w:r>
      <w:r w:rsidR="005E3729" w:rsidRPr="00D436A1">
        <w:rPr>
          <w:rFonts w:asciiTheme="minorHAnsi" w:hAnsiTheme="minorHAnsi" w:cstheme="minorHAnsi"/>
          <w:b/>
        </w:rPr>
        <w:t>jima zbog zrelosti polja</w:t>
      </w:r>
      <w:r w:rsidRPr="00D436A1">
        <w:rPr>
          <w:rFonts w:asciiTheme="minorHAnsi" w:hAnsiTheme="minorHAnsi" w:cstheme="minorHAnsi"/>
          <w:b/>
        </w:rPr>
        <w:t xml:space="preserve"> </w:t>
      </w:r>
      <w:r w:rsidR="005B6EF5" w:rsidRPr="00D436A1">
        <w:rPr>
          <w:rFonts w:asciiTheme="minorHAnsi" w:hAnsiTheme="minorHAnsi" w:cstheme="minorHAnsi"/>
          <w:b/>
        </w:rPr>
        <w:t xml:space="preserve">i </w:t>
      </w:r>
      <w:r w:rsidRPr="00D436A1">
        <w:rPr>
          <w:rFonts w:asciiTheme="minorHAnsi" w:hAnsiTheme="minorHAnsi" w:cstheme="minorHAnsi"/>
          <w:b/>
        </w:rPr>
        <w:t>remont</w:t>
      </w:r>
      <w:r w:rsidR="005B6EF5" w:rsidRPr="00D436A1">
        <w:rPr>
          <w:rFonts w:asciiTheme="minorHAnsi" w:hAnsiTheme="minorHAnsi" w:cstheme="minorHAnsi"/>
          <w:b/>
        </w:rPr>
        <w:t>a</w:t>
      </w:r>
      <w:r w:rsidRPr="00D436A1">
        <w:rPr>
          <w:rFonts w:asciiTheme="minorHAnsi" w:hAnsiTheme="minorHAnsi" w:cstheme="minorHAnsi"/>
          <w:b/>
        </w:rPr>
        <w:t xml:space="preserve"> </w:t>
      </w:r>
      <w:r w:rsidR="00913148" w:rsidRPr="00D436A1">
        <w:rPr>
          <w:rFonts w:asciiTheme="minorHAnsi" w:hAnsiTheme="minorHAnsi" w:cstheme="minorHAnsi"/>
          <w:b/>
        </w:rPr>
        <w:t xml:space="preserve">provedenog </w:t>
      </w:r>
      <w:r w:rsidRPr="00D436A1">
        <w:rPr>
          <w:rFonts w:asciiTheme="minorHAnsi" w:hAnsiTheme="minorHAnsi" w:cstheme="minorHAnsi"/>
          <w:b/>
        </w:rPr>
        <w:t>na postrojenjima za obradu plina</w:t>
      </w:r>
      <w:r w:rsidR="00913148" w:rsidRPr="00D436A1">
        <w:rPr>
          <w:rFonts w:asciiTheme="minorHAnsi" w:hAnsiTheme="minorHAnsi" w:cstheme="minorHAnsi"/>
          <w:b/>
        </w:rPr>
        <w:t xml:space="preserve"> u trećem tromjesečju</w:t>
      </w:r>
      <w:r w:rsidRPr="00D436A1">
        <w:rPr>
          <w:rFonts w:asciiTheme="minorHAnsi" w:hAnsiTheme="minorHAnsi" w:cstheme="minorHAnsi"/>
          <w:b/>
        </w:rPr>
        <w:t xml:space="preserve">. S druge strane, doprinos je ostvaren na egipatskoj koncesiji East </w:t>
      </w:r>
      <w:proofErr w:type="spellStart"/>
      <w:r w:rsidRPr="00D436A1">
        <w:rPr>
          <w:rFonts w:asciiTheme="minorHAnsi" w:hAnsiTheme="minorHAnsi" w:cstheme="minorHAnsi"/>
          <w:b/>
        </w:rPr>
        <w:t>Damanhur</w:t>
      </w:r>
      <w:proofErr w:type="spellEnd"/>
      <w:r w:rsidRPr="00D436A1">
        <w:rPr>
          <w:rFonts w:asciiTheme="minorHAnsi" w:hAnsiTheme="minorHAnsi" w:cstheme="minorHAnsi"/>
          <w:b/>
        </w:rPr>
        <w:t xml:space="preserve"> koja je počela s proizvodnjom plina u rujnu i komercijalnim otkrićem na bušotini Veliki Rastovac-1. </w:t>
      </w:r>
    </w:p>
    <w:p w14:paraId="528E553C" w14:textId="77777777" w:rsidR="005D54F2" w:rsidRPr="00D436A1" w:rsidRDefault="005D54F2" w:rsidP="005D54F2">
      <w:pPr>
        <w:pStyle w:val="ListParagraph"/>
        <w:rPr>
          <w:rFonts w:asciiTheme="minorHAnsi" w:hAnsiTheme="minorHAnsi" w:cstheme="minorHAnsi"/>
          <w:b/>
        </w:rPr>
      </w:pPr>
    </w:p>
    <w:p w14:paraId="20A7AFFB" w14:textId="486C5518" w:rsidR="00303F04" w:rsidRPr="00D436A1" w:rsidRDefault="00303F04" w:rsidP="00303F04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b/>
        </w:rPr>
      </w:pPr>
      <w:r w:rsidRPr="00D436A1">
        <w:rPr>
          <w:rFonts w:asciiTheme="minorHAnsi" w:hAnsiTheme="minorHAnsi" w:cstheme="minorHAnsi"/>
          <w:b/>
        </w:rPr>
        <w:t xml:space="preserve">Rezultat djelatnosti Rafinerija i marketinga uključujući Usluge kupcima i maloprodaju poboljšan je uglavnom uslijed snažne potražnje na tržištu i pozitivnog doprinosa vlastite proizvodnje. Prodane količine Maloprodaje povećane su 19 % </w:t>
      </w:r>
      <w:r w:rsidR="0099750C" w:rsidRPr="00D436A1">
        <w:rPr>
          <w:rFonts w:asciiTheme="minorHAnsi" w:hAnsiTheme="minorHAnsi" w:cstheme="minorHAnsi"/>
          <w:b/>
        </w:rPr>
        <w:t xml:space="preserve">uglavnom </w:t>
      </w:r>
      <w:r w:rsidRPr="00D436A1">
        <w:rPr>
          <w:rFonts w:asciiTheme="minorHAnsi" w:hAnsiTheme="minorHAnsi" w:cstheme="minorHAnsi"/>
          <w:b/>
        </w:rPr>
        <w:t>kao rezultat dobre turističke sezone</w:t>
      </w:r>
      <w:r w:rsidR="00F60382" w:rsidRPr="00D436A1">
        <w:rPr>
          <w:rFonts w:asciiTheme="minorHAnsi" w:hAnsiTheme="minorHAnsi" w:cstheme="minorHAnsi"/>
          <w:b/>
        </w:rPr>
        <w:t>, a</w:t>
      </w:r>
      <w:r w:rsidRPr="00D436A1">
        <w:rPr>
          <w:rFonts w:asciiTheme="minorHAnsi" w:hAnsiTheme="minorHAnsi" w:cstheme="minorHAnsi"/>
          <w:b/>
        </w:rPr>
        <w:t xml:space="preserve"> marža ne-goriva </w:t>
      </w:r>
      <w:r w:rsidR="00D36278" w:rsidRPr="00D436A1">
        <w:rPr>
          <w:rFonts w:asciiTheme="minorHAnsi" w:hAnsiTheme="minorHAnsi" w:cstheme="minorHAnsi"/>
          <w:b/>
        </w:rPr>
        <w:t xml:space="preserve">rasla je </w:t>
      </w:r>
      <w:r w:rsidRPr="00D436A1">
        <w:rPr>
          <w:rFonts w:asciiTheme="minorHAnsi" w:hAnsiTheme="minorHAnsi" w:cstheme="minorHAnsi"/>
          <w:b/>
        </w:rPr>
        <w:t xml:space="preserve">33 %. </w:t>
      </w:r>
    </w:p>
    <w:p w14:paraId="3964748D" w14:textId="77777777" w:rsidR="005D54F2" w:rsidRPr="00D436A1" w:rsidRDefault="005D54F2" w:rsidP="005D54F2">
      <w:pPr>
        <w:pStyle w:val="ListParagraph"/>
        <w:rPr>
          <w:rFonts w:asciiTheme="minorHAnsi" w:hAnsiTheme="minorHAnsi" w:cstheme="minorHAnsi"/>
          <w:b/>
        </w:rPr>
      </w:pPr>
    </w:p>
    <w:p w14:paraId="3B36BAC3" w14:textId="58C4FC2E" w:rsidR="009367EC" w:rsidRPr="00D436A1" w:rsidRDefault="00303F04" w:rsidP="00303F04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436A1">
        <w:rPr>
          <w:rFonts w:asciiTheme="minorHAnsi" w:hAnsiTheme="minorHAnsi" w:cstheme="minorHAnsi"/>
          <w:b/>
        </w:rPr>
        <w:t>Investicijske aktivnosti iznosile su gotovo 400 milijuna eura</w:t>
      </w:r>
      <w:r w:rsidR="006F23D1" w:rsidRPr="00D436A1">
        <w:rPr>
          <w:rFonts w:asciiTheme="minorHAnsi" w:hAnsiTheme="minorHAnsi" w:cstheme="minorHAnsi"/>
          <w:b/>
        </w:rPr>
        <w:t>, a bile su usmjerene na domaća ulaganja i</w:t>
      </w:r>
      <w:r w:rsidRPr="00D436A1">
        <w:rPr>
          <w:rFonts w:asciiTheme="minorHAnsi" w:hAnsiTheme="minorHAnsi" w:cstheme="minorHAnsi"/>
          <w:b/>
        </w:rPr>
        <w:t xml:space="preserve"> stjecanje dodatnih 25 % udjela u OMV-u Slovenija. Ulaganja u djelatnosti Istraživanja i proizvodnje nafte i plina ostala su snažna na 100 milijuna eura. Projekt nadogradnje Rafinerije nafte Rijeka dos</w:t>
      </w:r>
      <w:r w:rsidR="006214D1" w:rsidRPr="00D436A1">
        <w:rPr>
          <w:rFonts w:asciiTheme="minorHAnsi" w:hAnsiTheme="minorHAnsi" w:cstheme="minorHAnsi"/>
          <w:b/>
        </w:rPr>
        <w:t>egnuo</w:t>
      </w:r>
      <w:r w:rsidRPr="00D436A1">
        <w:rPr>
          <w:rFonts w:asciiTheme="minorHAnsi" w:hAnsiTheme="minorHAnsi" w:cstheme="minorHAnsi"/>
          <w:b/>
        </w:rPr>
        <w:t xml:space="preserve"> je 84 % ukupne </w:t>
      </w:r>
      <w:r w:rsidR="006214D1" w:rsidRPr="00D436A1">
        <w:rPr>
          <w:rFonts w:asciiTheme="minorHAnsi" w:hAnsiTheme="minorHAnsi" w:cstheme="minorHAnsi"/>
          <w:b/>
        </w:rPr>
        <w:t>do</w:t>
      </w:r>
      <w:r w:rsidRPr="00D436A1">
        <w:rPr>
          <w:rFonts w:asciiTheme="minorHAnsi" w:hAnsiTheme="minorHAnsi" w:cstheme="minorHAnsi"/>
          <w:b/>
        </w:rPr>
        <w:t xml:space="preserve">vršenosti. </w:t>
      </w:r>
    </w:p>
    <w:p w14:paraId="3DA7A009" w14:textId="77777777" w:rsidR="009367EC" w:rsidRPr="00D436A1" w:rsidRDefault="009367EC" w:rsidP="009367EC">
      <w:pPr>
        <w:pStyle w:val="ListParagraph"/>
        <w:rPr>
          <w:rFonts w:asciiTheme="minorHAnsi" w:hAnsiTheme="minorHAnsi" w:cstheme="minorHAnsi"/>
          <w:b/>
        </w:rPr>
      </w:pPr>
    </w:p>
    <w:p w14:paraId="15FE9957" w14:textId="0DA7DD0D" w:rsidR="00D04820" w:rsidRPr="00D436A1" w:rsidRDefault="00303F04" w:rsidP="00303F04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436A1">
        <w:rPr>
          <w:rFonts w:asciiTheme="minorHAnsi" w:hAnsiTheme="minorHAnsi" w:cstheme="minorHAnsi"/>
          <w:b/>
        </w:rPr>
        <w:t>Financijska pozicija ostaje stabilna uz neto dug od 216 milijuna eura te omjer duga i kapitala od 12 %</w:t>
      </w:r>
      <w:r w:rsidR="009367EC" w:rsidRPr="00D436A1">
        <w:rPr>
          <w:rFonts w:asciiTheme="minorHAnsi" w:hAnsiTheme="minorHAnsi" w:cstheme="minorHAnsi"/>
          <w:b/>
        </w:rPr>
        <w:t>,</w:t>
      </w:r>
      <w:r w:rsidRPr="00D436A1">
        <w:rPr>
          <w:rFonts w:asciiTheme="minorHAnsi" w:hAnsiTheme="minorHAnsi" w:cstheme="minorHAnsi"/>
          <w:b/>
        </w:rPr>
        <w:t xml:space="preserve"> kao održiva o</w:t>
      </w:r>
      <w:r w:rsidR="00D30573" w:rsidRPr="00D436A1">
        <w:rPr>
          <w:rFonts w:asciiTheme="minorHAnsi" w:hAnsiTheme="minorHAnsi" w:cstheme="minorHAnsi"/>
          <w:b/>
        </w:rPr>
        <w:t>kosnica</w:t>
      </w:r>
      <w:r w:rsidRPr="00D436A1">
        <w:rPr>
          <w:rFonts w:asciiTheme="minorHAnsi" w:hAnsiTheme="minorHAnsi" w:cstheme="minorHAnsi"/>
          <w:b/>
        </w:rPr>
        <w:t xml:space="preserve"> za buduća ulaganja.</w:t>
      </w:r>
      <w:r w:rsidR="008C451C" w:rsidRPr="00D436A1">
        <w:rPr>
          <w:rFonts w:asciiTheme="minorHAnsi" w:hAnsiTheme="minorHAnsi" w:cstheme="minorHAnsi"/>
          <w:b/>
        </w:rPr>
        <w:t xml:space="preserve"> </w:t>
      </w:r>
    </w:p>
    <w:p w14:paraId="5EBB4435" w14:textId="77777777" w:rsidR="006B6DC9" w:rsidRPr="00D436A1" w:rsidRDefault="006B6DC9" w:rsidP="00D80DB1">
      <w:pPr>
        <w:spacing w:after="120"/>
        <w:ind w:left="360"/>
        <w:jc w:val="both"/>
        <w:rPr>
          <w:rFonts w:asciiTheme="minorHAnsi" w:hAnsiTheme="minorHAnsi" w:cstheme="minorHAnsi"/>
          <w:b/>
        </w:rPr>
      </w:pPr>
    </w:p>
    <w:bookmarkEnd w:id="2"/>
    <w:p w14:paraId="123AA7C6" w14:textId="7D580B7A" w:rsidR="00C0068C" w:rsidRPr="00D436A1" w:rsidRDefault="0028546A" w:rsidP="00F848DD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b/>
        </w:rPr>
      </w:pPr>
      <w:r w:rsidRPr="00D436A1">
        <w:rPr>
          <w:rFonts w:asciiTheme="minorHAnsi" w:hAnsiTheme="minorHAnsi" w:cstheme="minorHAnsi"/>
          <w:b/>
        </w:rPr>
        <w:t>Ključn</w:t>
      </w:r>
      <w:r w:rsidR="00886BC9" w:rsidRPr="00D436A1">
        <w:rPr>
          <w:rFonts w:asciiTheme="minorHAnsi" w:hAnsiTheme="minorHAnsi" w:cstheme="minorHAnsi"/>
          <w:b/>
        </w:rPr>
        <w:t>i podaci</w:t>
      </w:r>
      <w:r w:rsidR="00C0068C" w:rsidRPr="00D436A1">
        <w:rPr>
          <w:rFonts w:asciiTheme="minorHAnsi" w:hAnsiTheme="minorHAnsi" w:cstheme="minorHAnsi"/>
          <w:b/>
        </w:rPr>
        <w:t>:</w:t>
      </w:r>
    </w:p>
    <w:p w14:paraId="6F4302D6" w14:textId="14231991" w:rsidR="00C0068C" w:rsidRPr="00D436A1" w:rsidRDefault="00C0068C" w:rsidP="00C006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D436A1">
        <w:rPr>
          <w:rFonts w:asciiTheme="minorHAnsi" w:hAnsiTheme="minorHAnsi" w:cstheme="minorHAnsi"/>
          <w:b/>
          <w:bCs/>
        </w:rPr>
        <w:t>Net</w:t>
      </w:r>
      <w:r w:rsidR="0028546A" w:rsidRPr="00D436A1">
        <w:rPr>
          <w:rFonts w:asciiTheme="minorHAnsi" w:hAnsiTheme="minorHAnsi" w:cstheme="minorHAnsi"/>
          <w:b/>
          <w:bCs/>
        </w:rPr>
        <w:t>o prihod od prodaje iznosio je</w:t>
      </w:r>
      <w:r w:rsidRPr="00D436A1">
        <w:rPr>
          <w:rFonts w:asciiTheme="minorHAnsi" w:hAnsiTheme="minorHAnsi" w:cstheme="minorHAnsi"/>
          <w:b/>
          <w:bCs/>
        </w:rPr>
        <w:t xml:space="preserve"> </w:t>
      </w:r>
      <w:r w:rsidR="00D00379" w:rsidRPr="00D436A1">
        <w:rPr>
          <w:rFonts w:asciiTheme="minorHAnsi" w:hAnsiTheme="minorHAnsi" w:cstheme="minorHAnsi"/>
          <w:b/>
          <w:bCs/>
        </w:rPr>
        <w:t>3</w:t>
      </w:r>
      <w:r w:rsidR="00AC31E7" w:rsidRPr="00D436A1">
        <w:rPr>
          <w:rFonts w:asciiTheme="minorHAnsi" w:hAnsiTheme="minorHAnsi" w:cstheme="minorHAnsi"/>
          <w:b/>
          <w:bCs/>
        </w:rPr>
        <w:t>,</w:t>
      </w:r>
      <w:r w:rsidR="008E11BF" w:rsidRPr="00D436A1">
        <w:rPr>
          <w:rFonts w:asciiTheme="minorHAnsi" w:hAnsiTheme="minorHAnsi" w:cstheme="minorHAnsi"/>
          <w:b/>
          <w:bCs/>
        </w:rPr>
        <w:t>9</w:t>
      </w:r>
      <w:r w:rsidR="00AC31E7" w:rsidRPr="00D436A1">
        <w:rPr>
          <w:rFonts w:asciiTheme="minorHAnsi" w:hAnsiTheme="minorHAnsi" w:cstheme="minorHAnsi"/>
          <w:b/>
          <w:bCs/>
        </w:rPr>
        <w:t xml:space="preserve"> </w:t>
      </w:r>
      <w:r w:rsidR="00C02215" w:rsidRPr="00D436A1">
        <w:rPr>
          <w:rFonts w:asciiTheme="minorHAnsi" w:hAnsiTheme="minorHAnsi" w:cstheme="minorHAnsi"/>
          <w:b/>
          <w:bCs/>
        </w:rPr>
        <w:t xml:space="preserve">milijardi </w:t>
      </w:r>
      <w:r w:rsidR="00DE5854" w:rsidRPr="00D436A1">
        <w:rPr>
          <w:rFonts w:asciiTheme="minorHAnsi" w:hAnsiTheme="minorHAnsi" w:cstheme="minorHAnsi"/>
          <w:b/>
          <w:bCs/>
        </w:rPr>
        <w:t>eura</w:t>
      </w:r>
    </w:p>
    <w:p w14:paraId="24E534B6" w14:textId="71F14C3A" w:rsidR="005B3C95" w:rsidRPr="00D436A1" w:rsidRDefault="00E66F6C" w:rsidP="00C006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D436A1">
        <w:rPr>
          <w:rFonts w:asciiTheme="minorHAnsi" w:hAnsiTheme="minorHAnsi" w:cstheme="minorHAnsi"/>
          <w:b/>
          <w:bCs/>
        </w:rPr>
        <w:t xml:space="preserve">CCS </w:t>
      </w:r>
      <w:r w:rsidR="002C08C0" w:rsidRPr="00D436A1">
        <w:rPr>
          <w:rFonts w:asciiTheme="minorHAnsi" w:hAnsiTheme="minorHAnsi" w:cstheme="minorHAnsi"/>
          <w:b/>
          <w:bCs/>
        </w:rPr>
        <w:t>EBIT</w:t>
      </w:r>
      <w:r w:rsidR="00C0068C" w:rsidRPr="00D436A1">
        <w:rPr>
          <w:rFonts w:asciiTheme="minorHAnsi" w:hAnsiTheme="minorHAnsi" w:cstheme="minorHAnsi"/>
          <w:b/>
          <w:bCs/>
        </w:rPr>
        <w:t xml:space="preserve">DA </w:t>
      </w:r>
      <w:r w:rsidR="005B3C95" w:rsidRPr="00D436A1">
        <w:rPr>
          <w:rFonts w:asciiTheme="minorHAnsi" w:hAnsiTheme="minorHAnsi" w:cstheme="minorHAnsi"/>
          <w:b/>
          <w:bCs/>
        </w:rPr>
        <w:t>iznosila</w:t>
      </w:r>
      <w:r w:rsidR="00820ED8" w:rsidRPr="00D436A1">
        <w:rPr>
          <w:rFonts w:asciiTheme="minorHAnsi" w:hAnsiTheme="minorHAnsi" w:cstheme="minorHAnsi"/>
          <w:b/>
          <w:bCs/>
        </w:rPr>
        <w:t xml:space="preserve"> </w:t>
      </w:r>
      <w:r w:rsidRPr="00D436A1">
        <w:rPr>
          <w:rFonts w:asciiTheme="minorHAnsi" w:hAnsiTheme="minorHAnsi" w:cstheme="minorHAnsi"/>
          <w:b/>
          <w:bCs/>
        </w:rPr>
        <w:t>je 496</w:t>
      </w:r>
      <w:r w:rsidR="00DE5854" w:rsidRPr="00D436A1">
        <w:rPr>
          <w:rFonts w:asciiTheme="minorHAnsi" w:hAnsiTheme="minorHAnsi" w:cstheme="minorHAnsi"/>
          <w:b/>
          <w:bCs/>
        </w:rPr>
        <w:t xml:space="preserve"> milijun</w:t>
      </w:r>
      <w:r w:rsidRPr="00D436A1">
        <w:rPr>
          <w:rFonts w:asciiTheme="minorHAnsi" w:hAnsiTheme="minorHAnsi" w:cstheme="minorHAnsi"/>
          <w:b/>
          <w:bCs/>
        </w:rPr>
        <w:t>a</w:t>
      </w:r>
      <w:r w:rsidR="00DE5854" w:rsidRPr="00D436A1">
        <w:rPr>
          <w:rFonts w:asciiTheme="minorHAnsi" w:hAnsiTheme="minorHAnsi" w:cstheme="minorHAnsi"/>
          <w:b/>
          <w:bCs/>
        </w:rPr>
        <w:t xml:space="preserve"> eura</w:t>
      </w:r>
    </w:p>
    <w:p w14:paraId="501DF37A" w14:textId="78E445BA" w:rsidR="00B05CB1" w:rsidRPr="00D436A1" w:rsidRDefault="004C0398" w:rsidP="000F0BD0">
      <w:pPr>
        <w:pStyle w:val="ListParagraph"/>
        <w:numPr>
          <w:ilvl w:val="0"/>
          <w:numId w:val="1"/>
        </w:numPr>
        <w:ind w:left="1775" w:hanging="357"/>
        <w:jc w:val="both"/>
        <w:rPr>
          <w:rFonts w:asciiTheme="minorHAnsi" w:hAnsiTheme="minorHAnsi" w:cstheme="minorHAnsi"/>
          <w:b/>
        </w:rPr>
      </w:pPr>
      <w:r w:rsidRPr="00D436A1">
        <w:rPr>
          <w:rFonts w:asciiTheme="minorHAnsi" w:hAnsiTheme="minorHAnsi" w:cstheme="minorHAnsi"/>
          <w:b/>
        </w:rPr>
        <w:t xml:space="preserve">Investicijske aktivnosti </w:t>
      </w:r>
      <w:r w:rsidR="00663067" w:rsidRPr="00D436A1">
        <w:rPr>
          <w:rFonts w:asciiTheme="minorHAnsi" w:hAnsiTheme="minorHAnsi" w:cstheme="minorHAnsi"/>
          <w:b/>
          <w:bCs/>
        </w:rPr>
        <w:t>na razini od</w:t>
      </w:r>
      <w:r w:rsidR="009F2FFA" w:rsidRPr="00D436A1">
        <w:rPr>
          <w:rFonts w:asciiTheme="minorHAnsi" w:hAnsiTheme="minorHAnsi" w:cstheme="minorHAnsi"/>
          <w:b/>
          <w:bCs/>
        </w:rPr>
        <w:t xml:space="preserve"> </w:t>
      </w:r>
      <w:r w:rsidR="007034D4" w:rsidRPr="00D436A1">
        <w:rPr>
          <w:rFonts w:asciiTheme="minorHAnsi" w:hAnsiTheme="minorHAnsi" w:cstheme="minorHAnsi"/>
          <w:b/>
          <w:bCs/>
        </w:rPr>
        <w:t>400</w:t>
      </w:r>
      <w:r w:rsidR="001D66A1" w:rsidRPr="00D436A1">
        <w:rPr>
          <w:rFonts w:asciiTheme="minorHAnsi" w:hAnsiTheme="minorHAnsi" w:cstheme="minorHAnsi"/>
          <w:b/>
          <w:bCs/>
        </w:rPr>
        <w:t xml:space="preserve"> milijuna eura</w:t>
      </w:r>
    </w:p>
    <w:p w14:paraId="7557E221" w14:textId="63B4A81F" w:rsidR="00D63F00" w:rsidRPr="00D436A1" w:rsidRDefault="00D63F00" w:rsidP="00151BC7">
      <w:pPr>
        <w:spacing w:after="120"/>
        <w:jc w:val="both"/>
        <w:rPr>
          <w:rFonts w:asciiTheme="minorHAnsi" w:hAnsiTheme="minorHAnsi" w:cstheme="minorHAnsi"/>
          <w:b/>
        </w:rPr>
      </w:pPr>
    </w:p>
    <w:p w14:paraId="0FFA9698" w14:textId="77777777" w:rsidR="00377F75" w:rsidRPr="00D436A1" w:rsidRDefault="00377F75" w:rsidP="005111CC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D51D1E" w14:textId="77777777" w:rsidR="00377F75" w:rsidRPr="00D436A1" w:rsidRDefault="00377F75" w:rsidP="005111CC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D24F14" w14:textId="77777777" w:rsidR="00841D17" w:rsidRPr="00D436A1" w:rsidRDefault="00841D17" w:rsidP="005111CC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E877BF" w14:textId="79F5A5EB" w:rsidR="005111CC" w:rsidRPr="00D436A1" w:rsidRDefault="00DC5BEF" w:rsidP="005111CC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36A1">
        <w:rPr>
          <w:rFonts w:asciiTheme="minorHAnsi" w:hAnsiTheme="minorHAnsi" w:cstheme="minorHAnsi"/>
          <w:b/>
          <w:sz w:val="22"/>
          <w:szCs w:val="22"/>
        </w:rPr>
        <w:t xml:space="preserve">Zagreb, </w:t>
      </w:r>
      <w:r w:rsidR="00323661" w:rsidRPr="00D436A1">
        <w:rPr>
          <w:rFonts w:asciiTheme="minorHAnsi" w:hAnsiTheme="minorHAnsi" w:cstheme="minorHAnsi"/>
          <w:b/>
          <w:sz w:val="22"/>
          <w:szCs w:val="22"/>
        </w:rPr>
        <w:t>16</w:t>
      </w:r>
      <w:r w:rsidRPr="00D436A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23661" w:rsidRPr="00D436A1">
        <w:rPr>
          <w:rFonts w:asciiTheme="minorHAnsi" w:hAnsiTheme="minorHAnsi" w:cstheme="minorHAnsi"/>
          <w:b/>
          <w:sz w:val="22"/>
          <w:szCs w:val="22"/>
        </w:rPr>
        <w:t>veljače</w:t>
      </w:r>
      <w:r w:rsidR="0047216B" w:rsidRPr="00D436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5700" w:rsidRPr="00D436A1">
        <w:rPr>
          <w:rFonts w:asciiTheme="minorHAnsi" w:hAnsiTheme="minorHAnsi" w:cstheme="minorHAnsi"/>
          <w:b/>
          <w:sz w:val="22"/>
          <w:szCs w:val="22"/>
        </w:rPr>
        <w:t>2</w:t>
      </w:r>
      <w:r w:rsidRPr="00D436A1">
        <w:rPr>
          <w:rFonts w:asciiTheme="minorHAnsi" w:hAnsiTheme="minorHAnsi" w:cstheme="minorHAnsi"/>
          <w:b/>
          <w:sz w:val="22"/>
          <w:szCs w:val="22"/>
        </w:rPr>
        <w:t>02</w:t>
      </w:r>
      <w:r w:rsidR="00323661" w:rsidRPr="00D436A1">
        <w:rPr>
          <w:rFonts w:asciiTheme="minorHAnsi" w:hAnsiTheme="minorHAnsi" w:cstheme="minorHAnsi"/>
          <w:b/>
          <w:sz w:val="22"/>
          <w:szCs w:val="22"/>
        </w:rPr>
        <w:t>4</w:t>
      </w:r>
      <w:r w:rsidRPr="00D436A1">
        <w:rPr>
          <w:rFonts w:asciiTheme="minorHAnsi" w:hAnsiTheme="minorHAnsi" w:cstheme="minorHAnsi"/>
          <w:b/>
          <w:sz w:val="22"/>
          <w:szCs w:val="22"/>
        </w:rPr>
        <w:t>. –</w:t>
      </w:r>
      <w:r w:rsidR="00906B86" w:rsidRPr="00D436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11CC" w:rsidRPr="00D436A1">
        <w:rPr>
          <w:rFonts w:asciiTheme="minorHAnsi" w:hAnsiTheme="minorHAnsi" w:cstheme="minorHAnsi"/>
          <w:bCs/>
          <w:sz w:val="22"/>
          <w:szCs w:val="22"/>
        </w:rPr>
        <w:t>Nastavno na izuzetnu 2022. godinu, 2023. bila je obilježena stabilizacijom cijena ugljikovodika, što je rezultiralo nešto nižim</w:t>
      </w:r>
      <w:r w:rsidR="00483365" w:rsidRPr="00D436A1">
        <w:rPr>
          <w:rFonts w:asciiTheme="minorHAnsi" w:hAnsiTheme="minorHAnsi" w:cstheme="minorHAnsi"/>
          <w:bCs/>
          <w:sz w:val="22"/>
          <w:szCs w:val="22"/>
        </w:rPr>
        <w:t>,</w:t>
      </w:r>
      <w:r w:rsidR="005111CC" w:rsidRPr="00D436A1">
        <w:rPr>
          <w:rFonts w:asciiTheme="minorHAnsi" w:hAnsiTheme="minorHAnsi" w:cstheme="minorHAnsi"/>
          <w:bCs/>
          <w:sz w:val="22"/>
          <w:szCs w:val="22"/>
        </w:rPr>
        <w:t xml:space="preserve"> no i dalje snažnim rezultatima INA Grupe. CC</w:t>
      </w:r>
      <w:r w:rsidR="009F2FFA" w:rsidRPr="00D436A1">
        <w:rPr>
          <w:rFonts w:asciiTheme="minorHAnsi" w:hAnsiTheme="minorHAnsi" w:cstheme="minorHAnsi"/>
          <w:bCs/>
          <w:sz w:val="22"/>
          <w:szCs w:val="22"/>
        </w:rPr>
        <w:t>S</w:t>
      </w:r>
      <w:r w:rsidR="005111CC" w:rsidRPr="00D436A1">
        <w:rPr>
          <w:rFonts w:asciiTheme="minorHAnsi" w:hAnsiTheme="minorHAnsi" w:cstheme="minorHAnsi"/>
          <w:bCs/>
          <w:sz w:val="22"/>
          <w:szCs w:val="22"/>
        </w:rPr>
        <w:t xml:space="preserve"> EBITDA bez jednokratnih stavki u 2023. iznosila je 496 milijuna eura, dok je neto dobit ostala na razini 2022. godine</w:t>
      </w:r>
      <w:r w:rsidR="00784F0D" w:rsidRPr="00D436A1">
        <w:rPr>
          <w:rFonts w:asciiTheme="minorHAnsi" w:hAnsiTheme="minorHAnsi" w:cstheme="minorHAnsi"/>
          <w:bCs/>
          <w:sz w:val="22"/>
          <w:szCs w:val="22"/>
        </w:rPr>
        <w:t xml:space="preserve"> i iznosila</w:t>
      </w:r>
      <w:r w:rsidR="005111CC" w:rsidRPr="00D436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5338" w:rsidRPr="00D436A1">
        <w:rPr>
          <w:rFonts w:asciiTheme="minorHAnsi" w:hAnsiTheme="minorHAnsi" w:cstheme="minorHAnsi"/>
          <w:bCs/>
          <w:sz w:val="22"/>
          <w:szCs w:val="22"/>
        </w:rPr>
        <w:t xml:space="preserve">oko </w:t>
      </w:r>
      <w:r w:rsidR="005111CC" w:rsidRPr="00D436A1">
        <w:rPr>
          <w:rFonts w:asciiTheme="minorHAnsi" w:hAnsiTheme="minorHAnsi" w:cstheme="minorHAnsi"/>
          <w:bCs/>
          <w:sz w:val="22"/>
          <w:szCs w:val="22"/>
        </w:rPr>
        <w:t>250 milijuna eura</w:t>
      </w:r>
      <w:r w:rsidR="00784F0D" w:rsidRPr="00D436A1">
        <w:rPr>
          <w:rFonts w:asciiTheme="minorHAnsi" w:hAnsiTheme="minorHAnsi" w:cstheme="minorHAnsi"/>
          <w:bCs/>
          <w:sz w:val="22"/>
          <w:szCs w:val="22"/>
        </w:rPr>
        <w:t>,</w:t>
      </w:r>
      <w:r w:rsidR="00483365" w:rsidRPr="00D436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91849" w:rsidRPr="00D436A1">
        <w:rPr>
          <w:rFonts w:asciiTheme="minorHAnsi" w:hAnsiTheme="minorHAnsi" w:cstheme="minorHAnsi"/>
          <w:bCs/>
          <w:sz w:val="22"/>
          <w:szCs w:val="22"/>
        </w:rPr>
        <w:t>između ostalog i zbog toga što u 2023. nije bilo dodatnog poreza na dobit.</w:t>
      </w:r>
      <w:r w:rsidR="005111CC" w:rsidRPr="00D436A1">
        <w:rPr>
          <w:rFonts w:asciiTheme="minorHAnsi" w:hAnsiTheme="minorHAnsi" w:cstheme="minorHAnsi"/>
          <w:bCs/>
          <w:sz w:val="22"/>
          <w:szCs w:val="22"/>
        </w:rPr>
        <w:t xml:space="preserve"> Glavni pokretač EBITDA</w:t>
      </w:r>
      <w:r w:rsidR="00A957EA" w:rsidRPr="00D436A1">
        <w:rPr>
          <w:rFonts w:asciiTheme="minorHAnsi" w:hAnsiTheme="minorHAnsi" w:cstheme="minorHAnsi"/>
          <w:bCs/>
          <w:sz w:val="22"/>
          <w:szCs w:val="22"/>
        </w:rPr>
        <w:t>-e</w:t>
      </w:r>
      <w:r w:rsidR="005111CC" w:rsidRPr="00D436A1">
        <w:rPr>
          <w:rFonts w:asciiTheme="minorHAnsi" w:hAnsiTheme="minorHAnsi" w:cstheme="minorHAnsi"/>
          <w:bCs/>
          <w:sz w:val="22"/>
          <w:szCs w:val="22"/>
        </w:rPr>
        <w:t xml:space="preserve"> je smanjenje realizirane cijene ugljikovodika od 28</w:t>
      </w:r>
      <w:r w:rsidR="00A957EA" w:rsidRPr="00D436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11CC" w:rsidRPr="00D436A1">
        <w:rPr>
          <w:rFonts w:asciiTheme="minorHAnsi" w:hAnsiTheme="minorHAnsi" w:cstheme="minorHAnsi"/>
          <w:bCs/>
          <w:sz w:val="22"/>
          <w:szCs w:val="22"/>
        </w:rPr>
        <w:t xml:space="preserve">%, pri čemu su cijene plina pale značajno više od </w:t>
      </w:r>
      <w:r w:rsidR="00A957EA" w:rsidRPr="00D436A1">
        <w:rPr>
          <w:rFonts w:asciiTheme="minorHAnsi" w:hAnsiTheme="minorHAnsi" w:cstheme="minorHAnsi"/>
          <w:bCs/>
          <w:sz w:val="22"/>
          <w:szCs w:val="22"/>
        </w:rPr>
        <w:t xml:space="preserve">cijena </w:t>
      </w:r>
      <w:r w:rsidR="005111CC" w:rsidRPr="00D436A1">
        <w:rPr>
          <w:rFonts w:asciiTheme="minorHAnsi" w:hAnsiTheme="minorHAnsi" w:cstheme="minorHAnsi"/>
          <w:bCs/>
          <w:sz w:val="22"/>
          <w:szCs w:val="22"/>
        </w:rPr>
        <w:t xml:space="preserve">nafte. </w:t>
      </w:r>
    </w:p>
    <w:p w14:paraId="0B46C1DE" w14:textId="061492A7" w:rsidR="005111CC" w:rsidRPr="00D436A1" w:rsidRDefault="005111CC" w:rsidP="005111CC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36A1">
        <w:rPr>
          <w:rFonts w:asciiTheme="minorHAnsi" w:hAnsiTheme="minorHAnsi" w:cstheme="minorHAnsi"/>
          <w:bCs/>
          <w:sz w:val="22"/>
          <w:szCs w:val="22"/>
        </w:rPr>
        <w:t xml:space="preserve">EBITDA </w:t>
      </w:r>
      <w:r w:rsidR="00A957EA" w:rsidRPr="00D436A1">
        <w:rPr>
          <w:rFonts w:asciiTheme="minorHAnsi" w:hAnsiTheme="minorHAnsi" w:cstheme="minorHAnsi"/>
          <w:bCs/>
          <w:sz w:val="22"/>
          <w:szCs w:val="22"/>
        </w:rPr>
        <w:t xml:space="preserve">djelatnosti </w:t>
      </w:r>
      <w:r w:rsidRPr="00D436A1">
        <w:rPr>
          <w:rFonts w:asciiTheme="minorHAnsi" w:hAnsiTheme="minorHAnsi" w:cstheme="minorHAnsi"/>
          <w:bCs/>
          <w:sz w:val="22"/>
          <w:szCs w:val="22"/>
        </w:rPr>
        <w:t>Istraživanja i proizvodnje</w:t>
      </w:r>
      <w:r w:rsidR="00A957EA" w:rsidRPr="00D436A1">
        <w:rPr>
          <w:rFonts w:asciiTheme="minorHAnsi" w:hAnsiTheme="minorHAnsi" w:cstheme="minorHAnsi"/>
          <w:bCs/>
          <w:sz w:val="22"/>
          <w:szCs w:val="22"/>
        </w:rPr>
        <w:t xml:space="preserve"> nafte i plina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38D3" w:rsidRPr="00D436A1">
        <w:rPr>
          <w:rFonts w:asciiTheme="minorHAnsi" w:hAnsiTheme="minorHAnsi" w:cstheme="minorHAnsi"/>
          <w:bCs/>
          <w:sz w:val="22"/>
          <w:szCs w:val="22"/>
        </w:rPr>
        <w:t xml:space="preserve">za 2023. godinu 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niža je nastavno na </w:t>
      </w:r>
      <w:r w:rsidR="00A957EA" w:rsidRPr="00D436A1">
        <w:rPr>
          <w:rFonts w:asciiTheme="minorHAnsi" w:hAnsiTheme="minorHAnsi" w:cstheme="minorHAnsi"/>
          <w:bCs/>
          <w:sz w:val="22"/>
          <w:szCs w:val="22"/>
        </w:rPr>
        <w:t>vanjsko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okruženje i umjeren pad proizvodnje te </w:t>
      </w:r>
      <w:r w:rsidR="00E538D3" w:rsidRPr="00D436A1">
        <w:rPr>
          <w:rFonts w:asciiTheme="minorHAnsi" w:hAnsiTheme="minorHAnsi" w:cstheme="minorHAnsi"/>
          <w:bCs/>
          <w:sz w:val="22"/>
          <w:szCs w:val="22"/>
        </w:rPr>
        <w:t>iz</w:t>
      </w:r>
      <w:r w:rsidRPr="00D436A1">
        <w:rPr>
          <w:rFonts w:asciiTheme="minorHAnsi" w:hAnsiTheme="minorHAnsi" w:cstheme="minorHAnsi"/>
          <w:bCs/>
          <w:sz w:val="22"/>
          <w:szCs w:val="22"/>
        </w:rPr>
        <w:t>nosi 413 milijuna eura. Proizvodnja je smanjena u skladu s očekivan</w:t>
      </w:r>
      <w:r w:rsidR="005E17DC" w:rsidRPr="00D436A1">
        <w:rPr>
          <w:rFonts w:asciiTheme="minorHAnsi" w:hAnsiTheme="minorHAnsi" w:cstheme="minorHAnsi"/>
          <w:bCs/>
          <w:sz w:val="22"/>
          <w:szCs w:val="22"/>
        </w:rPr>
        <w:t>jima</w:t>
      </w:r>
      <w:r w:rsidR="00A91CE9" w:rsidRPr="00D436A1">
        <w:rPr>
          <w:rFonts w:asciiTheme="minorHAnsi" w:hAnsiTheme="minorHAnsi" w:cstheme="minorHAnsi"/>
          <w:bCs/>
          <w:sz w:val="22"/>
          <w:szCs w:val="22"/>
        </w:rPr>
        <w:t xml:space="preserve"> zbog</w:t>
      </w:r>
      <w:r w:rsidR="005E17DC" w:rsidRPr="00D436A1">
        <w:rPr>
          <w:rFonts w:asciiTheme="minorHAnsi" w:hAnsiTheme="minorHAnsi" w:cstheme="minorHAnsi"/>
          <w:bCs/>
          <w:sz w:val="22"/>
          <w:szCs w:val="22"/>
        </w:rPr>
        <w:t xml:space="preserve"> zrelost</w:t>
      </w:r>
      <w:r w:rsidR="00A91CE9" w:rsidRPr="00D436A1">
        <w:rPr>
          <w:rFonts w:asciiTheme="minorHAnsi" w:hAnsiTheme="minorHAnsi" w:cstheme="minorHAnsi"/>
          <w:bCs/>
          <w:sz w:val="22"/>
          <w:szCs w:val="22"/>
        </w:rPr>
        <w:t>i</w:t>
      </w:r>
      <w:r w:rsidR="005E17DC" w:rsidRPr="00D436A1">
        <w:rPr>
          <w:rFonts w:asciiTheme="minorHAnsi" w:hAnsiTheme="minorHAnsi" w:cstheme="minorHAnsi"/>
          <w:bCs/>
          <w:sz w:val="22"/>
          <w:szCs w:val="22"/>
        </w:rPr>
        <w:t xml:space="preserve"> polja</w:t>
      </w:r>
      <w:r w:rsidR="00D5747F" w:rsidRPr="00D436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E2C65" w:rsidRPr="00D436A1">
        <w:rPr>
          <w:rFonts w:asciiTheme="minorHAnsi" w:hAnsiTheme="minorHAnsi" w:cstheme="minorHAnsi"/>
          <w:bCs/>
          <w:sz w:val="22"/>
          <w:szCs w:val="22"/>
        </w:rPr>
        <w:t>i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remont</w:t>
      </w:r>
      <w:r w:rsidR="00A91CE9" w:rsidRPr="00D436A1">
        <w:rPr>
          <w:rFonts w:asciiTheme="minorHAnsi" w:hAnsiTheme="minorHAnsi" w:cstheme="minorHAnsi"/>
          <w:bCs/>
          <w:sz w:val="22"/>
          <w:szCs w:val="22"/>
        </w:rPr>
        <w:t>a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747F" w:rsidRPr="00D436A1">
        <w:rPr>
          <w:rFonts w:asciiTheme="minorHAnsi" w:hAnsiTheme="minorHAnsi" w:cstheme="minorHAnsi"/>
          <w:bCs/>
          <w:sz w:val="22"/>
          <w:szCs w:val="22"/>
        </w:rPr>
        <w:t>proveden</w:t>
      </w:r>
      <w:r w:rsidR="00A91CE9" w:rsidRPr="00D436A1">
        <w:rPr>
          <w:rFonts w:asciiTheme="minorHAnsi" w:hAnsiTheme="minorHAnsi" w:cstheme="minorHAnsi"/>
          <w:bCs/>
          <w:sz w:val="22"/>
          <w:szCs w:val="22"/>
        </w:rPr>
        <w:t>og</w:t>
      </w:r>
      <w:r w:rsidR="00D5747F" w:rsidRPr="00D436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436A1">
        <w:rPr>
          <w:rFonts w:asciiTheme="minorHAnsi" w:hAnsiTheme="minorHAnsi" w:cstheme="minorHAnsi"/>
          <w:bCs/>
          <w:sz w:val="22"/>
          <w:szCs w:val="22"/>
        </w:rPr>
        <w:t>na postrojenjima za obradu plina</w:t>
      </w:r>
      <w:r w:rsidR="005E17DC" w:rsidRPr="00D436A1">
        <w:rPr>
          <w:rFonts w:asciiTheme="minorHAnsi" w:hAnsiTheme="minorHAnsi" w:cstheme="minorHAnsi"/>
          <w:bCs/>
          <w:sz w:val="22"/>
          <w:szCs w:val="22"/>
        </w:rPr>
        <w:t xml:space="preserve"> u trećem tromjesečju</w:t>
      </w:r>
      <w:r w:rsidRPr="00D436A1">
        <w:rPr>
          <w:rFonts w:asciiTheme="minorHAnsi" w:hAnsiTheme="minorHAnsi" w:cstheme="minorHAnsi"/>
          <w:bCs/>
          <w:sz w:val="22"/>
          <w:szCs w:val="22"/>
        </w:rPr>
        <w:t>. S druge strane</w:t>
      </w:r>
      <w:r w:rsidR="00E538D3" w:rsidRPr="00D436A1">
        <w:rPr>
          <w:rFonts w:asciiTheme="minorHAnsi" w:hAnsiTheme="minorHAnsi" w:cstheme="minorHAnsi"/>
          <w:bCs/>
          <w:sz w:val="22"/>
          <w:szCs w:val="22"/>
        </w:rPr>
        <w:t>,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doprinos je ostvaren na egipatskoj koncesiji East </w:t>
      </w:r>
      <w:proofErr w:type="spellStart"/>
      <w:r w:rsidRPr="00D436A1">
        <w:rPr>
          <w:rFonts w:asciiTheme="minorHAnsi" w:hAnsiTheme="minorHAnsi" w:cstheme="minorHAnsi"/>
          <w:bCs/>
          <w:sz w:val="22"/>
          <w:szCs w:val="22"/>
        </w:rPr>
        <w:t>Damanhur</w:t>
      </w:r>
      <w:proofErr w:type="spellEnd"/>
      <w:r w:rsidRPr="00D436A1">
        <w:rPr>
          <w:rFonts w:asciiTheme="minorHAnsi" w:hAnsiTheme="minorHAnsi" w:cstheme="minorHAnsi"/>
          <w:bCs/>
          <w:sz w:val="22"/>
          <w:szCs w:val="22"/>
        </w:rPr>
        <w:t xml:space="preserve"> koja je počela s proizvodnjom plina u rujnu i komercijalnim otkrićem na bušotini Veliki Rastovac-1. Sve navedeno rezultiralo je </w:t>
      </w:r>
      <w:r w:rsidR="00256123" w:rsidRPr="00D436A1">
        <w:rPr>
          <w:rFonts w:asciiTheme="minorHAnsi" w:hAnsiTheme="minorHAnsi" w:cstheme="minorHAnsi"/>
          <w:bCs/>
          <w:sz w:val="22"/>
          <w:szCs w:val="22"/>
        </w:rPr>
        <w:t xml:space="preserve">tek </w:t>
      </w:r>
      <w:r w:rsidR="00E538D3" w:rsidRPr="00D436A1">
        <w:rPr>
          <w:rFonts w:asciiTheme="minorHAnsi" w:hAnsiTheme="minorHAnsi" w:cstheme="minorHAnsi"/>
          <w:bCs/>
          <w:sz w:val="22"/>
          <w:szCs w:val="22"/>
        </w:rPr>
        <w:t>šest posto nižom proizvodnjom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4880F35" w14:textId="3F5C4AFA" w:rsidR="005111CC" w:rsidRPr="00D436A1" w:rsidRDefault="005111CC" w:rsidP="005111CC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36A1">
        <w:rPr>
          <w:rFonts w:asciiTheme="minorHAnsi" w:hAnsiTheme="minorHAnsi" w:cstheme="minorHAnsi"/>
          <w:bCs/>
          <w:sz w:val="22"/>
          <w:szCs w:val="22"/>
        </w:rPr>
        <w:t>Rezultat djelatnosti Rafinerija i marketinga uključujući Usluge kupcima i maloprodaju poboljšan je uglavnom uslijed snažne potražnje na tržištu i pozitivno</w:t>
      </w:r>
      <w:r w:rsidR="00041008" w:rsidRPr="00D436A1">
        <w:rPr>
          <w:rFonts w:asciiTheme="minorHAnsi" w:hAnsiTheme="minorHAnsi" w:cstheme="minorHAnsi"/>
          <w:bCs/>
          <w:sz w:val="22"/>
          <w:szCs w:val="22"/>
        </w:rPr>
        <w:t>g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doprinos</w:t>
      </w:r>
      <w:r w:rsidR="00041008" w:rsidRPr="00D436A1">
        <w:rPr>
          <w:rFonts w:asciiTheme="minorHAnsi" w:hAnsiTheme="minorHAnsi" w:cstheme="minorHAnsi"/>
          <w:bCs/>
          <w:sz w:val="22"/>
          <w:szCs w:val="22"/>
        </w:rPr>
        <w:t>a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vlastite proizvodnje. Prodane količine Maloprodaje povećane su 19</w:t>
      </w:r>
      <w:r w:rsidR="00041008" w:rsidRPr="00D436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436A1">
        <w:rPr>
          <w:rFonts w:asciiTheme="minorHAnsi" w:hAnsiTheme="minorHAnsi" w:cstheme="minorHAnsi"/>
          <w:bCs/>
          <w:sz w:val="22"/>
          <w:szCs w:val="22"/>
        </w:rPr>
        <w:t>%</w:t>
      </w:r>
      <w:r w:rsidR="0099750C" w:rsidRPr="00D436A1">
        <w:rPr>
          <w:rFonts w:asciiTheme="minorHAnsi" w:hAnsiTheme="minorHAnsi" w:cstheme="minorHAnsi"/>
          <w:bCs/>
          <w:sz w:val="22"/>
          <w:szCs w:val="22"/>
        </w:rPr>
        <w:t>, uglavnom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kao rezultat dobre turističke sezone</w:t>
      </w:r>
      <w:r w:rsidR="00F60382" w:rsidRPr="00D436A1">
        <w:rPr>
          <w:rFonts w:asciiTheme="minorHAnsi" w:hAnsiTheme="minorHAnsi" w:cstheme="minorHAnsi"/>
          <w:bCs/>
          <w:sz w:val="22"/>
          <w:szCs w:val="22"/>
        </w:rPr>
        <w:t>, a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marža ne-goriva </w:t>
      </w:r>
      <w:r w:rsidR="00CD1EDE" w:rsidRPr="00D436A1">
        <w:rPr>
          <w:rFonts w:asciiTheme="minorHAnsi" w:hAnsiTheme="minorHAnsi" w:cstheme="minorHAnsi"/>
          <w:bCs/>
          <w:sz w:val="22"/>
          <w:szCs w:val="22"/>
        </w:rPr>
        <w:t>nastavila je rast</w:t>
      </w:r>
      <w:r w:rsidR="00D3382A" w:rsidRPr="00D436A1">
        <w:rPr>
          <w:rFonts w:asciiTheme="minorHAnsi" w:hAnsiTheme="minorHAnsi" w:cstheme="minorHAnsi"/>
          <w:bCs/>
          <w:sz w:val="22"/>
          <w:szCs w:val="22"/>
        </w:rPr>
        <w:t>i (+</w:t>
      </w:r>
      <w:r w:rsidRPr="00D436A1">
        <w:rPr>
          <w:rFonts w:asciiTheme="minorHAnsi" w:hAnsiTheme="minorHAnsi" w:cstheme="minorHAnsi"/>
          <w:bCs/>
          <w:sz w:val="22"/>
          <w:szCs w:val="22"/>
        </w:rPr>
        <w:t>33</w:t>
      </w:r>
      <w:r w:rsidR="00D124FB" w:rsidRPr="00D436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436A1">
        <w:rPr>
          <w:rFonts w:asciiTheme="minorHAnsi" w:hAnsiTheme="minorHAnsi" w:cstheme="minorHAnsi"/>
          <w:bCs/>
          <w:sz w:val="22"/>
          <w:szCs w:val="22"/>
        </w:rPr>
        <w:t>%</w:t>
      </w:r>
      <w:r w:rsidR="00D3382A" w:rsidRPr="00D436A1">
        <w:rPr>
          <w:rFonts w:asciiTheme="minorHAnsi" w:hAnsiTheme="minorHAnsi" w:cstheme="minorHAnsi"/>
          <w:bCs/>
          <w:sz w:val="22"/>
          <w:szCs w:val="22"/>
        </w:rPr>
        <w:t>)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. Pojednostavljeni slobodni novčani tok djelatnosti </w:t>
      </w:r>
      <w:r w:rsidR="00D43D09" w:rsidRPr="00D436A1">
        <w:rPr>
          <w:rFonts w:asciiTheme="minorHAnsi" w:hAnsiTheme="minorHAnsi" w:cstheme="minorHAnsi"/>
          <w:bCs/>
          <w:sz w:val="22"/>
          <w:szCs w:val="22"/>
        </w:rPr>
        <w:t xml:space="preserve">u 2023. je </w:t>
      </w:r>
      <w:r w:rsidRPr="00D436A1">
        <w:rPr>
          <w:rFonts w:asciiTheme="minorHAnsi" w:hAnsiTheme="minorHAnsi" w:cstheme="minorHAnsi"/>
          <w:bCs/>
          <w:sz w:val="22"/>
          <w:szCs w:val="22"/>
        </w:rPr>
        <w:t>poboljšan</w:t>
      </w:r>
      <w:r w:rsidR="00D124FB" w:rsidRPr="00D436A1">
        <w:rPr>
          <w:rFonts w:asciiTheme="minorHAnsi" w:hAnsiTheme="minorHAnsi" w:cstheme="minorHAnsi"/>
          <w:bCs/>
          <w:sz w:val="22"/>
          <w:szCs w:val="22"/>
        </w:rPr>
        <w:t>,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ali je ostao negativan na 103 milijuna eura</w:t>
      </w:r>
      <w:r w:rsidR="00D43D09" w:rsidRPr="00D436A1">
        <w:rPr>
          <w:rFonts w:asciiTheme="minorHAnsi" w:hAnsiTheme="minorHAnsi" w:cstheme="minorHAnsi"/>
          <w:bCs/>
          <w:sz w:val="22"/>
          <w:szCs w:val="22"/>
        </w:rPr>
        <w:t>.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EED396" w14:textId="5FEB0E92" w:rsidR="00323661" w:rsidRPr="00D436A1" w:rsidRDefault="00E16618" w:rsidP="00E16618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36A1">
        <w:rPr>
          <w:rFonts w:asciiTheme="minorHAnsi" w:hAnsiTheme="minorHAnsi" w:cstheme="minorHAnsi"/>
          <w:bCs/>
          <w:sz w:val="22"/>
          <w:szCs w:val="22"/>
        </w:rPr>
        <w:t xml:space="preserve">Investicijske aktivnosti iznosile su gotovo 400 milijuna eura, </w:t>
      </w:r>
      <w:r w:rsidR="008412DD" w:rsidRPr="00D436A1">
        <w:rPr>
          <w:rFonts w:asciiTheme="minorHAnsi" w:hAnsiTheme="minorHAnsi" w:cstheme="minorHAnsi"/>
          <w:bCs/>
          <w:sz w:val="22"/>
          <w:szCs w:val="22"/>
        </w:rPr>
        <w:t>uključujući 85 milijuna</w:t>
      </w:r>
      <w:r w:rsidR="00E6280D" w:rsidRPr="00D436A1">
        <w:rPr>
          <w:rFonts w:asciiTheme="minorHAnsi" w:hAnsiTheme="minorHAnsi" w:cstheme="minorHAnsi"/>
          <w:bCs/>
          <w:sz w:val="22"/>
          <w:szCs w:val="22"/>
        </w:rPr>
        <w:t xml:space="preserve"> za stjecanje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dodatnih 25 % udjela u OMV-u Slovenija. </w:t>
      </w:r>
      <w:r w:rsidR="005111CC" w:rsidRPr="00D436A1">
        <w:rPr>
          <w:rFonts w:asciiTheme="minorHAnsi" w:hAnsiTheme="minorHAnsi" w:cstheme="minorHAnsi"/>
          <w:bCs/>
          <w:sz w:val="22"/>
          <w:szCs w:val="22"/>
        </w:rPr>
        <w:t xml:space="preserve">Ulaganja </w:t>
      </w:r>
      <w:r w:rsidR="00622C7B" w:rsidRPr="00D436A1">
        <w:rPr>
          <w:rFonts w:asciiTheme="minorHAnsi" w:hAnsiTheme="minorHAnsi" w:cstheme="minorHAnsi"/>
          <w:bCs/>
          <w:sz w:val="22"/>
          <w:szCs w:val="22"/>
        </w:rPr>
        <w:t xml:space="preserve">u djelatnosti </w:t>
      </w:r>
      <w:r w:rsidR="005111CC" w:rsidRPr="00D436A1">
        <w:rPr>
          <w:rFonts w:asciiTheme="minorHAnsi" w:hAnsiTheme="minorHAnsi" w:cstheme="minorHAnsi"/>
          <w:bCs/>
          <w:sz w:val="22"/>
          <w:szCs w:val="22"/>
        </w:rPr>
        <w:t>Istraživanja i proizvodnje nafte i plina ostala su snažna na 100 milijuna eura. Projekt nadogradnje Rafinerije nafte Rijeka dostigao je 84</w:t>
      </w:r>
      <w:r w:rsidR="00622C7B" w:rsidRPr="00D436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11CC" w:rsidRPr="00D436A1">
        <w:rPr>
          <w:rFonts w:asciiTheme="minorHAnsi" w:hAnsiTheme="minorHAnsi" w:cstheme="minorHAnsi"/>
          <w:bCs/>
          <w:sz w:val="22"/>
          <w:szCs w:val="22"/>
        </w:rPr>
        <w:t>% ukupne završenosti. Financijska pozicija ostaje stabilna uz neto dug od 216 milijuna eura te omjer duga i kapitala od 12</w:t>
      </w:r>
      <w:r w:rsidR="00622C7B" w:rsidRPr="00D436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11CC" w:rsidRPr="00D436A1">
        <w:rPr>
          <w:rFonts w:asciiTheme="minorHAnsi" w:hAnsiTheme="minorHAnsi" w:cstheme="minorHAnsi"/>
          <w:bCs/>
          <w:sz w:val="22"/>
          <w:szCs w:val="22"/>
        </w:rPr>
        <w:t>% kao održiva osnova za buduća ulaganja.</w:t>
      </w:r>
    </w:p>
    <w:p w14:paraId="2F207E37" w14:textId="545F7C28" w:rsidR="00CF7FC1" w:rsidRPr="00D436A1" w:rsidRDefault="00E55AED" w:rsidP="00CF7FC1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36A1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proofErr w:type="spellStart"/>
      <w:r w:rsidR="00DC76DF" w:rsidRPr="00D436A1">
        <w:rPr>
          <w:rFonts w:asciiTheme="minorHAnsi" w:hAnsiTheme="minorHAnsi" w:cstheme="minorHAnsi"/>
          <w:b/>
          <w:sz w:val="22"/>
          <w:szCs w:val="22"/>
        </w:rPr>
        <w:t>Zsuzsanne</w:t>
      </w:r>
      <w:proofErr w:type="spellEnd"/>
      <w:r w:rsidR="00DC76DF" w:rsidRPr="00D436A1">
        <w:rPr>
          <w:rFonts w:asciiTheme="minorHAnsi" w:hAnsiTheme="minorHAnsi" w:cstheme="minorHAnsi"/>
          <w:b/>
          <w:sz w:val="22"/>
          <w:szCs w:val="22"/>
        </w:rPr>
        <w:t xml:space="preserve"> Ortutay</w:t>
      </w:r>
      <w:r w:rsidR="0037692E" w:rsidRPr="00D436A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436A1">
        <w:rPr>
          <w:rFonts w:asciiTheme="minorHAnsi" w:hAnsiTheme="minorHAnsi" w:cstheme="minorHAnsi"/>
          <w:b/>
          <w:sz w:val="22"/>
          <w:szCs w:val="22"/>
        </w:rPr>
        <w:t>predsjedni</w:t>
      </w:r>
      <w:r w:rsidR="00DC76DF" w:rsidRPr="00D436A1">
        <w:rPr>
          <w:rFonts w:asciiTheme="minorHAnsi" w:hAnsiTheme="minorHAnsi" w:cstheme="minorHAnsi"/>
          <w:b/>
          <w:sz w:val="22"/>
          <w:szCs w:val="22"/>
        </w:rPr>
        <w:t>ce</w:t>
      </w:r>
      <w:r w:rsidRPr="00D436A1">
        <w:rPr>
          <w:rFonts w:asciiTheme="minorHAnsi" w:hAnsiTheme="minorHAnsi" w:cstheme="minorHAnsi"/>
          <w:b/>
          <w:sz w:val="22"/>
          <w:szCs w:val="22"/>
        </w:rPr>
        <w:t xml:space="preserve"> Uprave Ine</w:t>
      </w:r>
      <w:r w:rsidR="0037692E" w:rsidRPr="00D436A1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3D5775AE" w14:textId="7A0D3679" w:rsidR="00A36CDE" w:rsidRPr="00D436A1" w:rsidRDefault="00A36CDE" w:rsidP="00A36CDE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36A1">
        <w:rPr>
          <w:rFonts w:asciiTheme="minorHAnsi" w:hAnsiTheme="minorHAnsi" w:cstheme="minorHAnsi"/>
          <w:bCs/>
          <w:sz w:val="22"/>
          <w:szCs w:val="22"/>
        </w:rPr>
        <w:t xml:space="preserve">“U 2023., usred posljedica tržišnih turbulencija u prethodnoj godini, globalna ekonomija pronašla je svoje uporište, označavajući razdoblje stabilnosti. Cijene energije koje su bile </w:t>
      </w:r>
      <w:r w:rsidR="00A74869" w:rsidRPr="00D436A1">
        <w:rPr>
          <w:rFonts w:asciiTheme="minorHAnsi" w:hAnsiTheme="minorHAnsi" w:cstheme="minorHAnsi"/>
          <w:bCs/>
          <w:sz w:val="22"/>
          <w:szCs w:val="22"/>
        </w:rPr>
        <w:t xml:space="preserve">nepostojane 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zbog problema s opskrbom, sada su </w:t>
      </w:r>
      <w:r w:rsidR="00A74869" w:rsidRPr="00D436A1">
        <w:rPr>
          <w:rFonts w:asciiTheme="minorHAnsi" w:hAnsiTheme="minorHAnsi" w:cstheme="minorHAnsi"/>
          <w:bCs/>
          <w:sz w:val="22"/>
          <w:szCs w:val="22"/>
        </w:rPr>
        <w:t>se u</w:t>
      </w:r>
      <w:r w:rsidRPr="00D436A1">
        <w:rPr>
          <w:rFonts w:asciiTheme="minorHAnsi" w:hAnsiTheme="minorHAnsi" w:cstheme="minorHAnsi"/>
          <w:bCs/>
          <w:sz w:val="22"/>
          <w:szCs w:val="22"/>
        </w:rPr>
        <w:t>stal</w:t>
      </w:r>
      <w:r w:rsidR="00A74869" w:rsidRPr="00D436A1">
        <w:rPr>
          <w:rFonts w:asciiTheme="minorHAnsi" w:hAnsiTheme="minorHAnsi" w:cstheme="minorHAnsi"/>
          <w:bCs/>
          <w:sz w:val="22"/>
          <w:szCs w:val="22"/>
        </w:rPr>
        <w:t>il</w:t>
      </w:r>
      <w:r w:rsidRPr="00D436A1">
        <w:rPr>
          <w:rFonts w:asciiTheme="minorHAnsi" w:hAnsiTheme="minorHAnsi" w:cstheme="minorHAnsi"/>
          <w:bCs/>
          <w:sz w:val="22"/>
          <w:szCs w:val="22"/>
        </w:rPr>
        <w:t>e, pridonoseći uravnotežen</w:t>
      </w:r>
      <w:r w:rsidR="00C44436" w:rsidRPr="00D436A1">
        <w:rPr>
          <w:rFonts w:asciiTheme="minorHAnsi" w:hAnsiTheme="minorHAnsi" w:cstheme="minorHAnsi"/>
          <w:bCs/>
          <w:sz w:val="22"/>
          <w:szCs w:val="22"/>
        </w:rPr>
        <w:t>ju</w:t>
      </w:r>
      <w:r w:rsidRPr="00D436A1">
        <w:rPr>
          <w:rFonts w:asciiTheme="minorHAnsi" w:hAnsiTheme="minorHAnsi" w:cstheme="minorHAnsi"/>
          <w:bCs/>
          <w:sz w:val="22"/>
          <w:szCs w:val="22"/>
        </w:rPr>
        <w:t>. Unatoč neizbježnom utjecaju nižih cijena nafte i plina u naš</w:t>
      </w:r>
      <w:r w:rsidR="00A6512C" w:rsidRPr="00D436A1">
        <w:rPr>
          <w:rFonts w:asciiTheme="minorHAnsi" w:hAnsiTheme="minorHAnsi" w:cstheme="minorHAnsi"/>
          <w:bCs/>
          <w:sz w:val="22"/>
          <w:szCs w:val="22"/>
        </w:rPr>
        <w:t>oj djelatnosti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12C" w:rsidRPr="00D436A1">
        <w:rPr>
          <w:rFonts w:asciiTheme="minorHAnsi" w:hAnsiTheme="minorHAnsi" w:cstheme="minorHAnsi"/>
          <w:bCs/>
          <w:sz w:val="22"/>
          <w:szCs w:val="22"/>
        </w:rPr>
        <w:t>I</w:t>
      </w:r>
      <w:r w:rsidRPr="00D436A1">
        <w:rPr>
          <w:rFonts w:asciiTheme="minorHAnsi" w:hAnsiTheme="minorHAnsi" w:cstheme="minorHAnsi"/>
          <w:bCs/>
          <w:sz w:val="22"/>
          <w:szCs w:val="22"/>
        </w:rPr>
        <w:t>straživanja i proizvodnje</w:t>
      </w:r>
      <w:r w:rsidR="00A6512C" w:rsidRPr="00D436A1">
        <w:rPr>
          <w:rFonts w:asciiTheme="minorHAnsi" w:hAnsiTheme="minorHAnsi" w:cstheme="minorHAnsi"/>
          <w:bCs/>
          <w:sz w:val="22"/>
          <w:szCs w:val="22"/>
        </w:rPr>
        <w:t xml:space="preserve"> nafte i plina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, ukupna izvedba </w:t>
      </w:r>
      <w:r w:rsidR="00A6512C" w:rsidRPr="00D436A1">
        <w:rPr>
          <w:rFonts w:asciiTheme="minorHAnsi" w:hAnsiTheme="minorHAnsi" w:cstheme="minorHAnsi"/>
          <w:bCs/>
          <w:sz w:val="22"/>
          <w:szCs w:val="22"/>
        </w:rPr>
        <w:t>kompanije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ostala je otporna. INA Grupa zabilježila </w:t>
      </w:r>
      <w:r w:rsidR="00A6512C" w:rsidRPr="00D436A1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Pr="00D436A1">
        <w:rPr>
          <w:rFonts w:asciiTheme="minorHAnsi" w:hAnsiTheme="minorHAnsi" w:cstheme="minorHAnsi"/>
          <w:bCs/>
          <w:sz w:val="22"/>
          <w:szCs w:val="22"/>
        </w:rPr>
        <w:t>pad EBITDA-e za 22</w:t>
      </w:r>
      <w:r w:rsidR="00A6512C" w:rsidRPr="00D436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%, što je bilo i očekivano s obzirom na prevladavajuće okruženje </w:t>
      </w:r>
      <w:r w:rsidR="00314CF1" w:rsidRPr="00D436A1">
        <w:rPr>
          <w:rFonts w:asciiTheme="minorHAnsi" w:hAnsiTheme="minorHAnsi" w:cstheme="minorHAnsi"/>
          <w:bCs/>
          <w:sz w:val="22"/>
          <w:szCs w:val="22"/>
        </w:rPr>
        <w:t>nižih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cijena. </w:t>
      </w:r>
      <w:r w:rsidR="00A74869" w:rsidRPr="00D436A1">
        <w:rPr>
          <w:rFonts w:asciiTheme="minorHAnsi" w:hAnsiTheme="minorHAnsi" w:cstheme="minorHAnsi"/>
          <w:bCs/>
          <w:sz w:val="22"/>
          <w:szCs w:val="22"/>
        </w:rPr>
        <w:t>Ipak</w:t>
      </w:r>
      <w:r w:rsidRPr="00D436A1">
        <w:rPr>
          <w:rFonts w:asciiTheme="minorHAnsi" w:hAnsiTheme="minorHAnsi" w:cstheme="minorHAnsi"/>
          <w:bCs/>
          <w:sz w:val="22"/>
          <w:szCs w:val="22"/>
        </w:rPr>
        <w:t>, investicijski izdaci dosegnuli su 400 milijuna eura u 2023.</w:t>
      </w:r>
      <w:r w:rsidR="00A74869" w:rsidRPr="00D436A1">
        <w:rPr>
          <w:rFonts w:asciiTheme="minorHAnsi" w:hAnsiTheme="minorHAnsi" w:cstheme="minorHAnsi"/>
          <w:bCs/>
          <w:sz w:val="22"/>
          <w:szCs w:val="22"/>
        </w:rPr>
        <w:t xml:space="preserve"> te su</w:t>
      </w:r>
      <w:r w:rsidR="00D436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pretežno usmjereni na domaća ulaganja i </w:t>
      </w:r>
      <w:r w:rsidR="005A21C2" w:rsidRPr="00D436A1">
        <w:rPr>
          <w:rFonts w:asciiTheme="minorHAnsi" w:hAnsiTheme="minorHAnsi" w:cstheme="minorHAnsi"/>
          <w:bCs/>
          <w:sz w:val="22"/>
          <w:szCs w:val="22"/>
        </w:rPr>
        <w:t>širenje</w:t>
      </w:r>
      <w:r w:rsidR="00314CF1" w:rsidRPr="00D436A1">
        <w:rPr>
          <w:rFonts w:asciiTheme="minorHAnsi" w:hAnsiTheme="minorHAnsi" w:cstheme="minorHAnsi"/>
          <w:bCs/>
          <w:sz w:val="22"/>
          <w:szCs w:val="22"/>
        </w:rPr>
        <w:t xml:space="preserve"> na slovenskom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tržišt</w:t>
      </w:r>
      <w:r w:rsidR="00314CF1" w:rsidRPr="00D436A1">
        <w:rPr>
          <w:rFonts w:asciiTheme="minorHAnsi" w:hAnsiTheme="minorHAnsi" w:cstheme="minorHAnsi"/>
          <w:bCs/>
          <w:sz w:val="22"/>
          <w:szCs w:val="22"/>
        </w:rPr>
        <w:t>u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stjecanjem dodatnih 25</w:t>
      </w:r>
      <w:r w:rsidR="005A21C2" w:rsidRPr="00D436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436A1">
        <w:rPr>
          <w:rFonts w:asciiTheme="minorHAnsi" w:hAnsiTheme="minorHAnsi" w:cstheme="minorHAnsi"/>
          <w:bCs/>
          <w:sz w:val="22"/>
          <w:szCs w:val="22"/>
        </w:rPr>
        <w:t>% udjela u OMV</w:t>
      </w:r>
      <w:r w:rsidR="005A21C2" w:rsidRPr="00D436A1">
        <w:rPr>
          <w:rFonts w:asciiTheme="minorHAnsi" w:hAnsiTheme="minorHAnsi" w:cstheme="minorHAnsi"/>
          <w:bCs/>
          <w:sz w:val="22"/>
          <w:szCs w:val="22"/>
        </w:rPr>
        <w:t>-u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Slovenija. Napredak na ključnim projektima poput Projekta nadogradnje Rafinerije </w:t>
      </w:r>
      <w:r w:rsidR="005A21C2" w:rsidRPr="00D436A1">
        <w:rPr>
          <w:rFonts w:asciiTheme="minorHAnsi" w:hAnsiTheme="minorHAnsi" w:cstheme="minorHAnsi"/>
          <w:bCs/>
          <w:sz w:val="22"/>
          <w:szCs w:val="22"/>
        </w:rPr>
        <w:t xml:space="preserve">nafte </w:t>
      </w:r>
      <w:r w:rsidRPr="00D436A1">
        <w:rPr>
          <w:rFonts w:asciiTheme="minorHAnsi" w:hAnsiTheme="minorHAnsi" w:cstheme="minorHAnsi"/>
          <w:bCs/>
          <w:sz w:val="22"/>
          <w:szCs w:val="22"/>
        </w:rPr>
        <w:t>Rijeka bio je zamjetan, dosegnuvši 84</w:t>
      </w:r>
      <w:r w:rsidR="00AB37AD" w:rsidRPr="00D436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436A1">
        <w:rPr>
          <w:rFonts w:asciiTheme="minorHAnsi" w:hAnsiTheme="minorHAnsi" w:cstheme="minorHAnsi"/>
          <w:bCs/>
          <w:sz w:val="22"/>
          <w:szCs w:val="22"/>
        </w:rPr>
        <w:t>% dovršenosti, uz druge tekuće projekte rasta i poboljšanja učinkovitosti u svim poslovnim segmentima.</w:t>
      </w:r>
    </w:p>
    <w:p w14:paraId="47892215" w14:textId="634CCA59" w:rsidR="00A36CDE" w:rsidRPr="00D436A1" w:rsidRDefault="00A36CDE" w:rsidP="00A36CDE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36A1">
        <w:rPr>
          <w:rFonts w:asciiTheme="minorHAnsi" w:hAnsiTheme="minorHAnsi" w:cstheme="minorHAnsi"/>
          <w:bCs/>
          <w:sz w:val="22"/>
          <w:szCs w:val="22"/>
        </w:rPr>
        <w:t>U Istraživanju i proizvodnji</w:t>
      </w:r>
      <w:r w:rsidR="00AB37AD" w:rsidRPr="00D436A1">
        <w:rPr>
          <w:rFonts w:asciiTheme="minorHAnsi" w:hAnsiTheme="minorHAnsi" w:cstheme="minorHAnsi"/>
          <w:bCs/>
          <w:sz w:val="22"/>
          <w:szCs w:val="22"/>
        </w:rPr>
        <w:t xml:space="preserve"> nafte i plina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ključni </w:t>
      </w:r>
      <w:r w:rsidR="00812FAD" w:rsidRPr="00D436A1">
        <w:rPr>
          <w:rFonts w:asciiTheme="minorHAnsi" w:hAnsiTheme="minorHAnsi" w:cstheme="minorHAnsi"/>
          <w:bCs/>
          <w:sz w:val="22"/>
          <w:szCs w:val="22"/>
        </w:rPr>
        <w:t>remont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i nadogradnje izvršeni su promptno, osiguravajući operativni kontinuitet. Inauguracija </w:t>
      </w:r>
      <w:r w:rsidR="00AB37AD" w:rsidRPr="00D436A1">
        <w:rPr>
          <w:rFonts w:asciiTheme="minorHAnsi" w:hAnsiTheme="minorHAnsi" w:cstheme="minorHAnsi"/>
          <w:bCs/>
          <w:sz w:val="22"/>
          <w:szCs w:val="22"/>
        </w:rPr>
        <w:t xml:space="preserve">Inine 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prve solarne elektrane za komercijalnu proizvodnju </w:t>
      </w:r>
      <w:r w:rsidR="00AB37AD" w:rsidRPr="00D436A1">
        <w:rPr>
          <w:rFonts w:asciiTheme="minorHAnsi" w:hAnsiTheme="minorHAnsi" w:cstheme="minorHAnsi"/>
          <w:bCs/>
          <w:sz w:val="22"/>
          <w:szCs w:val="22"/>
        </w:rPr>
        <w:t xml:space="preserve">električne energije </w:t>
      </w:r>
      <w:r w:rsidRPr="00D436A1">
        <w:rPr>
          <w:rFonts w:asciiTheme="minorHAnsi" w:hAnsiTheme="minorHAnsi" w:cstheme="minorHAnsi"/>
          <w:bCs/>
          <w:sz w:val="22"/>
          <w:szCs w:val="22"/>
        </w:rPr>
        <w:t>dodala je održivu dimenziju n</w:t>
      </w:r>
      <w:r w:rsidR="00AB37AD" w:rsidRPr="00D436A1">
        <w:rPr>
          <w:rFonts w:asciiTheme="minorHAnsi" w:hAnsiTheme="minorHAnsi" w:cstheme="minorHAnsi"/>
          <w:bCs/>
          <w:sz w:val="22"/>
          <w:szCs w:val="22"/>
        </w:rPr>
        <w:t>ašem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energetskom portfelju, signalizirajući strateški zaokret prema obnovljivim izvorima energije. Oporavak tržišta proizvoda bio je očit, s povećanjem ukupne prodaje od </w:t>
      </w:r>
      <w:r w:rsidR="00B80ED6" w:rsidRPr="00D436A1">
        <w:rPr>
          <w:rFonts w:asciiTheme="minorHAnsi" w:hAnsiTheme="minorHAnsi" w:cstheme="minorHAnsi"/>
          <w:bCs/>
          <w:sz w:val="22"/>
          <w:szCs w:val="22"/>
        </w:rPr>
        <w:t>osam posto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4452A0" w:rsidRPr="00D436A1">
        <w:rPr>
          <w:rFonts w:asciiTheme="minorHAnsi" w:hAnsiTheme="minorHAnsi" w:cstheme="minorHAnsi"/>
          <w:bCs/>
          <w:sz w:val="22"/>
          <w:szCs w:val="22"/>
        </w:rPr>
        <w:t xml:space="preserve">izuzetnim </w:t>
      </w:r>
      <w:r w:rsidRPr="00D436A1">
        <w:rPr>
          <w:rFonts w:asciiTheme="minorHAnsi" w:hAnsiTheme="minorHAnsi" w:cstheme="minorHAnsi"/>
          <w:bCs/>
          <w:sz w:val="22"/>
          <w:szCs w:val="22"/>
        </w:rPr>
        <w:t>rastom maloprodaje od gotovo 20</w:t>
      </w:r>
      <w:r w:rsidR="00B80ED6" w:rsidRPr="00D436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436A1">
        <w:rPr>
          <w:rFonts w:asciiTheme="minorHAnsi" w:hAnsiTheme="minorHAnsi" w:cstheme="minorHAnsi"/>
          <w:bCs/>
          <w:sz w:val="22"/>
          <w:szCs w:val="22"/>
        </w:rPr>
        <w:t>%, što se pripisuje povećanoj potražnji</w:t>
      </w:r>
      <w:r w:rsidR="00E4315A" w:rsidRPr="00D436A1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uspješnoj turističkoj sezoni. Usprkos fluktuacijama na tržištu i </w:t>
      </w:r>
      <w:r w:rsidRPr="00D436A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operativnim ciklusima u Rafineriji nafte Rijeka, INA je zadržala </w:t>
      </w:r>
      <w:r w:rsidR="00246E2E" w:rsidRPr="00D436A1">
        <w:rPr>
          <w:rFonts w:asciiTheme="minorHAnsi" w:hAnsiTheme="minorHAnsi" w:cstheme="minorHAnsi"/>
          <w:bCs/>
          <w:sz w:val="22"/>
          <w:szCs w:val="22"/>
        </w:rPr>
        <w:t xml:space="preserve">kontinuitet </w:t>
      </w:r>
      <w:r w:rsidRPr="00D436A1">
        <w:rPr>
          <w:rFonts w:asciiTheme="minorHAnsi" w:hAnsiTheme="minorHAnsi" w:cstheme="minorHAnsi"/>
          <w:bCs/>
          <w:sz w:val="22"/>
          <w:szCs w:val="22"/>
        </w:rPr>
        <w:t>opskrbe, naglašavajući svoju predanost osiguravanju stabilnosti tržišta.</w:t>
      </w:r>
    </w:p>
    <w:p w14:paraId="5F405A63" w14:textId="51DBFB94" w:rsidR="00CF6706" w:rsidRPr="00D436A1" w:rsidRDefault="00A36CDE" w:rsidP="00A36CDE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36A1">
        <w:rPr>
          <w:rFonts w:asciiTheme="minorHAnsi" w:hAnsiTheme="minorHAnsi" w:cstheme="minorHAnsi"/>
          <w:bCs/>
          <w:sz w:val="22"/>
          <w:szCs w:val="22"/>
        </w:rPr>
        <w:t>Gledajući unaprijed u 2024., globaln</w:t>
      </w:r>
      <w:r w:rsidR="003D7867" w:rsidRPr="00D436A1">
        <w:rPr>
          <w:rFonts w:asciiTheme="minorHAnsi" w:hAnsiTheme="minorHAnsi" w:cstheme="minorHAnsi"/>
          <w:bCs/>
          <w:sz w:val="22"/>
          <w:szCs w:val="22"/>
        </w:rPr>
        <w:t>o okruženje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i dalje je prepun</w:t>
      </w:r>
      <w:r w:rsidR="003D7867" w:rsidRPr="00D436A1">
        <w:rPr>
          <w:rFonts w:asciiTheme="minorHAnsi" w:hAnsiTheme="minorHAnsi" w:cstheme="minorHAnsi"/>
          <w:bCs/>
          <w:sz w:val="22"/>
          <w:szCs w:val="22"/>
        </w:rPr>
        <w:t>o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izazova koji proizlaze iz sukoba</w:t>
      </w:r>
      <w:r w:rsidR="003D7867" w:rsidRPr="00D436A1">
        <w:rPr>
          <w:rFonts w:asciiTheme="minorHAnsi" w:hAnsiTheme="minorHAnsi" w:cstheme="minorHAnsi"/>
          <w:bCs/>
          <w:sz w:val="22"/>
          <w:szCs w:val="22"/>
        </w:rPr>
        <w:t xml:space="preserve"> koji su u tijeku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, stvarajući neizvjesnost na tržištima diljem svijeta. Međutim, usred ovih izazova leže prilike za transformaciju energetskog sektora. INA, ojačana svojim stabilnim poslovanjem i snažnom financijskom pozicijom, </w:t>
      </w:r>
      <w:r w:rsidR="00E4315A" w:rsidRPr="00D436A1">
        <w:rPr>
          <w:rFonts w:asciiTheme="minorHAnsi" w:hAnsiTheme="minorHAnsi" w:cstheme="minorHAnsi"/>
          <w:bCs/>
          <w:sz w:val="22"/>
          <w:szCs w:val="22"/>
        </w:rPr>
        <w:t>ostaje predana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315A" w:rsidRPr="00D436A1">
        <w:rPr>
          <w:rFonts w:asciiTheme="minorHAnsi" w:hAnsiTheme="minorHAnsi" w:cstheme="minorHAnsi"/>
          <w:bCs/>
          <w:sz w:val="22"/>
          <w:szCs w:val="22"/>
        </w:rPr>
        <w:t xml:space="preserve">u </w:t>
      </w:r>
      <w:r w:rsidRPr="00D436A1">
        <w:rPr>
          <w:rFonts w:asciiTheme="minorHAnsi" w:hAnsiTheme="minorHAnsi" w:cstheme="minorHAnsi"/>
          <w:bCs/>
          <w:sz w:val="22"/>
          <w:szCs w:val="22"/>
        </w:rPr>
        <w:t>upravlja</w:t>
      </w:r>
      <w:r w:rsidR="00E4315A" w:rsidRPr="00D436A1">
        <w:rPr>
          <w:rFonts w:asciiTheme="minorHAnsi" w:hAnsiTheme="minorHAnsi" w:cstheme="minorHAnsi"/>
          <w:bCs/>
          <w:sz w:val="22"/>
          <w:szCs w:val="22"/>
        </w:rPr>
        <w:t>nju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315A" w:rsidRPr="00D436A1">
        <w:rPr>
          <w:rFonts w:asciiTheme="minorHAnsi" w:hAnsiTheme="minorHAnsi" w:cstheme="minorHAnsi"/>
          <w:bCs/>
          <w:sz w:val="22"/>
          <w:szCs w:val="22"/>
        </w:rPr>
        <w:t xml:space="preserve">kompleksnostima </w:t>
      </w:r>
      <w:r w:rsidRPr="00D436A1">
        <w:rPr>
          <w:rFonts w:asciiTheme="minorHAnsi" w:hAnsiTheme="minorHAnsi" w:cstheme="minorHAnsi"/>
          <w:bCs/>
          <w:sz w:val="22"/>
          <w:szCs w:val="22"/>
        </w:rPr>
        <w:t>koj</w:t>
      </w:r>
      <w:r w:rsidR="00E4315A" w:rsidRPr="00D436A1">
        <w:rPr>
          <w:rFonts w:asciiTheme="minorHAnsi" w:hAnsiTheme="minorHAnsi" w:cstheme="minorHAnsi"/>
          <w:bCs/>
          <w:sz w:val="22"/>
          <w:szCs w:val="22"/>
        </w:rPr>
        <w:t>e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315A" w:rsidRPr="00D436A1">
        <w:rPr>
          <w:rFonts w:asciiTheme="minorHAnsi" w:hAnsiTheme="minorHAnsi" w:cstheme="minorHAnsi"/>
          <w:bCs/>
          <w:sz w:val="22"/>
          <w:szCs w:val="22"/>
        </w:rPr>
        <w:t>su</w:t>
      </w:r>
      <w:r w:rsidRPr="00D436A1">
        <w:rPr>
          <w:rFonts w:asciiTheme="minorHAnsi" w:hAnsiTheme="minorHAnsi" w:cstheme="minorHAnsi"/>
          <w:bCs/>
          <w:sz w:val="22"/>
          <w:szCs w:val="22"/>
        </w:rPr>
        <w:t xml:space="preserve"> pred nama, prihvaćajući prilike za daljnje poboljšanje i rast.”</w:t>
      </w:r>
    </w:p>
    <w:p w14:paraId="10731AA2" w14:textId="1C793664" w:rsidR="009B571F" w:rsidRPr="00D436A1" w:rsidRDefault="00BA1A33" w:rsidP="00913636">
      <w:pPr>
        <w:jc w:val="center"/>
        <w:rPr>
          <w:rFonts w:asciiTheme="minorHAnsi" w:hAnsiTheme="minorHAnsi" w:cstheme="minorHAnsi"/>
          <w:bCs/>
        </w:rPr>
      </w:pPr>
      <w:r w:rsidRPr="00D436A1">
        <w:rPr>
          <w:rFonts w:asciiTheme="minorHAnsi" w:hAnsiTheme="minorHAnsi" w:cstheme="minorHAnsi"/>
          <w:bCs/>
          <w:noProof/>
        </w:rPr>
        <w:drawing>
          <wp:inline distT="0" distB="0" distL="0" distR="0" wp14:anchorId="137754AC" wp14:editId="643F27CC">
            <wp:extent cx="2560320" cy="19643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75" cy="1966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5F0B" w:rsidRPr="00D436A1">
        <w:rPr>
          <w:rFonts w:asciiTheme="minorHAnsi" w:hAnsiTheme="minorHAnsi" w:cstheme="minorHAnsi"/>
          <w:bCs/>
          <w:noProof/>
        </w:rPr>
        <w:drawing>
          <wp:inline distT="0" distB="0" distL="0" distR="0" wp14:anchorId="615E37D8" wp14:editId="356F7824">
            <wp:extent cx="2618841" cy="184472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86" cy="1852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0D9182" w14:textId="77777777" w:rsidR="00AC31E7" w:rsidRPr="00D436A1" w:rsidRDefault="00AC31E7" w:rsidP="00C027E1">
      <w:pPr>
        <w:jc w:val="both"/>
        <w:rPr>
          <w:rFonts w:asciiTheme="minorHAnsi" w:hAnsiTheme="minorHAnsi" w:cstheme="minorHAnsi"/>
          <w:bCs/>
        </w:rPr>
      </w:pPr>
    </w:p>
    <w:p w14:paraId="188B6E47" w14:textId="2AD1649C" w:rsidR="00AC31E7" w:rsidRPr="00D436A1" w:rsidRDefault="00AC31E7" w:rsidP="00C027E1">
      <w:pPr>
        <w:jc w:val="both"/>
        <w:rPr>
          <w:rFonts w:asciiTheme="minorHAnsi" w:hAnsiTheme="minorHAnsi" w:cstheme="minorHAnsi"/>
          <w:bCs/>
        </w:rPr>
        <w:sectPr w:rsidR="00AC31E7" w:rsidRPr="00D436A1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C537A8" w14:textId="22DF4F9E" w:rsidR="00FF0C7C" w:rsidRPr="00D436A1" w:rsidRDefault="00FF0C7C" w:rsidP="00C0068C">
      <w:pPr>
        <w:spacing w:line="360" w:lineRule="auto"/>
        <w:jc w:val="center"/>
        <w:rPr>
          <w:rFonts w:asciiTheme="minorHAnsi" w:hAnsiTheme="minorHAnsi" w:cstheme="minorHAnsi"/>
        </w:rPr>
      </w:pPr>
    </w:p>
    <w:p w14:paraId="6CF4E1F3" w14:textId="393E9A71" w:rsidR="00C0068C" w:rsidRPr="00D436A1" w:rsidRDefault="00B85F0B" w:rsidP="00C0068C">
      <w:pPr>
        <w:spacing w:line="360" w:lineRule="auto"/>
        <w:jc w:val="center"/>
        <w:rPr>
          <w:rFonts w:asciiTheme="minorHAnsi" w:hAnsiTheme="minorHAnsi" w:cstheme="minorHAnsi"/>
        </w:rPr>
      </w:pPr>
      <w:r w:rsidRPr="00D436A1">
        <w:rPr>
          <w:noProof/>
        </w:rPr>
        <w:drawing>
          <wp:inline distT="0" distB="0" distL="0" distR="0" wp14:anchorId="36816D21" wp14:editId="74C35D44">
            <wp:extent cx="2677363" cy="1885952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47" cy="1888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6706" w:rsidRPr="00D436A1">
        <w:rPr>
          <w:noProof/>
        </w:rPr>
        <w:t xml:space="preserve"> </w:t>
      </w:r>
      <w:r w:rsidR="00F02D15" w:rsidRPr="00D436A1">
        <w:rPr>
          <w:noProof/>
        </w:rPr>
        <w:drawing>
          <wp:inline distT="0" distB="0" distL="0" distR="0" wp14:anchorId="4020EE32" wp14:editId="6F67C64C">
            <wp:extent cx="2721255" cy="1911132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654" cy="1920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9A5372" w14:textId="6BFE25EE" w:rsidR="00900453" w:rsidRPr="00D436A1" w:rsidRDefault="00900453" w:rsidP="006A6D32">
      <w:pPr>
        <w:spacing w:line="360" w:lineRule="auto"/>
        <w:jc w:val="center"/>
        <w:rPr>
          <w:rFonts w:asciiTheme="minorHAnsi" w:hAnsiTheme="minorHAnsi" w:cstheme="minorHAnsi"/>
        </w:rPr>
      </w:pPr>
    </w:p>
    <w:p w14:paraId="5B079B5F" w14:textId="11D9710E" w:rsidR="00FF05F8" w:rsidRPr="00D436A1" w:rsidRDefault="00FF05F8" w:rsidP="00C0068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36A1">
        <w:rPr>
          <w:rFonts w:asciiTheme="minorHAnsi" w:hAnsiTheme="minorHAnsi" w:cstheme="minorHAnsi"/>
          <w:b/>
          <w:sz w:val="22"/>
          <w:szCs w:val="22"/>
        </w:rPr>
        <w:t>Istraživanje i proizvodnja</w:t>
      </w:r>
      <w:r w:rsidR="00C34BDC" w:rsidRPr="00D436A1">
        <w:rPr>
          <w:rFonts w:asciiTheme="minorHAnsi" w:hAnsiTheme="minorHAnsi" w:cstheme="minorHAnsi"/>
          <w:b/>
          <w:sz w:val="22"/>
          <w:szCs w:val="22"/>
        </w:rPr>
        <w:t xml:space="preserve"> nafte i plina</w:t>
      </w:r>
    </w:p>
    <w:p w14:paraId="42CDCF42" w14:textId="1F13B148" w:rsidR="00F37DC5" w:rsidRPr="00D436A1" w:rsidRDefault="003801B1" w:rsidP="00CA53C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93664955"/>
      <w:bookmarkStart w:id="4" w:name="_Hlk148978389"/>
      <w:r w:rsidRPr="00D436A1">
        <w:rPr>
          <w:rFonts w:asciiTheme="minorHAnsi" w:hAnsiTheme="minorHAnsi" w:cstheme="minorHAnsi"/>
          <w:sz w:val="22"/>
          <w:szCs w:val="22"/>
        </w:rPr>
        <w:t xml:space="preserve">Niže cijene nafte i plina rezultirale su 241,7 </w:t>
      </w:r>
      <w:proofErr w:type="spellStart"/>
      <w:r w:rsidRPr="00D436A1">
        <w:rPr>
          <w:rFonts w:asciiTheme="minorHAnsi" w:hAnsiTheme="minorHAnsi" w:cstheme="minorHAnsi"/>
          <w:sz w:val="22"/>
          <w:szCs w:val="22"/>
        </w:rPr>
        <w:t>mil</w:t>
      </w:r>
      <w:proofErr w:type="spellEnd"/>
      <w:r w:rsidRPr="00D436A1">
        <w:rPr>
          <w:rFonts w:asciiTheme="minorHAnsi" w:hAnsiTheme="minorHAnsi" w:cstheme="minorHAnsi"/>
          <w:sz w:val="22"/>
          <w:szCs w:val="22"/>
        </w:rPr>
        <w:t>. EUR nižim prihodima. Regulatorna obveza prodaje domaćeg plina po fiksnoj cijeni HEP-u ukinuta je 7. srpnja. Pad proizvodnje iznosi šest posto</w:t>
      </w:r>
      <w:r w:rsidR="00B55C09" w:rsidRPr="00D436A1">
        <w:rPr>
          <w:rFonts w:asciiTheme="minorHAnsi" w:hAnsiTheme="minorHAnsi" w:cstheme="minorHAnsi"/>
          <w:sz w:val="22"/>
          <w:szCs w:val="22"/>
        </w:rPr>
        <w:t>, što je očekivan</w:t>
      </w:r>
      <w:r w:rsidR="007B7102" w:rsidRPr="00D436A1">
        <w:rPr>
          <w:rFonts w:asciiTheme="minorHAnsi" w:hAnsiTheme="minorHAnsi" w:cstheme="minorHAnsi"/>
          <w:sz w:val="22"/>
          <w:szCs w:val="22"/>
        </w:rPr>
        <w:t>o</w:t>
      </w:r>
      <w:r w:rsidR="00B55C09" w:rsidRPr="00D436A1">
        <w:rPr>
          <w:rFonts w:asciiTheme="minorHAnsi" w:hAnsiTheme="minorHAnsi" w:cstheme="minorHAnsi"/>
          <w:sz w:val="22"/>
          <w:szCs w:val="22"/>
        </w:rPr>
        <w:t xml:space="preserve"> </w:t>
      </w:r>
      <w:r w:rsidR="00663AFC" w:rsidRPr="00D436A1">
        <w:rPr>
          <w:rFonts w:asciiTheme="minorHAnsi" w:hAnsiTheme="minorHAnsi" w:cstheme="minorHAnsi"/>
          <w:sz w:val="22"/>
          <w:szCs w:val="22"/>
        </w:rPr>
        <w:t>zbog</w:t>
      </w:r>
      <w:r w:rsidR="00B55C09" w:rsidRPr="00D436A1">
        <w:rPr>
          <w:rFonts w:asciiTheme="minorHAnsi" w:hAnsiTheme="minorHAnsi" w:cstheme="minorHAnsi"/>
          <w:sz w:val="22"/>
          <w:szCs w:val="22"/>
        </w:rPr>
        <w:t xml:space="preserve"> zrelosti polja</w:t>
      </w:r>
      <w:r w:rsidRPr="00D436A1">
        <w:rPr>
          <w:rFonts w:asciiTheme="minorHAnsi" w:hAnsiTheme="minorHAnsi" w:cstheme="minorHAnsi"/>
          <w:sz w:val="22"/>
          <w:szCs w:val="22"/>
        </w:rPr>
        <w:t xml:space="preserve"> i remonta </w:t>
      </w:r>
      <w:r w:rsidR="00663AFC" w:rsidRPr="00D436A1">
        <w:rPr>
          <w:rFonts w:asciiTheme="minorHAnsi" w:hAnsiTheme="minorHAnsi" w:cstheme="minorHAnsi"/>
          <w:sz w:val="22"/>
          <w:szCs w:val="22"/>
        </w:rPr>
        <w:t xml:space="preserve">provedenog </w:t>
      </w:r>
      <w:r w:rsidRPr="00D436A1">
        <w:rPr>
          <w:rFonts w:asciiTheme="minorHAnsi" w:hAnsiTheme="minorHAnsi" w:cstheme="minorHAnsi"/>
          <w:sz w:val="22"/>
          <w:szCs w:val="22"/>
        </w:rPr>
        <w:t>na postrojenjima za obradu plina</w:t>
      </w:r>
      <w:r w:rsidR="00A46C6D" w:rsidRPr="00D436A1">
        <w:rPr>
          <w:rFonts w:asciiTheme="minorHAnsi" w:hAnsiTheme="minorHAnsi" w:cstheme="minorHAnsi"/>
          <w:sz w:val="22"/>
          <w:szCs w:val="22"/>
        </w:rPr>
        <w:t xml:space="preserve"> u trećem tromjesečju</w:t>
      </w:r>
      <w:r w:rsidRPr="00D436A1">
        <w:rPr>
          <w:rFonts w:asciiTheme="minorHAnsi" w:hAnsiTheme="minorHAnsi" w:cstheme="minorHAnsi"/>
          <w:sz w:val="22"/>
          <w:szCs w:val="22"/>
        </w:rPr>
        <w:t xml:space="preserve">. Proizvodnja u Hrvatskoj je niža kao rezultat nižeg doprinosa </w:t>
      </w:r>
      <w:r w:rsidR="0064439E" w:rsidRPr="00D436A1">
        <w:rPr>
          <w:rFonts w:asciiTheme="minorHAnsi" w:hAnsiTheme="minorHAnsi" w:cstheme="minorHAnsi"/>
          <w:sz w:val="22"/>
          <w:szCs w:val="22"/>
        </w:rPr>
        <w:t xml:space="preserve">pokrenutih </w:t>
      </w:r>
      <w:r w:rsidRPr="00D436A1">
        <w:rPr>
          <w:rFonts w:asciiTheme="minorHAnsi" w:hAnsiTheme="minorHAnsi" w:cstheme="minorHAnsi"/>
          <w:sz w:val="22"/>
          <w:szCs w:val="22"/>
        </w:rPr>
        <w:t>projekata</w:t>
      </w:r>
      <w:r w:rsidR="0064439E" w:rsidRPr="00D436A1">
        <w:rPr>
          <w:rFonts w:asciiTheme="minorHAnsi" w:hAnsiTheme="minorHAnsi" w:cstheme="minorHAnsi"/>
          <w:sz w:val="22"/>
          <w:szCs w:val="22"/>
        </w:rPr>
        <w:t xml:space="preserve"> i</w:t>
      </w:r>
      <w:r w:rsidRPr="00D436A1">
        <w:rPr>
          <w:rFonts w:asciiTheme="minorHAnsi" w:hAnsiTheme="minorHAnsi" w:cstheme="minorHAnsi"/>
          <w:sz w:val="22"/>
          <w:szCs w:val="22"/>
        </w:rPr>
        <w:t xml:space="preserve"> aktivnosti održavanja</w:t>
      </w:r>
      <w:r w:rsidR="0064439E" w:rsidRPr="00D436A1">
        <w:rPr>
          <w:rFonts w:asciiTheme="minorHAnsi" w:hAnsiTheme="minorHAnsi" w:cstheme="minorHAnsi"/>
          <w:sz w:val="22"/>
          <w:szCs w:val="22"/>
        </w:rPr>
        <w:t xml:space="preserve"> te povećanog </w:t>
      </w:r>
      <w:proofErr w:type="spellStart"/>
      <w:r w:rsidR="0064439E" w:rsidRPr="00D436A1">
        <w:rPr>
          <w:rFonts w:asciiTheme="minorHAnsi" w:hAnsiTheme="minorHAnsi" w:cstheme="minorHAnsi"/>
          <w:sz w:val="22"/>
          <w:szCs w:val="22"/>
        </w:rPr>
        <w:t>zavodnjavanja</w:t>
      </w:r>
      <w:proofErr w:type="spellEnd"/>
      <w:r w:rsidRPr="00D436A1">
        <w:rPr>
          <w:rFonts w:asciiTheme="minorHAnsi" w:hAnsiTheme="minorHAnsi" w:cstheme="minorHAnsi"/>
          <w:sz w:val="22"/>
          <w:szCs w:val="22"/>
        </w:rPr>
        <w:t>.</w:t>
      </w:r>
      <w:r w:rsidR="00F37DC5" w:rsidRPr="00D436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45D07F" w14:textId="77777777" w:rsidR="00F37DC5" w:rsidRPr="00D436A1" w:rsidRDefault="00F37DC5" w:rsidP="00CA53C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B36C32B" w14:textId="66089041" w:rsidR="00AF18D8" w:rsidRPr="00D436A1" w:rsidRDefault="003801B1" w:rsidP="00CA53C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436A1">
        <w:rPr>
          <w:rFonts w:asciiTheme="minorHAnsi" w:hAnsiTheme="minorHAnsi" w:cstheme="minorHAnsi"/>
          <w:sz w:val="22"/>
          <w:szCs w:val="22"/>
        </w:rPr>
        <w:lastRenderedPageBreak/>
        <w:t xml:space="preserve">Međunarodna proizvodnja je niža unatoč doprinosu s koncesije North </w:t>
      </w:r>
      <w:proofErr w:type="spellStart"/>
      <w:r w:rsidRPr="00D436A1">
        <w:rPr>
          <w:rFonts w:asciiTheme="minorHAnsi" w:hAnsiTheme="minorHAnsi" w:cstheme="minorHAnsi"/>
          <w:sz w:val="22"/>
          <w:szCs w:val="22"/>
        </w:rPr>
        <w:t>Bahariya</w:t>
      </w:r>
      <w:proofErr w:type="spellEnd"/>
      <w:r w:rsidRPr="00D436A1">
        <w:rPr>
          <w:rFonts w:asciiTheme="minorHAnsi" w:hAnsiTheme="minorHAnsi" w:cstheme="minorHAnsi"/>
          <w:sz w:val="22"/>
          <w:szCs w:val="22"/>
        </w:rPr>
        <w:t xml:space="preserve"> u Egiptu, što je rezultat novih bušotina i obavljenih remonata postojećih. Dodatno, nova </w:t>
      </w:r>
      <w:r w:rsidR="00AB5671" w:rsidRPr="00D436A1">
        <w:rPr>
          <w:rFonts w:asciiTheme="minorHAnsi" w:hAnsiTheme="minorHAnsi" w:cstheme="minorHAnsi"/>
          <w:sz w:val="22"/>
          <w:szCs w:val="22"/>
        </w:rPr>
        <w:t xml:space="preserve">plinska </w:t>
      </w:r>
      <w:r w:rsidRPr="00D436A1">
        <w:rPr>
          <w:rFonts w:asciiTheme="minorHAnsi" w:hAnsiTheme="minorHAnsi" w:cstheme="minorHAnsi"/>
          <w:sz w:val="22"/>
          <w:szCs w:val="22"/>
        </w:rPr>
        <w:t xml:space="preserve">bušotina puštena je u proizvodnju na koncesiji East </w:t>
      </w:r>
      <w:proofErr w:type="spellStart"/>
      <w:r w:rsidRPr="00D436A1">
        <w:rPr>
          <w:rFonts w:asciiTheme="minorHAnsi" w:hAnsiTheme="minorHAnsi" w:cstheme="minorHAnsi"/>
          <w:sz w:val="22"/>
          <w:szCs w:val="22"/>
        </w:rPr>
        <w:t>Damanhur</w:t>
      </w:r>
      <w:proofErr w:type="spellEnd"/>
      <w:r w:rsidR="00AB5671" w:rsidRPr="00D436A1">
        <w:rPr>
          <w:rFonts w:asciiTheme="minorHAnsi" w:hAnsiTheme="minorHAnsi" w:cstheme="minorHAnsi"/>
          <w:sz w:val="22"/>
          <w:szCs w:val="22"/>
        </w:rPr>
        <w:t xml:space="preserve"> i predstavlja</w:t>
      </w:r>
      <w:r w:rsidR="00766057" w:rsidRPr="00D436A1">
        <w:rPr>
          <w:rFonts w:asciiTheme="minorHAnsi" w:hAnsiTheme="minorHAnsi" w:cstheme="minorHAnsi"/>
          <w:sz w:val="22"/>
          <w:szCs w:val="22"/>
        </w:rPr>
        <w:t xml:space="preserve"> prvu Ininu proizvodnju plina u Egiptu</w:t>
      </w:r>
      <w:r w:rsidR="00A07DC9" w:rsidRPr="00D436A1">
        <w:rPr>
          <w:rFonts w:asciiTheme="minorHAnsi" w:hAnsiTheme="minorHAnsi" w:cstheme="minorHAnsi"/>
          <w:sz w:val="22"/>
          <w:szCs w:val="22"/>
        </w:rPr>
        <w:t>.</w:t>
      </w:r>
      <w:r w:rsidR="000A6332" w:rsidRPr="00D436A1">
        <w:rPr>
          <w:rFonts w:asciiTheme="minorHAnsi" w:hAnsiTheme="minorHAnsi" w:cstheme="minorHAnsi"/>
          <w:sz w:val="22"/>
          <w:szCs w:val="22"/>
        </w:rPr>
        <w:t xml:space="preserve"> </w:t>
      </w:r>
      <w:r w:rsidR="00014109" w:rsidRPr="00D436A1">
        <w:rPr>
          <w:rFonts w:asciiTheme="minorHAnsi" w:hAnsiTheme="minorHAnsi" w:cstheme="minorHAnsi"/>
          <w:sz w:val="22"/>
          <w:szCs w:val="22"/>
        </w:rPr>
        <w:t xml:space="preserve">Također, Ini su u listopadu dodijeljene dozvole za istražne aktivnosti u dva geotermalna istražna područja - </w:t>
      </w:r>
      <w:proofErr w:type="spellStart"/>
      <w:r w:rsidR="00014109" w:rsidRPr="00D436A1">
        <w:rPr>
          <w:rFonts w:asciiTheme="minorHAnsi" w:hAnsiTheme="minorHAnsi" w:cstheme="minorHAnsi"/>
          <w:sz w:val="22"/>
          <w:szCs w:val="22"/>
        </w:rPr>
        <w:t>Leščan</w:t>
      </w:r>
      <w:proofErr w:type="spellEnd"/>
      <w:r w:rsidR="00014109" w:rsidRPr="00D436A1">
        <w:rPr>
          <w:rFonts w:asciiTheme="minorHAnsi" w:hAnsiTheme="minorHAnsi" w:cstheme="minorHAnsi"/>
          <w:sz w:val="22"/>
          <w:szCs w:val="22"/>
        </w:rPr>
        <w:t xml:space="preserve"> i Međimurje 5</w:t>
      </w:r>
      <w:r w:rsidR="00630EEA" w:rsidRPr="00D436A1">
        <w:rPr>
          <w:rFonts w:asciiTheme="minorHAnsi" w:hAnsiTheme="minorHAnsi" w:cstheme="minorHAnsi"/>
          <w:sz w:val="22"/>
          <w:szCs w:val="22"/>
        </w:rPr>
        <w:t>, što predstavlja novu priliku za iskorak k obnovljivim izvorima energije.</w:t>
      </w:r>
    </w:p>
    <w:p w14:paraId="2187C5F8" w14:textId="77777777" w:rsidR="00E4315A" w:rsidRPr="00D436A1" w:rsidRDefault="009206BE" w:rsidP="009A5FE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436A1">
        <w:rPr>
          <w:rFonts w:asciiTheme="minorHAnsi" w:hAnsiTheme="minorHAnsi" w:cstheme="minorHAnsi"/>
          <w:sz w:val="22"/>
          <w:szCs w:val="22"/>
        </w:rPr>
        <w:t xml:space="preserve">U 2023., </w:t>
      </w:r>
      <w:r w:rsidR="002745B9" w:rsidRPr="00D436A1">
        <w:rPr>
          <w:rFonts w:asciiTheme="minorHAnsi" w:hAnsiTheme="minorHAnsi" w:cstheme="minorHAnsi"/>
          <w:sz w:val="22"/>
          <w:szCs w:val="22"/>
        </w:rPr>
        <w:t>u djelatnosti su zabilježena nešto n</w:t>
      </w:r>
      <w:r w:rsidR="00420BD8" w:rsidRPr="00D436A1">
        <w:rPr>
          <w:rFonts w:asciiTheme="minorHAnsi" w:hAnsiTheme="minorHAnsi" w:cstheme="minorHAnsi"/>
          <w:sz w:val="22"/>
          <w:szCs w:val="22"/>
        </w:rPr>
        <w:t>iža kapitalna ulaganja u odnosu na 2022. godinu</w:t>
      </w:r>
      <w:r w:rsidR="002745B9" w:rsidRPr="00D436A1">
        <w:rPr>
          <w:rFonts w:asciiTheme="minorHAnsi" w:hAnsiTheme="minorHAnsi" w:cstheme="minorHAnsi"/>
          <w:sz w:val="22"/>
          <w:szCs w:val="22"/>
        </w:rPr>
        <w:t xml:space="preserve">. </w:t>
      </w:r>
      <w:r w:rsidR="00420BD8" w:rsidRPr="00D436A1">
        <w:rPr>
          <w:rFonts w:asciiTheme="minorHAnsi" w:hAnsiTheme="minorHAnsi" w:cstheme="minorHAnsi"/>
          <w:sz w:val="22"/>
          <w:szCs w:val="22"/>
        </w:rPr>
        <w:t xml:space="preserve">Glavne aktivnosti </w:t>
      </w:r>
      <w:r w:rsidR="002745B9" w:rsidRPr="00D436A1">
        <w:rPr>
          <w:rFonts w:asciiTheme="minorHAnsi" w:hAnsiTheme="minorHAnsi" w:cstheme="minorHAnsi"/>
          <w:sz w:val="22"/>
          <w:szCs w:val="22"/>
        </w:rPr>
        <w:t>o</w:t>
      </w:r>
      <w:r w:rsidR="00420BD8" w:rsidRPr="00D436A1">
        <w:rPr>
          <w:rFonts w:asciiTheme="minorHAnsi" w:hAnsiTheme="minorHAnsi" w:cstheme="minorHAnsi"/>
          <w:sz w:val="22"/>
          <w:szCs w:val="22"/>
        </w:rPr>
        <w:t>dnosile su se na</w:t>
      </w:r>
      <w:r w:rsidR="001572F6" w:rsidRPr="00D436A1">
        <w:rPr>
          <w:rFonts w:asciiTheme="minorHAnsi" w:hAnsiTheme="minorHAnsi" w:cstheme="minorHAnsi"/>
          <w:sz w:val="22"/>
          <w:szCs w:val="22"/>
        </w:rPr>
        <w:t xml:space="preserve"> i</w:t>
      </w:r>
      <w:r w:rsidR="00420BD8" w:rsidRPr="00D436A1">
        <w:rPr>
          <w:rFonts w:asciiTheme="minorHAnsi" w:hAnsiTheme="minorHAnsi" w:cstheme="minorHAnsi"/>
          <w:sz w:val="22"/>
          <w:szCs w:val="22"/>
        </w:rPr>
        <w:t xml:space="preserve">straživanje </w:t>
      </w:r>
      <w:r w:rsidR="001572F6" w:rsidRPr="00D436A1">
        <w:rPr>
          <w:rFonts w:asciiTheme="minorHAnsi" w:hAnsiTheme="minorHAnsi" w:cstheme="minorHAnsi"/>
          <w:sz w:val="22"/>
          <w:szCs w:val="22"/>
        </w:rPr>
        <w:t xml:space="preserve">u Hrvatskoj. </w:t>
      </w:r>
      <w:r w:rsidR="00102CEE" w:rsidRPr="00D436A1">
        <w:rPr>
          <w:rFonts w:asciiTheme="minorHAnsi" w:hAnsiTheme="minorHAnsi" w:cstheme="minorHAnsi"/>
          <w:sz w:val="22"/>
          <w:szCs w:val="22"/>
        </w:rPr>
        <w:t xml:space="preserve">Na istražnom području Drava-03 testiranjem bušotine Veliki Rastovac-1 potvrđeno je otkriće plina, a </w:t>
      </w:r>
      <w:r w:rsidR="00420BD8" w:rsidRPr="00D436A1">
        <w:rPr>
          <w:rFonts w:asciiTheme="minorHAnsi" w:hAnsiTheme="minorHAnsi" w:cstheme="minorHAnsi"/>
          <w:sz w:val="22"/>
          <w:szCs w:val="22"/>
        </w:rPr>
        <w:t>obavijest o komercijalnom otkriću predana je Agenciji za ugljikovodike</w:t>
      </w:r>
      <w:r w:rsidR="00102CEE" w:rsidRPr="00D436A1">
        <w:rPr>
          <w:rFonts w:asciiTheme="minorHAnsi" w:hAnsiTheme="minorHAnsi" w:cstheme="minorHAnsi"/>
          <w:sz w:val="22"/>
          <w:szCs w:val="22"/>
        </w:rPr>
        <w:t>.</w:t>
      </w:r>
      <w:r w:rsidR="00420BD8" w:rsidRPr="00D436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73E21E" w14:textId="34936233" w:rsidR="009A5FE5" w:rsidRPr="00D436A1" w:rsidRDefault="009A5FE5" w:rsidP="009A5FE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436A1">
        <w:rPr>
          <w:rFonts w:asciiTheme="minorHAnsi" w:hAnsiTheme="minorHAnsi" w:cstheme="minorHAnsi"/>
          <w:sz w:val="22"/>
          <w:szCs w:val="22"/>
        </w:rPr>
        <w:t>Na hrvatskom odobalju dovršene su aktivnosti zatvaranja bušotine Ivana D</w:t>
      </w:r>
      <w:r w:rsidR="000E6067" w:rsidRPr="00D436A1">
        <w:rPr>
          <w:rFonts w:asciiTheme="minorHAnsi" w:hAnsiTheme="minorHAnsi" w:cstheme="minorHAnsi"/>
          <w:sz w:val="22"/>
          <w:szCs w:val="22"/>
        </w:rPr>
        <w:t xml:space="preserve">, </w:t>
      </w:r>
      <w:r w:rsidR="00E4315A" w:rsidRPr="00D436A1">
        <w:rPr>
          <w:rFonts w:asciiTheme="minorHAnsi" w:hAnsiTheme="minorHAnsi" w:cstheme="minorHAnsi"/>
          <w:sz w:val="22"/>
          <w:szCs w:val="22"/>
        </w:rPr>
        <w:t xml:space="preserve">što pruža </w:t>
      </w:r>
      <w:r w:rsidR="00D73B3B" w:rsidRPr="00D436A1">
        <w:rPr>
          <w:rFonts w:asciiTheme="minorHAnsi" w:hAnsiTheme="minorHAnsi" w:cstheme="minorHAnsi"/>
          <w:sz w:val="22"/>
          <w:szCs w:val="22"/>
        </w:rPr>
        <w:t>sigurno</w:t>
      </w:r>
      <w:r w:rsidR="00E4315A" w:rsidRPr="00D436A1">
        <w:rPr>
          <w:rFonts w:asciiTheme="minorHAnsi" w:hAnsiTheme="minorHAnsi" w:cstheme="minorHAnsi"/>
          <w:sz w:val="22"/>
          <w:szCs w:val="22"/>
        </w:rPr>
        <w:t>st</w:t>
      </w:r>
      <w:r w:rsidR="00D73B3B" w:rsidRPr="00D436A1">
        <w:rPr>
          <w:rFonts w:asciiTheme="minorHAnsi" w:hAnsiTheme="minorHAnsi" w:cstheme="minorHAnsi"/>
          <w:sz w:val="22"/>
          <w:szCs w:val="22"/>
        </w:rPr>
        <w:t xml:space="preserve"> po ljude i okoliš</w:t>
      </w:r>
      <w:r w:rsidRPr="00D436A1">
        <w:rPr>
          <w:rFonts w:asciiTheme="minorHAnsi" w:hAnsiTheme="minorHAnsi" w:cstheme="minorHAnsi"/>
          <w:sz w:val="22"/>
          <w:szCs w:val="22"/>
        </w:rPr>
        <w:t>. U sklopu projekata optimizacije proizvodnje</w:t>
      </w:r>
      <w:r w:rsidR="00D73B3B" w:rsidRPr="00D436A1">
        <w:rPr>
          <w:rFonts w:asciiTheme="minorHAnsi" w:hAnsiTheme="minorHAnsi" w:cstheme="minorHAnsi"/>
          <w:sz w:val="22"/>
          <w:szCs w:val="22"/>
        </w:rPr>
        <w:t>,</w:t>
      </w:r>
      <w:r w:rsidRPr="00D436A1">
        <w:rPr>
          <w:rFonts w:asciiTheme="minorHAnsi" w:hAnsiTheme="minorHAnsi" w:cstheme="minorHAnsi"/>
          <w:sz w:val="22"/>
          <w:szCs w:val="22"/>
        </w:rPr>
        <w:t xml:space="preserve"> izveden</w:t>
      </w:r>
      <w:r w:rsidR="00FF2275" w:rsidRPr="00D436A1">
        <w:rPr>
          <w:rFonts w:asciiTheme="minorHAnsi" w:hAnsiTheme="minorHAnsi" w:cstheme="minorHAnsi"/>
          <w:sz w:val="22"/>
          <w:szCs w:val="22"/>
        </w:rPr>
        <w:t>o je 58</w:t>
      </w:r>
      <w:r w:rsidRPr="00D436A1">
        <w:rPr>
          <w:rFonts w:asciiTheme="minorHAnsi" w:hAnsiTheme="minorHAnsi" w:cstheme="minorHAnsi"/>
          <w:sz w:val="22"/>
          <w:szCs w:val="22"/>
        </w:rPr>
        <w:t xml:space="preserve"> remon</w:t>
      </w:r>
      <w:r w:rsidR="00FF2275" w:rsidRPr="00D436A1">
        <w:rPr>
          <w:rFonts w:asciiTheme="minorHAnsi" w:hAnsiTheme="minorHAnsi" w:cstheme="minorHAnsi"/>
          <w:sz w:val="22"/>
          <w:szCs w:val="22"/>
        </w:rPr>
        <w:t>a</w:t>
      </w:r>
      <w:r w:rsidRPr="00D436A1">
        <w:rPr>
          <w:rFonts w:asciiTheme="minorHAnsi" w:hAnsiTheme="minorHAnsi" w:cstheme="minorHAnsi"/>
          <w:sz w:val="22"/>
          <w:szCs w:val="22"/>
        </w:rPr>
        <w:t>ta bušotina na hrvatskom kopnu</w:t>
      </w:r>
      <w:r w:rsidR="00FF2275" w:rsidRPr="00D436A1">
        <w:rPr>
          <w:rFonts w:asciiTheme="minorHAnsi" w:hAnsiTheme="minorHAnsi" w:cstheme="minorHAnsi"/>
          <w:sz w:val="22"/>
          <w:szCs w:val="22"/>
        </w:rPr>
        <w:t>.</w:t>
      </w:r>
      <w:r w:rsidRPr="00D436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8EACAD" w14:textId="25F10BA9" w:rsidR="006634AA" w:rsidRPr="00D436A1" w:rsidRDefault="006634AA" w:rsidP="006634A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436A1">
        <w:rPr>
          <w:rFonts w:asciiTheme="minorHAnsi" w:hAnsiTheme="minorHAnsi" w:cstheme="minorHAnsi"/>
          <w:sz w:val="22"/>
          <w:szCs w:val="22"/>
        </w:rPr>
        <w:t xml:space="preserve">U Egiptu, </w:t>
      </w:r>
      <w:r w:rsidR="009173FC" w:rsidRPr="00D436A1">
        <w:rPr>
          <w:rFonts w:asciiTheme="minorHAnsi" w:hAnsiTheme="minorHAnsi" w:cstheme="minorHAnsi"/>
          <w:sz w:val="22"/>
          <w:szCs w:val="22"/>
        </w:rPr>
        <w:t>n</w:t>
      </w:r>
      <w:r w:rsidRPr="00D436A1">
        <w:rPr>
          <w:rFonts w:asciiTheme="minorHAnsi" w:hAnsiTheme="minorHAnsi" w:cstheme="minorHAnsi"/>
          <w:sz w:val="22"/>
          <w:szCs w:val="22"/>
        </w:rPr>
        <w:t xml:space="preserve">a koncesijskom području North </w:t>
      </w:r>
      <w:proofErr w:type="spellStart"/>
      <w:r w:rsidRPr="00D436A1">
        <w:rPr>
          <w:rFonts w:asciiTheme="minorHAnsi" w:hAnsiTheme="minorHAnsi" w:cstheme="minorHAnsi"/>
          <w:sz w:val="22"/>
          <w:szCs w:val="22"/>
        </w:rPr>
        <w:t>Bahariya</w:t>
      </w:r>
      <w:proofErr w:type="spellEnd"/>
      <w:r w:rsidRPr="00D436A1">
        <w:rPr>
          <w:rFonts w:asciiTheme="minorHAnsi" w:hAnsiTheme="minorHAnsi" w:cstheme="minorHAnsi"/>
          <w:sz w:val="22"/>
          <w:szCs w:val="22"/>
        </w:rPr>
        <w:t xml:space="preserve"> izrađen</w:t>
      </w:r>
      <w:r w:rsidR="003C15A7" w:rsidRPr="00D436A1">
        <w:rPr>
          <w:rFonts w:asciiTheme="minorHAnsi" w:hAnsiTheme="minorHAnsi" w:cstheme="minorHAnsi"/>
          <w:sz w:val="22"/>
          <w:szCs w:val="22"/>
        </w:rPr>
        <w:t>e su</w:t>
      </w:r>
      <w:r w:rsidRPr="00D436A1">
        <w:rPr>
          <w:rFonts w:asciiTheme="minorHAnsi" w:hAnsiTheme="minorHAnsi" w:cstheme="minorHAnsi"/>
          <w:sz w:val="22"/>
          <w:szCs w:val="22"/>
        </w:rPr>
        <w:t xml:space="preserve"> 2</w:t>
      </w:r>
      <w:r w:rsidR="003C15A7" w:rsidRPr="00D436A1">
        <w:rPr>
          <w:rFonts w:asciiTheme="minorHAnsi" w:hAnsiTheme="minorHAnsi" w:cstheme="minorHAnsi"/>
          <w:sz w:val="22"/>
          <w:szCs w:val="22"/>
        </w:rPr>
        <w:t>2</w:t>
      </w:r>
      <w:r w:rsidRPr="00D436A1">
        <w:rPr>
          <w:rFonts w:asciiTheme="minorHAnsi" w:hAnsiTheme="minorHAnsi" w:cstheme="minorHAnsi"/>
          <w:sz w:val="22"/>
          <w:szCs w:val="22"/>
        </w:rPr>
        <w:t xml:space="preserve"> razradn</w:t>
      </w:r>
      <w:r w:rsidR="003C15A7" w:rsidRPr="00D436A1">
        <w:rPr>
          <w:rFonts w:asciiTheme="minorHAnsi" w:hAnsiTheme="minorHAnsi" w:cstheme="minorHAnsi"/>
          <w:sz w:val="22"/>
          <w:szCs w:val="22"/>
        </w:rPr>
        <w:t>e</w:t>
      </w:r>
      <w:r w:rsidRPr="00D436A1">
        <w:rPr>
          <w:rFonts w:asciiTheme="minorHAnsi" w:hAnsiTheme="minorHAnsi" w:cstheme="minorHAnsi"/>
          <w:sz w:val="22"/>
          <w:szCs w:val="22"/>
        </w:rPr>
        <w:t xml:space="preserve"> bušotin</w:t>
      </w:r>
      <w:r w:rsidR="003C15A7" w:rsidRPr="00D436A1">
        <w:rPr>
          <w:rFonts w:asciiTheme="minorHAnsi" w:hAnsiTheme="minorHAnsi" w:cstheme="minorHAnsi"/>
          <w:sz w:val="22"/>
          <w:szCs w:val="22"/>
        </w:rPr>
        <w:t>e</w:t>
      </w:r>
      <w:r w:rsidRPr="00D436A1">
        <w:rPr>
          <w:rFonts w:asciiTheme="minorHAnsi" w:hAnsiTheme="minorHAnsi" w:cstheme="minorHAnsi"/>
          <w:sz w:val="22"/>
          <w:szCs w:val="22"/>
        </w:rPr>
        <w:t xml:space="preserve"> (</w:t>
      </w:r>
      <w:r w:rsidR="003C15A7" w:rsidRPr="00D436A1">
        <w:rPr>
          <w:rFonts w:asciiTheme="minorHAnsi" w:hAnsiTheme="minorHAnsi" w:cstheme="minorHAnsi"/>
          <w:sz w:val="22"/>
          <w:szCs w:val="22"/>
        </w:rPr>
        <w:t>20</w:t>
      </w:r>
      <w:r w:rsidRPr="00D436A1">
        <w:rPr>
          <w:rFonts w:asciiTheme="minorHAnsi" w:hAnsiTheme="minorHAnsi" w:cstheme="minorHAnsi"/>
          <w:sz w:val="22"/>
          <w:szCs w:val="22"/>
        </w:rPr>
        <w:t xml:space="preserve"> proizvodnih i </w:t>
      </w:r>
      <w:r w:rsidR="003C15A7" w:rsidRPr="00D436A1">
        <w:rPr>
          <w:rFonts w:asciiTheme="minorHAnsi" w:hAnsiTheme="minorHAnsi" w:cstheme="minorHAnsi"/>
          <w:sz w:val="22"/>
          <w:szCs w:val="22"/>
        </w:rPr>
        <w:t>dvije</w:t>
      </w:r>
      <w:r w:rsidRPr="00D436A1">
        <w:rPr>
          <w:rFonts w:asciiTheme="minorHAnsi" w:hAnsiTheme="minorHAnsi" w:cstheme="minorHAnsi"/>
          <w:sz w:val="22"/>
          <w:szCs w:val="22"/>
        </w:rPr>
        <w:t xml:space="preserve"> vodo-utisne). Na Ras </w:t>
      </w:r>
      <w:proofErr w:type="spellStart"/>
      <w:r w:rsidRPr="00D436A1">
        <w:rPr>
          <w:rFonts w:asciiTheme="minorHAnsi" w:hAnsiTheme="minorHAnsi" w:cstheme="minorHAnsi"/>
          <w:sz w:val="22"/>
          <w:szCs w:val="22"/>
        </w:rPr>
        <w:t>Qattari</w:t>
      </w:r>
      <w:proofErr w:type="spellEnd"/>
      <w:r w:rsidRPr="00D436A1">
        <w:rPr>
          <w:rFonts w:asciiTheme="minorHAnsi" w:hAnsiTheme="minorHAnsi" w:cstheme="minorHAnsi"/>
          <w:sz w:val="22"/>
          <w:szCs w:val="22"/>
        </w:rPr>
        <w:t xml:space="preserve"> dovršena je izrada jedne razradne bušotine, odrađeno je </w:t>
      </w:r>
      <w:r w:rsidR="003C15A7" w:rsidRPr="00D436A1">
        <w:rPr>
          <w:rFonts w:asciiTheme="minorHAnsi" w:hAnsiTheme="minorHAnsi" w:cstheme="minorHAnsi"/>
          <w:sz w:val="22"/>
          <w:szCs w:val="22"/>
        </w:rPr>
        <w:t>14</w:t>
      </w:r>
      <w:r w:rsidRPr="00D436A1">
        <w:rPr>
          <w:rFonts w:asciiTheme="minorHAnsi" w:hAnsiTheme="minorHAnsi" w:cstheme="minorHAnsi"/>
          <w:sz w:val="22"/>
          <w:szCs w:val="22"/>
        </w:rPr>
        <w:t xml:space="preserve"> remonata i u tijeku je postupak produljenja koncesije.</w:t>
      </w:r>
    </w:p>
    <w:bookmarkEnd w:id="3"/>
    <w:bookmarkEnd w:id="4"/>
    <w:p w14:paraId="05D4F140" w14:textId="39EBFE96" w:rsidR="005E3A65" w:rsidRPr="00D436A1" w:rsidRDefault="003C281E" w:rsidP="003E0A2F">
      <w:pPr>
        <w:spacing w:line="360" w:lineRule="auto"/>
        <w:jc w:val="center"/>
        <w:rPr>
          <w:rFonts w:asciiTheme="minorHAnsi" w:hAnsiTheme="minorHAnsi" w:cstheme="minorHAnsi"/>
          <w:b/>
        </w:rPr>
        <w:sectPr w:rsidR="005E3A65" w:rsidRPr="00D436A1" w:rsidSect="00621EA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36A1">
        <w:rPr>
          <w:noProof/>
        </w:rPr>
        <w:drawing>
          <wp:inline distT="0" distB="0" distL="0" distR="0" wp14:anchorId="203A882F" wp14:editId="7B0C267F">
            <wp:extent cx="2472537" cy="1906924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546" cy="1911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0EB" w:rsidRPr="00D436A1">
        <w:rPr>
          <w:noProof/>
        </w:rPr>
        <w:drawing>
          <wp:inline distT="0" distB="0" distL="0" distR="0" wp14:anchorId="6D7EC1A0" wp14:editId="6AEEDCA6">
            <wp:extent cx="2504031" cy="193121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603" cy="1945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0EB" w:rsidRPr="00D436A1">
        <w:rPr>
          <w:noProof/>
        </w:rPr>
        <w:drawing>
          <wp:inline distT="0" distB="0" distL="0" distR="0" wp14:anchorId="0B1F921C" wp14:editId="679F307E">
            <wp:extent cx="2482361" cy="190926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380" cy="1915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047C" w:rsidRPr="00D436A1">
        <w:rPr>
          <w:noProof/>
        </w:rPr>
        <w:t xml:space="preserve">  </w:t>
      </w:r>
    </w:p>
    <w:p w14:paraId="362CAA65" w14:textId="0CA50DA5" w:rsidR="00286848" w:rsidRPr="00D436A1" w:rsidRDefault="00130DEA" w:rsidP="001B7CD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36A1">
        <w:rPr>
          <w:rFonts w:asciiTheme="minorHAnsi" w:hAnsiTheme="minorHAnsi" w:cstheme="minorHAnsi"/>
          <w:b/>
          <w:sz w:val="22"/>
          <w:szCs w:val="22"/>
        </w:rPr>
        <w:t>Rafinerije i marketing (uključujući Usluge kupcima i maloprodaju)</w:t>
      </w:r>
    </w:p>
    <w:p w14:paraId="7656F650" w14:textId="152B0E1B" w:rsidR="00143B18" w:rsidRPr="00D436A1" w:rsidRDefault="002F38F4" w:rsidP="00445FCF">
      <w:pPr>
        <w:spacing w:before="120"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36A1">
        <w:rPr>
          <w:rFonts w:asciiTheme="minorHAnsi" w:hAnsiTheme="minorHAnsi" w:cstheme="minorHAnsi"/>
          <w:sz w:val="22"/>
          <w:szCs w:val="22"/>
        </w:rPr>
        <w:t>Padajući trend cijena na tržištu u prvoj polovici 2023. rezultirao je nižim maržama na uvezenu robu</w:t>
      </w:r>
      <w:r w:rsidR="00DD535E" w:rsidRPr="00D436A1">
        <w:rPr>
          <w:rFonts w:asciiTheme="minorHAnsi" w:hAnsiTheme="minorHAnsi" w:cstheme="minorHAnsi"/>
          <w:sz w:val="22"/>
          <w:szCs w:val="22"/>
        </w:rPr>
        <w:t xml:space="preserve">. </w:t>
      </w:r>
      <w:r w:rsidRPr="00D436A1">
        <w:rPr>
          <w:rFonts w:asciiTheme="minorHAnsi" w:hAnsiTheme="minorHAnsi" w:cstheme="minorHAnsi"/>
          <w:sz w:val="22"/>
          <w:szCs w:val="22"/>
        </w:rPr>
        <w:t xml:space="preserve">Kontinuirana opskrba tržišta u </w:t>
      </w:r>
      <w:r w:rsidR="00582C12" w:rsidRPr="00D436A1">
        <w:rPr>
          <w:rFonts w:asciiTheme="minorHAnsi" w:hAnsiTheme="minorHAnsi" w:cstheme="minorHAnsi"/>
          <w:sz w:val="22"/>
          <w:szCs w:val="22"/>
        </w:rPr>
        <w:t>razdoblju</w:t>
      </w:r>
      <w:r w:rsidRPr="00D436A1">
        <w:rPr>
          <w:rFonts w:asciiTheme="minorHAnsi" w:hAnsiTheme="minorHAnsi" w:cstheme="minorHAnsi"/>
          <w:sz w:val="22"/>
          <w:szCs w:val="22"/>
        </w:rPr>
        <w:t xml:space="preserve"> privremene obustave rada Rafinerije nafte Rijeka osigurana je </w:t>
      </w:r>
      <w:r w:rsidRPr="00D436A1">
        <w:rPr>
          <w:rFonts w:asciiTheme="minorHAnsi" w:hAnsiTheme="minorHAnsi" w:cstheme="minorHAnsi"/>
          <w:sz w:val="22"/>
          <w:szCs w:val="22"/>
        </w:rPr>
        <w:lastRenderedPageBreak/>
        <w:t>uvozom, uz nastavak stabilne opskrbe gorivima</w:t>
      </w:r>
      <w:r w:rsidR="00D43BEF" w:rsidRPr="00D436A1">
        <w:rPr>
          <w:rFonts w:asciiTheme="minorHAnsi" w:hAnsiTheme="minorHAnsi" w:cstheme="minorHAnsi"/>
          <w:sz w:val="22"/>
          <w:szCs w:val="22"/>
        </w:rPr>
        <w:t xml:space="preserve"> t</w:t>
      </w:r>
      <w:r w:rsidRPr="00D436A1">
        <w:rPr>
          <w:rFonts w:asciiTheme="minorHAnsi" w:hAnsiTheme="minorHAnsi" w:cstheme="minorHAnsi"/>
          <w:sz w:val="22"/>
          <w:szCs w:val="22"/>
        </w:rPr>
        <w:t>ijekom snažne ljetne sezone</w:t>
      </w:r>
      <w:r w:rsidR="009E3BFF" w:rsidRPr="00D436A1">
        <w:rPr>
          <w:rFonts w:asciiTheme="minorHAnsi" w:hAnsiTheme="minorHAnsi" w:cstheme="minorHAnsi"/>
          <w:sz w:val="22"/>
          <w:szCs w:val="22"/>
        </w:rPr>
        <w:t>, što je</w:t>
      </w:r>
      <w:r w:rsidRPr="00D436A1">
        <w:rPr>
          <w:rFonts w:asciiTheme="minorHAnsi" w:hAnsiTheme="minorHAnsi" w:cstheme="minorHAnsi"/>
          <w:sz w:val="22"/>
          <w:szCs w:val="22"/>
        </w:rPr>
        <w:t xml:space="preserve"> pridonijel</w:t>
      </w:r>
      <w:r w:rsidR="009E3BFF" w:rsidRPr="00D436A1">
        <w:rPr>
          <w:rFonts w:asciiTheme="minorHAnsi" w:hAnsiTheme="minorHAnsi" w:cstheme="minorHAnsi"/>
          <w:sz w:val="22"/>
          <w:szCs w:val="22"/>
        </w:rPr>
        <w:t>o</w:t>
      </w:r>
      <w:r w:rsidRPr="00D436A1">
        <w:rPr>
          <w:rFonts w:asciiTheme="minorHAnsi" w:hAnsiTheme="minorHAnsi" w:cstheme="minorHAnsi"/>
          <w:sz w:val="22"/>
          <w:szCs w:val="22"/>
        </w:rPr>
        <w:t xml:space="preserve"> većoj prodaji na </w:t>
      </w:r>
      <w:r w:rsidR="009E3BFF" w:rsidRPr="00D436A1">
        <w:rPr>
          <w:rFonts w:asciiTheme="minorHAnsi" w:hAnsiTheme="minorHAnsi" w:cstheme="minorHAnsi"/>
          <w:sz w:val="22"/>
          <w:szCs w:val="22"/>
        </w:rPr>
        <w:t xml:space="preserve">ključnim </w:t>
      </w:r>
      <w:r w:rsidRPr="00D436A1">
        <w:rPr>
          <w:rFonts w:asciiTheme="minorHAnsi" w:hAnsiTheme="minorHAnsi" w:cstheme="minorHAnsi"/>
          <w:sz w:val="22"/>
          <w:szCs w:val="22"/>
        </w:rPr>
        <w:t>tržišt</w:t>
      </w:r>
      <w:r w:rsidR="009E3BFF" w:rsidRPr="00D436A1">
        <w:rPr>
          <w:rFonts w:asciiTheme="minorHAnsi" w:hAnsiTheme="minorHAnsi" w:cstheme="minorHAnsi"/>
          <w:sz w:val="22"/>
          <w:szCs w:val="22"/>
        </w:rPr>
        <w:t>ima</w:t>
      </w:r>
      <w:r w:rsidR="00DD535E" w:rsidRPr="00D436A1">
        <w:rPr>
          <w:rFonts w:asciiTheme="minorHAnsi" w:hAnsiTheme="minorHAnsi" w:cstheme="minorHAnsi"/>
          <w:sz w:val="22"/>
          <w:szCs w:val="22"/>
        </w:rPr>
        <w:t xml:space="preserve">. </w:t>
      </w:r>
      <w:r w:rsidR="00143B18" w:rsidRPr="00D436A1">
        <w:rPr>
          <w:rFonts w:asciiTheme="minorHAnsi" w:hAnsiTheme="minorHAnsi" w:cstheme="minorHAnsi"/>
          <w:sz w:val="22"/>
          <w:szCs w:val="22"/>
        </w:rPr>
        <w:t xml:space="preserve">Nakon uspješnog </w:t>
      </w:r>
      <w:r w:rsidR="0064439E" w:rsidRPr="00D436A1">
        <w:rPr>
          <w:rFonts w:asciiTheme="minorHAnsi" w:hAnsiTheme="minorHAnsi" w:cstheme="minorHAnsi"/>
          <w:sz w:val="22"/>
          <w:szCs w:val="22"/>
        </w:rPr>
        <w:t xml:space="preserve">pokretanja proizvodnje </w:t>
      </w:r>
      <w:r w:rsidR="00143B18" w:rsidRPr="00D436A1">
        <w:rPr>
          <w:rFonts w:asciiTheme="minorHAnsi" w:hAnsiTheme="minorHAnsi" w:cstheme="minorHAnsi"/>
          <w:sz w:val="22"/>
          <w:szCs w:val="22"/>
        </w:rPr>
        <w:t xml:space="preserve">krajem travnja, uz pozitivan doprinos rezultatima, Rafinerija nafte Rijeka ostala je u pogonu do početka prosinca, kada je krenuo planirani </w:t>
      </w:r>
      <w:r w:rsidR="006E6FEE" w:rsidRPr="00D436A1">
        <w:rPr>
          <w:rFonts w:asciiTheme="minorHAnsi" w:hAnsiTheme="minorHAnsi" w:cstheme="minorHAnsi"/>
          <w:sz w:val="22"/>
          <w:szCs w:val="22"/>
        </w:rPr>
        <w:t>remont.</w:t>
      </w:r>
    </w:p>
    <w:p w14:paraId="2BDE9BD5" w14:textId="590F6393" w:rsidR="002F38F4" w:rsidRPr="00D436A1" w:rsidRDefault="002F38F4" w:rsidP="002F38F4">
      <w:pPr>
        <w:spacing w:before="120"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36A1">
        <w:rPr>
          <w:rFonts w:asciiTheme="minorHAnsi" w:hAnsiTheme="minorHAnsi" w:cstheme="minorHAnsi"/>
          <w:sz w:val="22"/>
          <w:szCs w:val="22"/>
        </w:rPr>
        <w:t>Ukupna prodaja djelatnosti Uslug</w:t>
      </w:r>
      <w:r w:rsidR="00AE3B8B" w:rsidRPr="00D436A1">
        <w:rPr>
          <w:rFonts w:asciiTheme="minorHAnsi" w:hAnsiTheme="minorHAnsi" w:cstheme="minorHAnsi"/>
          <w:sz w:val="22"/>
          <w:szCs w:val="22"/>
        </w:rPr>
        <w:t>a</w:t>
      </w:r>
      <w:r w:rsidRPr="00D436A1">
        <w:rPr>
          <w:rFonts w:asciiTheme="minorHAnsi" w:hAnsiTheme="minorHAnsi" w:cstheme="minorHAnsi"/>
          <w:sz w:val="22"/>
          <w:szCs w:val="22"/>
        </w:rPr>
        <w:t xml:space="preserve"> kupcima i maloprodaj</w:t>
      </w:r>
      <w:r w:rsidR="004D6797" w:rsidRPr="00D436A1">
        <w:rPr>
          <w:rFonts w:asciiTheme="minorHAnsi" w:hAnsiTheme="minorHAnsi" w:cstheme="minorHAnsi"/>
          <w:sz w:val="22"/>
          <w:szCs w:val="22"/>
        </w:rPr>
        <w:t>e</w:t>
      </w:r>
      <w:r w:rsidRPr="00D436A1">
        <w:rPr>
          <w:rFonts w:asciiTheme="minorHAnsi" w:hAnsiTheme="minorHAnsi" w:cstheme="minorHAnsi"/>
          <w:sz w:val="22"/>
          <w:szCs w:val="22"/>
        </w:rPr>
        <w:t xml:space="preserve"> u 2023. godin</w:t>
      </w:r>
      <w:r w:rsidR="004D6797" w:rsidRPr="00D436A1">
        <w:rPr>
          <w:rFonts w:asciiTheme="minorHAnsi" w:hAnsiTheme="minorHAnsi" w:cstheme="minorHAnsi"/>
          <w:sz w:val="22"/>
          <w:szCs w:val="22"/>
        </w:rPr>
        <w:t>i</w:t>
      </w:r>
      <w:r w:rsidRPr="00D436A1">
        <w:rPr>
          <w:rFonts w:asciiTheme="minorHAnsi" w:hAnsiTheme="minorHAnsi" w:cstheme="minorHAnsi"/>
          <w:sz w:val="22"/>
          <w:szCs w:val="22"/>
        </w:rPr>
        <w:t xml:space="preserve"> iznosila je 1.401 </w:t>
      </w:r>
      <w:proofErr w:type="spellStart"/>
      <w:r w:rsidRPr="00D436A1">
        <w:rPr>
          <w:rFonts w:asciiTheme="minorHAnsi" w:hAnsiTheme="minorHAnsi" w:cstheme="minorHAnsi"/>
          <w:sz w:val="22"/>
          <w:szCs w:val="22"/>
        </w:rPr>
        <w:t>kt</w:t>
      </w:r>
      <w:proofErr w:type="spellEnd"/>
      <w:r w:rsidRPr="00D436A1">
        <w:rPr>
          <w:rFonts w:asciiTheme="minorHAnsi" w:hAnsiTheme="minorHAnsi" w:cstheme="minorHAnsi"/>
          <w:sz w:val="22"/>
          <w:szCs w:val="22"/>
        </w:rPr>
        <w:t xml:space="preserve">, </w:t>
      </w:r>
      <w:r w:rsidR="004D6797" w:rsidRPr="00D436A1">
        <w:rPr>
          <w:rFonts w:asciiTheme="minorHAnsi" w:hAnsiTheme="minorHAnsi" w:cstheme="minorHAnsi"/>
          <w:sz w:val="22"/>
          <w:szCs w:val="22"/>
        </w:rPr>
        <w:t xml:space="preserve">što je </w:t>
      </w:r>
      <w:r w:rsidRPr="00D436A1">
        <w:rPr>
          <w:rFonts w:asciiTheme="minorHAnsi" w:hAnsiTheme="minorHAnsi" w:cstheme="minorHAnsi"/>
          <w:sz w:val="22"/>
          <w:szCs w:val="22"/>
        </w:rPr>
        <w:t xml:space="preserve">19 % više od istog razdoblja 2022. godine. Najveći je doprinos s hrvatskog tržišta (+213 </w:t>
      </w:r>
      <w:proofErr w:type="spellStart"/>
      <w:r w:rsidRPr="00D436A1">
        <w:rPr>
          <w:rFonts w:asciiTheme="minorHAnsi" w:hAnsiTheme="minorHAnsi" w:cstheme="minorHAnsi"/>
          <w:sz w:val="22"/>
          <w:szCs w:val="22"/>
        </w:rPr>
        <w:t>kt</w:t>
      </w:r>
      <w:proofErr w:type="spellEnd"/>
      <w:r w:rsidRPr="00D436A1">
        <w:rPr>
          <w:rFonts w:asciiTheme="minorHAnsi" w:hAnsiTheme="minorHAnsi" w:cstheme="minorHAnsi"/>
          <w:sz w:val="22"/>
          <w:szCs w:val="22"/>
        </w:rPr>
        <w:t xml:space="preserve">), ponajviše kao rezultat </w:t>
      </w:r>
      <w:r w:rsidR="00BB04D3" w:rsidRPr="00D436A1">
        <w:rPr>
          <w:rFonts w:asciiTheme="minorHAnsi" w:hAnsiTheme="minorHAnsi" w:cstheme="minorHAnsi"/>
          <w:sz w:val="22"/>
          <w:szCs w:val="22"/>
        </w:rPr>
        <w:t>pojačane potražnje tijekom</w:t>
      </w:r>
      <w:r w:rsidRPr="00D436A1">
        <w:rPr>
          <w:rFonts w:asciiTheme="minorHAnsi" w:hAnsiTheme="minorHAnsi" w:cstheme="minorHAnsi"/>
          <w:sz w:val="22"/>
          <w:szCs w:val="22"/>
        </w:rPr>
        <w:t xml:space="preserve"> turističke sezone</w:t>
      </w:r>
      <w:r w:rsidR="00E6183A" w:rsidRPr="00D436A1">
        <w:rPr>
          <w:rFonts w:asciiTheme="minorHAnsi" w:hAnsiTheme="minorHAnsi" w:cstheme="minorHAnsi"/>
          <w:sz w:val="22"/>
          <w:szCs w:val="22"/>
        </w:rPr>
        <w:t>.</w:t>
      </w:r>
      <w:r w:rsidR="00BA5730" w:rsidRPr="00D436A1">
        <w:rPr>
          <w:rFonts w:asciiTheme="minorHAnsi" w:hAnsiTheme="minorHAnsi" w:cstheme="minorHAnsi"/>
          <w:sz w:val="22"/>
          <w:szCs w:val="22"/>
        </w:rPr>
        <w:t xml:space="preserve"> </w:t>
      </w:r>
      <w:r w:rsidRPr="00D436A1">
        <w:rPr>
          <w:rFonts w:asciiTheme="minorHAnsi" w:hAnsiTheme="minorHAnsi" w:cstheme="minorHAnsi"/>
          <w:sz w:val="22"/>
          <w:szCs w:val="22"/>
        </w:rPr>
        <w:t xml:space="preserve">Marža ne-goriva rasla je 33 % što odražava kontinuirano širenje asortimana i usluga, porast broja </w:t>
      </w:r>
      <w:proofErr w:type="spellStart"/>
      <w:r w:rsidRPr="00D436A1">
        <w:rPr>
          <w:rFonts w:asciiTheme="minorHAnsi" w:hAnsiTheme="minorHAnsi" w:cstheme="minorHAnsi"/>
          <w:sz w:val="22"/>
          <w:szCs w:val="22"/>
        </w:rPr>
        <w:t>Fresh</w:t>
      </w:r>
      <w:proofErr w:type="spellEnd"/>
      <w:r w:rsidRPr="00D436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36A1">
        <w:rPr>
          <w:rFonts w:asciiTheme="minorHAnsi" w:hAnsiTheme="minorHAnsi" w:cstheme="minorHAnsi"/>
          <w:sz w:val="22"/>
          <w:szCs w:val="22"/>
        </w:rPr>
        <w:t>Corner</w:t>
      </w:r>
      <w:proofErr w:type="spellEnd"/>
      <w:r w:rsidRPr="00D436A1">
        <w:rPr>
          <w:rFonts w:asciiTheme="minorHAnsi" w:hAnsiTheme="minorHAnsi" w:cstheme="minorHAnsi"/>
          <w:sz w:val="22"/>
          <w:szCs w:val="22"/>
        </w:rPr>
        <w:t xml:space="preserve"> lokacija i podršku programa vjernosti INA </w:t>
      </w:r>
      <w:proofErr w:type="spellStart"/>
      <w:r w:rsidRPr="00D436A1">
        <w:rPr>
          <w:rFonts w:asciiTheme="minorHAnsi" w:hAnsiTheme="minorHAnsi" w:cstheme="minorHAnsi"/>
          <w:sz w:val="22"/>
          <w:szCs w:val="22"/>
        </w:rPr>
        <w:t>Loyalty</w:t>
      </w:r>
      <w:proofErr w:type="spellEnd"/>
      <w:r w:rsidRPr="00D436A1">
        <w:rPr>
          <w:rFonts w:asciiTheme="minorHAnsi" w:hAnsiTheme="minorHAnsi" w:cstheme="minorHAnsi"/>
          <w:sz w:val="22"/>
          <w:szCs w:val="22"/>
        </w:rPr>
        <w:t xml:space="preserve"> koji je </w:t>
      </w:r>
      <w:r w:rsidR="00BA5730" w:rsidRPr="00D436A1">
        <w:rPr>
          <w:rFonts w:asciiTheme="minorHAnsi" w:hAnsiTheme="minorHAnsi" w:cstheme="minorHAnsi"/>
          <w:sz w:val="22"/>
          <w:szCs w:val="22"/>
        </w:rPr>
        <w:t xml:space="preserve">krajem </w:t>
      </w:r>
      <w:r w:rsidR="00913E79" w:rsidRPr="00D436A1">
        <w:rPr>
          <w:rFonts w:asciiTheme="minorHAnsi" w:hAnsiTheme="minorHAnsi" w:cstheme="minorHAnsi"/>
          <w:sz w:val="22"/>
          <w:szCs w:val="22"/>
        </w:rPr>
        <w:t xml:space="preserve">2023. </w:t>
      </w:r>
      <w:r w:rsidRPr="00D436A1">
        <w:rPr>
          <w:rFonts w:asciiTheme="minorHAnsi" w:hAnsiTheme="minorHAnsi" w:cstheme="minorHAnsi"/>
          <w:sz w:val="22"/>
          <w:szCs w:val="22"/>
        </w:rPr>
        <w:t>dosegnuo 560 tisuća registriranih članova</w:t>
      </w:r>
      <w:r w:rsidR="002956C7" w:rsidRPr="00D436A1">
        <w:rPr>
          <w:rFonts w:asciiTheme="minorHAnsi" w:hAnsiTheme="minorHAnsi" w:cstheme="minorHAnsi"/>
          <w:sz w:val="22"/>
          <w:szCs w:val="22"/>
        </w:rPr>
        <w:t xml:space="preserve"> (</w:t>
      </w:r>
      <w:r w:rsidR="00913E79" w:rsidRPr="00D436A1">
        <w:rPr>
          <w:rFonts w:asciiTheme="minorHAnsi" w:hAnsiTheme="minorHAnsi" w:cstheme="minorHAnsi"/>
          <w:sz w:val="22"/>
          <w:szCs w:val="22"/>
        </w:rPr>
        <w:t xml:space="preserve">danas više od </w:t>
      </w:r>
      <w:r w:rsidR="002956C7" w:rsidRPr="00D436A1">
        <w:rPr>
          <w:rFonts w:asciiTheme="minorHAnsi" w:hAnsiTheme="minorHAnsi" w:cstheme="minorHAnsi"/>
          <w:sz w:val="22"/>
          <w:szCs w:val="22"/>
        </w:rPr>
        <w:t>600 tisuća</w:t>
      </w:r>
      <w:r w:rsidR="00FB0C53" w:rsidRPr="00D436A1">
        <w:rPr>
          <w:rFonts w:asciiTheme="minorHAnsi" w:hAnsiTheme="minorHAnsi" w:cstheme="minorHAnsi"/>
          <w:sz w:val="22"/>
          <w:szCs w:val="22"/>
        </w:rPr>
        <w:t>).</w:t>
      </w:r>
      <w:r w:rsidRPr="00D436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788F77" w14:textId="1F695521" w:rsidR="004A527C" w:rsidRPr="00D436A1" w:rsidRDefault="004A527C" w:rsidP="006B0220">
      <w:pPr>
        <w:spacing w:before="120"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36A1">
        <w:rPr>
          <w:rFonts w:asciiTheme="minorHAnsi" w:hAnsiTheme="minorHAnsi" w:cstheme="minorHAnsi"/>
          <w:sz w:val="22"/>
          <w:szCs w:val="22"/>
        </w:rPr>
        <w:t xml:space="preserve">Kapitalna ulaganja </w:t>
      </w:r>
      <w:r w:rsidR="00015694" w:rsidRPr="00D436A1">
        <w:rPr>
          <w:rFonts w:asciiTheme="minorHAnsi" w:hAnsiTheme="minorHAnsi" w:cstheme="minorHAnsi"/>
          <w:sz w:val="22"/>
          <w:szCs w:val="22"/>
        </w:rPr>
        <w:t xml:space="preserve">djelatnosti </w:t>
      </w:r>
      <w:r w:rsidRPr="00D436A1">
        <w:rPr>
          <w:rFonts w:asciiTheme="minorHAnsi" w:hAnsiTheme="minorHAnsi" w:cstheme="minorHAnsi"/>
          <w:sz w:val="22"/>
          <w:szCs w:val="22"/>
        </w:rPr>
        <w:t>Rafinerija i marketinga iznosila su 1</w:t>
      </w:r>
      <w:r w:rsidR="00710E81" w:rsidRPr="00D436A1">
        <w:rPr>
          <w:rFonts w:asciiTheme="minorHAnsi" w:hAnsiTheme="minorHAnsi" w:cstheme="minorHAnsi"/>
          <w:sz w:val="22"/>
          <w:szCs w:val="22"/>
        </w:rPr>
        <w:t>73</w:t>
      </w:r>
      <w:r w:rsidRPr="00D436A1">
        <w:rPr>
          <w:rFonts w:asciiTheme="minorHAnsi" w:hAnsiTheme="minorHAnsi" w:cstheme="minorHAnsi"/>
          <w:sz w:val="22"/>
          <w:szCs w:val="22"/>
        </w:rPr>
        <w:t>,</w:t>
      </w:r>
      <w:r w:rsidR="00710E81" w:rsidRPr="00D436A1">
        <w:rPr>
          <w:rFonts w:asciiTheme="minorHAnsi" w:hAnsiTheme="minorHAnsi" w:cstheme="minorHAnsi"/>
          <w:sz w:val="22"/>
          <w:szCs w:val="22"/>
        </w:rPr>
        <w:t>2</w:t>
      </w:r>
      <w:r w:rsidRPr="00D436A1">
        <w:rPr>
          <w:rFonts w:asciiTheme="minorHAnsi" w:hAnsiTheme="minorHAnsi" w:cstheme="minorHAnsi"/>
          <w:sz w:val="22"/>
          <w:szCs w:val="22"/>
        </w:rPr>
        <w:t xml:space="preserve"> milijuna eura</w:t>
      </w:r>
      <w:r w:rsidR="00380CBA" w:rsidRPr="00D436A1">
        <w:rPr>
          <w:rFonts w:asciiTheme="minorHAnsi" w:hAnsiTheme="minorHAnsi" w:cstheme="minorHAnsi"/>
          <w:sz w:val="22"/>
          <w:szCs w:val="22"/>
        </w:rPr>
        <w:t xml:space="preserve">. Ključna investicija je </w:t>
      </w:r>
      <w:r w:rsidRPr="00D436A1">
        <w:rPr>
          <w:rFonts w:asciiTheme="minorHAnsi" w:hAnsiTheme="minorHAnsi" w:cstheme="minorHAnsi"/>
          <w:sz w:val="22"/>
          <w:szCs w:val="22"/>
        </w:rPr>
        <w:t>Projekt nadogradnje R</w:t>
      </w:r>
      <w:r w:rsidR="00380CBA" w:rsidRPr="00D436A1">
        <w:rPr>
          <w:rFonts w:asciiTheme="minorHAnsi" w:hAnsiTheme="minorHAnsi" w:cstheme="minorHAnsi"/>
          <w:sz w:val="22"/>
          <w:szCs w:val="22"/>
        </w:rPr>
        <w:t xml:space="preserve">afinerije nafte Rijeka koji je na </w:t>
      </w:r>
      <w:r w:rsidRPr="00D436A1">
        <w:rPr>
          <w:rFonts w:asciiTheme="minorHAnsi" w:hAnsiTheme="minorHAnsi" w:cstheme="minorHAnsi"/>
          <w:sz w:val="22"/>
          <w:szCs w:val="22"/>
        </w:rPr>
        <w:t>8</w:t>
      </w:r>
      <w:r w:rsidR="00710E81" w:rsidRPr="00D436A1">
        <w:rPr>
          <w:rFonts w:asciiTheme="minorHAnsi" w:hAnsiTheme="minorHAnsi" w:cstheme="minorHAnsi"/>
          <w:sz w:val="22"/>
          <w:szCs w:val="22"/>
        </w:rPr>
        <w:t>4</w:t>
      </w:r>
      <w:r w:rsidRPr="00D436A1">
        <w:rPr>
          <w:rFonts w:asciiTheme="minorHAnsi" w:hAnsiTheme="minorHAnsi" w:cstheme="minorHAnsi"/>
          <w:sz w:val="22"/>
          <w:szCs w:val="22"/>
        </w:rPr>
        <w:t xml:space="preserve"> </w:t>
      </w:r>
      <w:r w:rsidR="00380CBA" w:rsidRPr="00D436A1">
        <w:rPr>
          <w:rFonts w:asciiTheme="minorHAnsi" w:hAnsiTheme="minorHAnsi" w:cstheme="minorHAnsi"/>
          <w:sz w:val="22"/>
          <w:szCs w:val="22"/>
        </w:rPr>
        <w:t>posto dovršenosti</w:t>
      </w:r>
      <w:r w:rsidRPr="00D436A1">
        <w:rPr>
          <w:rFonts w:asciiTheme="minorHAnsi" w:hAnsiTheme="minorHAnsi" w:cstheme="minorHAnsi"/>
          <w:sz w:val="22"/>
          <w:szCs w:val="22"/>
        </w:rPr>
        <w:t>, s aktivnim radovima na cjevovodu i građevinski</w:t>
      </w:r>
      <w:r w:rsidR="0064439E" w:rsidRPr="00D436A1">
        <w:rPr>
          <w:rFonts w:asciiTheme="minorHAnsi" w:hAnsiTheme="minorHAnsi" w:cstheme="minorHAnsi"/>
          <w:sz w:val="22"/>
          <w:szCs w:val="22"/>
        </w:rPr>
        <w:t>m</w:t>
      </w:r>
      <w:r w:rsidRPr="00D436A1">
        <w:rPr>
          <w:rFonts w:asciiTheme="minorHAnsi" w:hAnsiTheme="minorHAnsi" w:cstheme="minorHAnsi"/>
          <w:sz w:val="22"/>
          <w:szCs w:val="22"/>
        </w:rPr>
        <w:t xml:space="preserve"> radovima</w:t>
      </w:r>
      <w:r w:rsidR="00FE236E" w:rsidRPr="00D436A1">
        <w:rPr>
          <w:rFonts w:asciiTheme="minorHAnsi" w:hAnsiTheme="minorHAnsi" w:cstheme="minorHAnsi"/>
          <w:sz w:val="22"/>
          <w:szCs w:val="22"/>
        </w:rPr>
        <w:t>, dok je izgradnja peći pri kraju</w:t>
      </w:r>
      <w:r w:rsidRPr="00D436A1">
        <w:rPr>
          <w:rFonts w:asciiTheme="minorHAnsi" w:hAnsiTheme="minorHAnsi" w:cstheme="minorHAnsi"/>
          <w:sz w:val="22"/>
          <w:szCs w:val="22"/>
        </w:rPr>
        <w:t xml:space="preserve">. Priključenje na 110kV električnu mrežu je završeno i ishođene su uporabne dozvole. </w:t>
      </w:r>
      <w:r w:rsidR="003A5609" w:rsidRPr="00D436A1">
        <w:rPr>
          <w:rFonts w:asciiTheme="minorHAnsi" w:hAnsiTheme="minorHAnsi" w:cstheme="minorHAnsi"/>
          <w:sz w:val="22"/>
          <w:szCs w:val="22"/>
        </w:rPr>
        <w:t>Pr</w:t>
      </w:r>
      <w:r w:rsidR="009A61C7" w:rsidRPr="00D436A1">
        <w:rPr>
          <w:rFonts w:asciiTheme="minorHAnsi" w:hAnsiTheme="minorHAnsi" w:cstheme="minorHAnsi"/>
          <w:sz w:val="22"/>
          <w:szCs w:val="22"/>
        </w:rPr>
        <w:t>ojekt p</w:t>
      </w:r>
      <w:r w:rsidRPr="00D436A1">
        <w:rPr>
          <w:rFonts w:asciiTheme="minorHAnsi" w:hAnsiTheme="minorHAnsi" w:cstheme="minorHAnsi"/>
          <w:sz w:val="22"/>
          <w:szCs w:val="22"/>
        </w:rPr>
        <w:t>oboljšan</w:t>
      </w:r>
      <w:r w:rsidR="00AB774B" w:rsidRPr="00D436A1">
        <w:rPr>
          <w:rFonts w:asciiTheme="minorHAnsi" w:hAnsiTheme="minorHAnsi" w:cstheme="minorHAnsi"/>
          <w:sz w:val="22"/>
          <w:szCs w:val="22"/>
        </w:rPr>
        <w:t>j</w:t>
      </w:r>
      <w:r w:rsidR="009A61C7" w:rsidRPr="00D436A1">
        <w:rPr>
          <w:rFonts w:asciiTheme="minorHAnsi" w:hAnsiTheme="minorHAnsi" w:cstheme="minorHAnsi"/>
          <w:sz w:val="22"/>
          <w:szCs w:val="22"/>
        </w:rPr>
        <w:t>a</w:t>
      </w:r>
      <w:r w:rsidRPr="00D436A1">
        <w:rPr>
          <w:rFonts w:asciiTheme="minorHAnsi" w:hAnsiTheme="minorHAnsi" w:cstheme="minorHAnsi"/>
          <w:sz w:val="22"/>
          <w:szCs w:val="22"/>
        </w:rPr>
        <w:t xml:space="preserve"> energetske učinkovitosti postrojenja za atmosfersku destilaciju</w:t>
      </w:r>
      <w:r w:rsidR="003A5609" w:rsidRPr="00D436A1">
        <w:rPr>
          <w:rFonts w:asciiTheme="minorHAnsi" w:hAnsiTheme="minorHAnsi" w:cstheme="minorHAnsi"/>
          <w:sz w:val="22"/>
          <w:szCs w:val="22"/>
        </w:rPr>
        <w:t xml:space="preserve"> napreduje prema planu</w:t>
      </w:r>
      <w:r w:rsidR="0071202E" w:rsidRPr="00D436A1">
        <w:rPr>
          <w:rFonts w:asciiTheme="minorHAnsi" w:hAnsiTheme="minorHAnsi" w:cstheme="minorHAnsi"/>
          <w:sz w:val="22"/>
          <w:szCs w:val="22"/>
        </w:rPr>
        <w:t xml:space="preserve"> s građevinskim radovima u posljednjoj fazi.</w:t>
      </w:r>
      <w:r w:rsidR="00841D17" w:rsidRPr="00D436A1">
        <w:rPr>
          <w:rFonts w:asciiTheme="minorHAnsi" w:hAnsiTheme="minorHAnsi" w:cstheme="minorHAnsi"/>
          <w:sz w:val="22"/>
          <w:szCs w:val="22"/>
        </w:rPr>
        <w:t xml:space="preserve"> </w:t>
      </w:r>
      <w:r w:rsidRPr="00D436A1">
        <w:rPr>
          <w:rFonts w:asciiTheme="minorHAnsi" w:hAnsiTheme="minorHAnsi" w:cstheme="minorHAnsi"/>
          <w:sz w:val="22"/>
          <w:szCs w:val="22"/>
        </w:rPr>
        <w:t xml:space="preserve">Kapitalna ulaganja </w:t>
      </w:r>
      <w:r w:rsidR="00AE562E" w:rsidRPr="00D436A1">
        <w:rPr>
          <w:rFonts w:asciiTheme="minorHAnsi" w:hAnsiTheme="minorHAnsi" w:cstheme="minorHAnsi"/>
          <w:sz w:val="22"/>
          <w:szCs w:val="22"/>
        </w:rPr>
        <w:t xml:space="preserve">djelatnosti </w:t>
      </w:r>
      <w:r w:rsidRPr="00D436A1">
        <w:rPr>
          <w:rFonts w:asciiTheme="minorHAnsi" w:hAnsiTheme="minorHAnsi" w:cstheme="minorHAnsi"/>
          <w:sz w:val="22"/>
          <w:szCs w:val="22"/>
        </w:rPr>
        <w:t>Uslug</w:t>
      </w:r>
      <w:r w:rsidR="00555F3F" w:rsidRPr="00D436A1">
        <w:rPr>
          <w:rFonts w:asciiTheme="minorHAnsi" w:hAnsiTheme="minorHAnsi" w:cstheme="minorHAnsi"/>
          <w:sz w:val="22"/>
          <w:szCs w:val="22"/>
        </w:rPr>
        <w:t>a</w:t>
      </w:r>
      <w:r w:rsidRPr="00D436A1">
        <w:rPr>
          <w:rFonts w:asciiTheme="minorHAnsi" w:hAnsiTheme="minorHAnsi" w:cstheme="minorHAnsi"/>
          <w:sz w:val="22"/>
          <w:szCs w:val="22"/>
        </w:rPr>
        <w:t xml:space="preserve"> kupcima i maloprodaj</w:t>
      </w:r>
      <w:r w:rsidR="00AE562E" w:rsidRPr="00D436A1">
        <w:rPr>
          <w:rFonts w:asciiTheme="minorHAnsi" w:hAnsiTheme="minorHAnsi" w:cstheme="minorHAnsi"/>
          <w:sz w:val="22"/>
          <w:szCs w:val="22"/>
        </w:rPr>
        <w:t>e</w:t>
      </w:r>
      <w:r w:rsidRPr="00D436A1">
        <w:rPr>
          <w:rFonts w:asciiTheme="minorHAnsi" w:hAnsiTheme="minorHAnsi" w:cstheme="minorHAnsi"/>
          <w:sz w:val="22"/>
          <w:szCs w:val="22"/>
        </w:rPr>
        <w:t xml:space="preserve"> iznosila su </w:t>
      </w:r>
      <w:r w:rsidR="00A9720E" w:rsidRPr="00D436A1">
        <w:rPr>
          <w:rFonts w:asciiTheme="minorHAnsi" w:hAnsiTheme="minorHAnsi" w:cstheme="minorHAnsi"/>
          <w:sz w:val="22"/>
          <w:szCs w:val="22"/>
        </w:rPr>
        <w:t>18</w:t>
      </w:r>
      <w:r w:rsidRPr="00D436A1">
        <w:rPr>
          <w:rFonts w:asciiTheme="minorHAnsi" w:hAnsiTheme="minorHAnsi" w:cstheme="minorHAnsi"/>
          <w:sz w:val="22"/>
          <w:szCs w:val="22"/>
        </w:rPr>
        <w:t>,</w:t>
      </w:r>
      <w:r w:rsidR="00A9720E" w:rsidRPr="00D436A1">
        <w:rPr>
          <w:rFonts w:asciiTheme="minorHAnsi" w:hAnsiTheme="minorHAnsi" w:cstheme="minorHAnsi"/>
          <w:sz w:val="22"/>
          <w:szCs w:val="22"/>
        </w:rPr>
        <w:t>5</w:t>
      </w:r>
      <w:r w:rsidRPr="00D436A1">
        <w:rPr>
          <w:rFonts w:asciiTheme="minorHAnsi" w:hAnsiTheme="minorHAnsi" w:cstheme="minorHAnsi"/>
          <w:sz w:val="22"/>
          <w:szCs w:val="22"/>
        </w:rPr>
        <w:t xml:space="preserve"> milijuna eura u </w:t>
      </w:r>
      <w:r w:rsidR="00A9720E" w:rsidRPr="00D436A1">
        <w:rPr>
          <w:rFonts w:asciiTheme="minorHAnsi" w:hAnsiTheme="minorHAnsi" w:cstheme="minorHAnsi"/>
          <w:sz w:val="22"/>
          <w:szCs w:val="22"/>
        </w:rPr>
        <w:t xml:space="preserve">2023. </w:t>
      </w:r>
      <w:r w:rsidRPr="00D436A1">
        <w:rPr>
          <w:rFonts w:asciiTheme="minorHAnsi" w:hAnsiTheme="minorHAnsi" w:cstheme="minorHAnsi"/>
          <w:sz w:val="22"/>
          <w:szCs w:val="22"/>
        </w:rPr>
        <w:t xml:space="preserve">s naglaskom na </w:t>
      </w:r>
      <w:r w:rsidR="00555F3F" w:rsidRPr="00D436A1">
        <w:rPr>
          <w:rFonts w:asciiTheme="minorHAnsi" w:hAnsiTheme="minorHAnsi" w:cstheme="minorHAnsi"/>
          <w:sz w:val="22"/>
          <w:szCs w:val="22"/>
        </w:rPr>
        <w:t>modernizaciju</w:t>
      </w:r>
      <w:r w:rsidR="00B91977" w:rsidRPr="00D436A1">
        <w:rPr>
          <w:rFonts w:asciiTheme="minorHAnsi" w:hAnsiTheme="minorHAnsi" w:cstheme="minorHAnsi"/>
          <w:sz w:val="22"/>
          <w:szCs w:val="22"/>
        </w:rPr>
        <w:t xml:space="preserve"> </w:t>
      </w:r>
      <w:r w:rsidR="003669A7" w:rsidRPr="00D436A1">
        <w:rPr>
          <w:rFonts w:asciiTheme="minorHAnsi" w:hAnsiTheme="minorHAnsi" w:cstheme="minorHAnsi"/>
          <w:sz w:val="22"/>
          <w:szCs w:val="22"/>
        </w:rPr>
        <w:t xml:space="preserve">maloprodajne </w:t>
      </w:r>
      <w:r w:rsidR="00B91977" w:rsidRPr="00D436A1">
        <w:rPr>
          <w:rFonts w:asciiTheme="minorHAnsi" w:hAnsiTheme="minorHAnsi" w:cstheme="minorHAnsi"/>
          <w:sz w:val="22"/>
          <w:szCs w:val="22"/>
        </w:rPr>
        <w:t xml:space="preserve">mreže i </w:t>
      </w:r>
      <w:r w:rsidR="003669A7" w:rsidRPr="00D436A1">
        <w:rPr>
          <w:rFonts w:asciiTheme="minorHAnsi" w:hAnsiTheme="minorHAnsi" w:cstheme="minorHAnsi"/>
          <w:sz w:val="22"/>
          <w:szCs w:val="22"/>
        </w:rPr>
        <w:t xml:space="preserve">uvođenje gastro koncepta </w:t>
      </w:r>
      <w:proofErr w:type="spellStart"/>
      <w:r w:rsidR="003669A7" w:rsidRPr="00D436A1">
        <w:rPr>
          <w:rFonts w:asciiTheme="minorHAnsi" w:hAnsiTheme="minorHAnsi" w:cstheme="minorHAnsi"/>
          <w:sz w:val="22"/>
          <w:szCs w:val="22"/>
        </w:rPr>
        <w:t>Fresh</w:t>
      </w:r>
      <w:proofErr w:type="spellEnd"/>
      <w:r w:rsidR="003669A7" w:rsidRPr="00D436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669A7" w:rsidRPr="00D436A1">
        <w:rPr>
          <w:rFonts w:asciiTheme="minorHAnsi" w:hAnsiTheme="minorHAnsi" w:cstheme="minorHAnsi"/>
          <w:sz w:val="22"/>
          <w:szCs w:val="22"/>
        </w:rPr>
        <w:t>Corner</w:t>
      </w:r>
      <w:proofErr w:type="spellEnd"/>
      <w:r w:rsidR="003669A7" w:rsidRPr="00D436A1">
        <w:rPr>
          <w:rFonts w:asciiTheme="minorHAnsi" w:hAnsiTheme="minorHAnsi" w:cstheme="minorHAnsi"/>
          <w:sz w:val="22"/>
          <w:szCs w:val="22"/>
        </w:rPr>
        <w:t xml:space="preserve"> na </w:t>
      </w:r>
      <w:r w:rsidR="00B91977" w:rsidRPr="00D436A1">
        <w:rPr>
          <w:rFonts w:asciiTheme="minorHAnsi" w:hAnsiTheme="minorHAnsi" w:cstheme="minorHAnsi"/>
          <w:sz w:val="22"/>
          <w:szCs w:val="22"/>
        </w:rPr>
        <w:t>dodatn</w:t>
      </w:r>
      <w:r w:rsidR="003669A7" w:rsidRPr="00D436A1">
        <w:rPr>
          <w:rFonts w:asciiTheme="minorHAnsi" w:hAnsiTheme="minorHAnsi" w:cstheme="minorHAnsi"/>
          <w:sz w:val="22"/>
          <w:szCs w:val="22"/>
        </w:rPr>
        <w:t>ih</w:t>
      </w:r>
      <w:r w:rsidR="00B91977" w:rsidRPr="00D436A1">
        <w:rPr>
          <w:rFonts w:asciiTheme="minorHAnsi" w:hAnsiTheme="minorHAnsi" w:cstheme="minorHAnsi"/>
          <w:sz w:val="22"/>
          <w:szCs w:val="22"/>
        </w:rPr>
        <w:t xml:space="preserve"> 14 lokacija</w:t>
      </w:r>
      <w:r w:rsidRPr="00D436A1">
        <w:rPr>
          <w:rFonts w:asciiTheme="minorHAnsi" w:hAnsiTheme="minorHAnsi" w:cstheme="minorHAnsi"/>
          <w:sz w:val="22"/>
          <w:szCs w:val="22"/>
        </w:rPr>
        <w:t xml:space="preserve">. </w:t>
      </w:r>
      <w:r w:rsidR="00011E42" w:rsidRPr="00D436A1">
        <w:rPr>
          <w:rFonts w:asciiTheme="minorHAnsi" w:hAnsiTheme="minorHAnsi" w:cstheme="minorHAnsi"/>
          <w:sz w:val="22"/>
          <w:szCs w:val="22"/>
        </w:rPr>
        <w:t>Regionalnu mrežu čini 506</w:t>
      </w:r>
      <w:r w:rsidRPr="00D436A1">
        <w:rPr>
          <w:rFonts w:asciiTheme="minorHAnsi" w:hAnsiTheme="minorHAnsi" w:cstheme="minorHAnsi"/>
          <w:sz w:val="22"/>
          <w:szCs w:val="22"/>
        </w:rPr>
        <w:t xml:space="preserve"> maloprodajnih mjesta</w:t>
      </w:r>
      <w:r w:rsidR="009B1EAD" w:rsidRPr="00D436A1">
        <w:rPr>
          <w:rFonts w:asciiTheme="minorHAnsi" w:hAnsiTheme="minorHAnsi" w:cstheme="minorHAnsi"/>
          <w:sz w:val="22"/>
          <w:szCs w:val="22"/>
        </w:rPr>
        <w:t xml:space="preserve">, </w:t>
      </w:r>
      <w:r w:rsidRPr="00D436A1">
        <w:rPr>
          <w:rFonts w:asciiTheme="minorHAnsi" w:hAnsiTheme="minorHAnsi" w:cstheme="minorHAnsi"/>
          <w:sz w:val="22"/>
          <w:szCs w:val="22"/>
        </w:rPr>
        <w:t xml:space="preserve">od čega </w:t>
      </w:r>
      <w:r w:rsidR="009B1EAD" w:rsidRPr="00D436A1">
        <w:rPr>
          <w:rFonts w:asciiTheme="minorHAnsi" w:hAnsiTheme="minorHAnsi" w:cstheme="minorHAnsi"/>
          <w:sz w:val="22"/>
          <w:szCs w:val="22"/>
        </w:rPr>
        <w:t xml:space="preserve">njih </w:t>
      </w:r>
      <w:r w:rsidRPr="00D436A1">
        <w:rPr>
          <w:rFonts w:asciiTheme="minorHAnsi" w:hAnsiTheme="minorHAnsi" w:cstheme="minorHAnsi"/>
          <w:sz w:val="22"/>
          <w:szCs w:val="22"/>
        </w:rPr>
        <w:t>390 u Hrvatskoj</w:t>
      </w:r>
      <w:r w:rsidR="009B1EAD" w:rsidRPr="00D436A1">
        <w:rPr>
          <w:rFonts w:asciiTheme="minorHAnsi" w:hAnsiTheme="minorHAnsi" w:cstheme="minorHAnsi"/>
          <w:sz w:val="22"/>
          <w:szCs w:val="22"/>
        </w:rPr>
        <w:t>.</w:t>
      </w:r>
    </w:p>
    <w:p w14:paraId="2FE57887" w14:textId="2C221553" w:rsidR="007B5E9E" w:rsidRPr="00D436A1" w:rsidRDefault="007B5E9E" w:rsidP="00ED34D1">
      <w:pPr>
        <w:jc w:val="both"/>
        <w:rPr>
          <w:rFonts w:asciiTheme="minorHAnsi" w:hAnsiTheme="minorHAnsi" w:cstheme="minorHAnsi"/>
          <w:sz w:val="20"/>
          <w:szCs w:val="20"/>
        </w:rPr>
        <w:sectPr w:rsidR="007B5E9E" w:rsidRPr="00D436A1" w:rsidSect="00621EA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1"/>
    <w:p w14:paraId="6B395DDF" w14:textId="349F58A9" w:rsidR="0051395B" w:rsidRPr="00D436A1" w:rsidRDefault="00142911" w:rsidP="004A4420">
      <w:pPr>
        <w:jc w:val="center"/>
        <w:rPr>
          <w:rFonts w:asciiTheme="minorHAnsi" w:hAnsiTheme="minorHAnsi" w:cstheme="minorHAnsi"/>
        </w:rPr>
      </w:pPr>
      <w:r w:rsidRPr="00D436A1">
        <w:rPr>
          <w:rFonts w:asciiTheme="minorHAnsi" w:hAnsiTheme="minorHAnsi" w:cstheme="minorHAnsi"/>
          <w:noProof/>
        </w:rPr>
        <w:drawing>
          <wp:inline distT="0" distB="0" distL="0" distR="0" wp14:anchorId="590CC3D7" wp14:editId="4EE8BB78">
            <wp:extent cx="2509113" cy="1929841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265" cy="194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36A1">
        <w:rPr>
          <w:rFonts w:asciiTheme="minorHAnsi" w:hAnsiTheme="minorHAnsi" w:cstheme="minorHAnsi"/>
          <w:noProof/>
        </w:rPr>
        <w:drawing>
          <wp:inline distT="0" distB="0" distL="0" distR="0" wp14:anchorId="309D5ED1" wp14:editId="1AFE4C0E">
            <wp:extent cx="2406701" cy="2033365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132" cy="206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36A1">
        <w:rPr>
          <w:rFonts w:asciiTheme="minorHAnsi" w:hAnsiTheme="minorHAnsi" w:cstheme="minorHAnsi"/>
          <w:noProof/>
        </w:rPr>
        <w:drawing>
          <wp:inline distT="0" distB="0" distL="0" distR="0" wp14:anchorId="601909E2" wp14:editId="26BD1891">
            <wp:extent cx="2633472" cy="2036596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666" cy="204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547A" w:rsidRPr="00D436A1">
        <w:rPr>
          <w:rFonts w:asciiTheme="minorHAnsi" w:hAnsiTheme="minorHAnsi" w:cstheme="minorHAnsi"/>
          <w:noProof/>
        </w:rPr>
        <w:drawing>
          <wp:inline distT="0" distB="0" distL="0" distR="0" wp14:anchorId="3FFA12ED" wp14:editId="623B0545">
            <wp:extent cx="2435962" cy="1880285"/>
            <wp:effectExtent l="0" t="0" r="254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589" cy="1896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1395B" w:rsidRPr="00D436A1" w:rsidSect="00621E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F0D1" w14:textId="77777777" w:rsidR="00013EC8" w:rsidRDefault="00013EC8" w:rsidP="00A07306">
      <w:r>
        <w:separator/>
      </w:r>
    </w:p>
  </w:endnote>
  <w:endnote w:type="continuationSeparator" w:id="0">
    <w:p w14:paraId="2DECEAED" w14:textId="77777777" w:rsidR="00013EC8" w:rsidRDefault="00013EC8" w:rsidP="00A0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22FE" w14:textId="77777777" w:rsidR="00180429" w:rsidRDefault="00180429" w:rsidP="00180429">
    <w:pPr>
      <w:pStyle w:val="Footer"/>
      <w:tabs>
        <w:tab w:val="left" w:pos="250"/>
        <w:tab w:val="right" w:pos="9354"/>
      </w:tabs>
      <w:rPr>
        <w:rFonts w:cs="Arial"/>
        <w:sz w:val="11"/>
        <w:szCs w:val="11"/>
      </w:rPr>
    </w:pPr>
    <w:r>
      <w:rPr>
        <w:rFonts w:cs="Arial"/>
        <w:sz w:val="11"/>
        <w:szCs w:val="11"/>
      </w:rPr>
      <w:tab/>
    </w:r>
  </w:p>
  <w:p w14:paraId="69FB9670" w14:textId="77777777" w:rsidR="00E56FE9" w:rsidRDefault="00180429" w:rsidP="00180429">
    <w:pPr>
      <w:pStyle w:val="Footer"/>
      <w:tabs>
        <w:tab w:val="left" w:pos="250"/>
        <w:tab w:val="right" w:pos="9354"/>
      </w:tabs>
      <w:rPr>
        <w:rFonts w:cs="Arial"/>
        <w:sz w:val="11"/>
        <w:szCs w:val="11"/>
      </w:rPr>
    </w:pPr>
    <w:r>
      <w:rPr>
        <w:rFonts w:cs="Arial"/>
        <w:sz w:val="11"/>
        <w:szCs w:val="11"/>
      </w:rPr>
      <w:tab/>
    </w:r>
  </w:p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E56FE9" w:rsidRPr="00713B78" w14:paraId="28621CBA" w14:textId="77777777" w:rsidTr="00A021D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73C72E3C" w14:textId="77777777" w:rsidR="00E56FE9" w:rsidRDefault="00E56FE9" w:rsidP="00E56FE9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3B45B50C" w14:textId="77777777" w:rsidR="00E56FE9" w:rsidRPr="002B598A" w:rsidRDefault="00E56FE9" w:rsidP="00E56FE9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7C3F73EF" w14:textId="77777777" w:rsidR="00E56FE9" w:rsidRPr="002B598A" w:rsidRDefault="00E56FE9" w:rsidP="00E56FE9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94F8B37" w14:textId="77777777" w:rsidR="00E56FE9" w:rsidRPr="002B598A" w:rsidRDefault="00E56FE9" w:rsidP="00E56FE9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6B9C8C54" w14:textId="77777777" w:rsidR="00E56FE9" w:rsidRDefault="00E56FE9" w:rsidP="00E56FE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6FC05A10" w14:textId="77777777" w:rsidR="00E56FE9" w:rsidRPr="00B871AD" w:rsidRDefault="00E56FE9" w:rsidP="00E56FE9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414C1937" w14:textId="77777777" w:rsidR="00E56FE9" w:rsidRPr="002B598A" w:rsidRDefault="00E56FE9" w:rsidP="00E56FE9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F702122" w14:textId="77777777" w:rsidR="00E56FE9" w:rsidRDefault="00E56FE9" w:rsidP="00E56FE9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2BB3DA23" w14:textId="77777777" w:rsidR="00E56FE9" w:rsidRPr="00713B78" w:rsidRDefault="00E56FE9" w:rsidP="00E56FE9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DC440D1" w14:textId="77777777" w:rsidR="00E56FE9" w:rsidRPr="00713B78" w:rsidRDefault="00E56FE9" w:rsidP="00E56FE9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5CF74C12" w14:textId="77777777" w:rsidR="00E56FE9" w:rsidRPr="00713B78" w:rsidRDefault="00E56FE9" w:rsidP="00E56FE9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62E2695" w14:textId="77777777" w:rsidR="00E56FE9" w:rsidRPr="00713B78" w:rsidRDefault="00E56FE9" w:rsidP="00E56FE9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38AE605" w14:textId="77777777" w:rsidR="00E56FE9" w:rsidRPr="00713B78" w:rsidRDefault="00E56FE9" w:rsidP="00E56FE9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02A6F0AA" w14:textId="77777777" w:rsidR="00E56FE9" w:rsidRPr="00713B78" w:rsidRDefault="00E56FE9" w:rsidP="00E56FE9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596B48A1" w14:textId="77777777" w:rsidR="00E56FE9" w:rsidRPr="00713B78" w:rsidRDefault="00E56FE9" w:rsidP="00E56FE9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3CE1C0A" w14:textId="77777777" w:rsidR="00E56FE9" w:rsidRPr="00713B78" w:rsidRDefault="00E56FE9" w:rsidP="00E56FE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516640F" w14:textId="77777777" w:rsidR="00E56FE9" w:rsidRPr="00713B78" w:rsidRDefault="00E56FE9" w:rsidP="00E56FE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17093E50" w14:textId="77777777" w:rsidR="00E56FE9" w:rsidRPr="00713B78" w:rsidRDefault="00E56FE9" w:rsidP="00E56FE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58A832A4" w14:textId="77777777" w:rsidR="00E56FE9" w:rsidRPr="00713B78" w:rsidRDefault="00E56FE9" w:rsidP="00E56FE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47ABA488" w14:textId="77777777" w:rsidR="00E56FE9" w:rsidRPr="00713B78" w:rsidRDefault="00E56FE9" w:rsidP="00E56FE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1ED3BEEA" w14:textId="77777777" w:rsidR="00E56FE9" w:rsidRPr="00713B78" w:rsidRDefault="00E56FE9" w:rsidP="00E56FE9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3C4FD1C1" w14:textId="77777777" w:rsidR="00E56FE9" w:rsidRPr="00713B78" w:rsidRDefault="00E56FE9" w:rsidP="00E56FE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5D2E9C2C" w14:textId="77777777" w:rsidR="00E56FE9" w:rsidRPr="00713B78" w:rsidRDefault="00E56FE9" w:rsidP="00E56FE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602A33A0" w14:textId="77777777" w:rsidR="00E56FE9" w:rsidRPr="00713B78" w:rsidRDefault="00E56FE9" w:rsidP="00E56FE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4E0B73B1" w14:textId="77777777" w:rsidR="00E56FE9" w:rsidRPr="00713B78" w:rsidRDefault="00E56FE9" w:rsidP="00E56FE9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E56FE9" w:rsidRPr="002B598A" w14:paraId="0D3D56D9" w14:textId="77777777" w:rsidTr="00A021D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56F4D3BA" w14:textId="77777777" w:rsidR="00E56FE9" w:rsidRPr="002B598A" w:rsidRDefault="00E56FE9" w:rsidP="00E56FE9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096B5D57" w14:textId="77777777" w:rsidR="00E56FE9" w:rsidRPr="00713B78" w:rsidRDefault="00E56FE9" w:rsidP="00E56FE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76E8931E" w14:textId="77777777" w:rsidR="00E56FE9" w:rsidRPr="00713B78" w:rsidRDefault="00E56FE9" w:rsidP="00E56FE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Austria d.d. </w:t>
          </w:r>
        </w:p>
        <w:p w14:paraId="5360CECC" w14:textId="77777777" w:rsidR="00E56FE9" w:rsidRPr="00713B78" w:rsidRDefault="00E56FE9" w:rsidP="00E56FE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43EA4D56" w14:textId="77777777" w:rsidR="00E56FE9" w:rsidRPr="00713B78" w:rsidRDefault="00E56FE9" w:rsidP="00E56FE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0EA5C54C" w14:textId="77777777" w:rsidR="00E56FE9" w:rsidRPr="00713B78" w:rsidRDefault="00E56FE9" w:rsidP="00E56FE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88E9B0D" w14:textId="77777777" w:rsidR="00E56FE9" w:rsidRPr="00713B78" w:rsidRDefault="00E56FE9" w:rsidP="00E56FE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61DEFC2A" w14:textId="77777777" w:rsidR="00E56FE9" w:rsidRDefault="00E56FE9" w:rsidP="00E56FE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27CCB2C" w14:textId="77777777" w:rsidR="00E56FE9" w:rsidRPr="00713B78" w:rsidRDefault="00E56FE9" w:rsidP="00E56FE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488B30C0" w14:textId="77777777" w:rsidR="00E56FE9" w:rsidRDefault="00E56FE9" w:rsidP="00E56FE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EDA0075" w14:textId="77777777" w:rsidR="00E56FE9" w:rsidRPr="00713B78" w:rsidRDefault="00E56FE9" w:rsidP="00E56FE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2C503FA7" w14:textId="77777777" w:rsidR="00E56FE9" w:rsidRPr="00713B78" w:rsidRDefault="00E56FE9" w:rsidP="00E56FE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1DA6B785" w14:textId="77777777" w:rsidR="00E56FE9" w:rsidRPr="00713B78" w:rsidRDefault="00E56FE9" w:rsidP="00E56FE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1FDB3898" w14:textId="77777777" w:rsidR="00E56FE9" w:rsidRPr="00713B78" w:rsidRDefault="00E56FE9" w:rsidP="00E56FE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3816D970" w14:textId="77777777" w:rsidR="00E56FE9" w:rsidRPr="00713B78" w:rsidRDefault="00E56FE9" w:rsidP="00E56FE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5FA07CB2" w14:textId="77777777" w:rsidR="00E56FE9" w:rsidRPr="00713B78" w:rsidRDefault="00E56FE9" w:rsidP="00E56FE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2ADC9ECB" w14:textId="77777777" w:rsidR="00E56FE9" w:rsidRPr="00713B78" w:rsidRDefault="00E56FE9" w:rsidP="00E56FE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6CC49B53" w14:textId="77777777" w:rsidR="00E56FE9" w:rsidRPr="00713B78" w:rsidRDefault="00E56FE9" w:rsidP="00E56FE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D87A73A" w14:textId="77777777" w:rsidR="00E56FE9" w:rsidRPr="00713B78" w:rsidRDefault="00E56FE9" w:rsidP="00E56FE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68274172" w14:textId="77777777" w:rsidR="00E56FE9" w:rsidRPr="00713B78" w:rsidRDefault="00E56FE9" w:rsidP="00E56FE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4506A966" w14:textId="77777777" w:rsidR="00E56FE9" w:rsidRPr="00713B78" w:rsidRDefault="00E56FE9" w:rsidP="00E56FE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2B9D98FB" w14:textId="77777777" w:rsidR="00E56FE9" w:rsidRPr="00713B78" w:rsidRDefault="00E56FE9" w:rsidP="00E56FE9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58029060" w14:textId="77777777" w:rsidR="00E56FE9" w:rsidRPr="00713B78" w:rsidRDefault="00E56FE9" w:rsidP="00E56FE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75699FBE" w14:textId="77777777" w:rsidR="00E56FE9" w:rsidRPr="00713B78" w:rsidRDefault="00E56FE9" w:rsidP="00E56FE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022394D" w14:textId="77777777" w:rsidR="00E56FE9" w:rsidRPr="00713B78" w:rsidRDefault="00E56FE9" w:rsidP="00E56FE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BFD33C9" w14:textId="77777777" w:rsidR="00E56FE9" w:rsidRPr="00713B78" w:rsidRDefault="00E56FE9" w:rsidP="00E56FE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6BB886C0" w14:textId="77777777" w:rsidR="00E56FE9" w:rsidRPr="00713B78" w:rsidRDefault="00E56FE9" w:rsidP="00E56FE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211660C6" w14:textId="77777777" w:rsidR="00E56FE9" w:rsidRPr="00713B78" w:rsidRDefault="00E56FE9" w:rsidP="00E56FE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728B4A7E" w14:textId="77777777" w:rsidR="00E56FE9" w:rsidRDefault="00E56FE9" w:rsidP="00E56FE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64B5B750" w14:textId="77777777" w:rsidR="00E56FE9" w:rsidRPr="00713B78" w:rsidRDefault="00E56FE9" w:rsidP="00E56FE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2A465580" w14:textId="77777777" w:rsidR="00E56FE9" w:rsidRPr="00713B78" w:rsidRDefault="00E56FE9" w:rsidP="00E56FE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674AD661" w14:textId="77777777" w:rsidR="00E56FE9" w:rsidRPr="00713B78" w:rsidRDefault="00E56FE9" w:rsidP="00E56FE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3D0F40FF" w14:textId="77777777" w:rsidR="00E56FE9" w:rsidRPr="002B598A" w:rsidRDefault="00E56FE9" w:rsidP="00E56FE9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E56FE9" w:rsidRPr="002B598A" w14:paraId="5D1944FF" w14:textId="77777777" w:rsidTr="00A021D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5397F01" w14:textId="77777777" w:rsidR="00E56FE9" w:rsidRPr="002B598A" w:rsidRDefault="00E56FE9" w:rsidP="00E56FE9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09C9F75F" w14:textId="77777777" w:rsidR="00E56FE9" w:rsidRPr="002B598A" w:rsidRDefault="00E56FE9" w:rsidP="00E56FE9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340E53">
            <w:rPr>
              <w:sz w:val="11"/>
              <w:szCs w:val="11"/>
            </w:rPr>
            <w:t>Zsuzsanna Éva Ortutay</w:t>
          </w:r>
          <w:r w:rsidRPr="00847E16">
            <w:rPr>
              <w:sz w:val="11"/>
              <w:szCs w:val="11"/>
            </w:rPr>
            <w:t xml:space="preserve">, </w:t>
          </w:r>
          <w:r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>, Krisztián Pulay, Miroslav Skalicki, Hrvoje Šimović, Marin Zovko</w:t>
          </w:r>
        </w:p>
        <w:p w14:paraId="2423BF38" w14:textId="77777777" w:rsidR="00E56FE9" w:rsidRPr="002B598A" w:rsidRDefault="00E56FE9" w:rsidP="00E56FE9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A6B9AAB" w14:textId="77777777" w:rsidR="00E56FE9" w:rsidRPr="002B598A" w:rsidRDefault="00E56FE9" w:rsidP="00E56FE9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E56FE9" w:rsidRPr="002B598A" w14:paraId="54C39DF7" w14:textId="77777777" w:rsidTr="00A021D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2D78D14A" w14:textId="77777777" w:rsidR="00E56FE9" w:rsidRDefault="00E56FE9" w:rsidP="00E56FE9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01D7E1" w14:textId="77777777" w:rsidR="00E56FE9" w:rsidRPr="002B598A" w:rsidRDefault="00E56FE9" w:rsidP="00E56FE9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2B9BBC19" w14:textId="5838B348" w:rsidR="003E20D9" w:rsidRPr="00095236" w:rsidRDefault="003E20D9" w:rsidP="00180429">
    <w:pPr>
      <w:pStyle w:val="Footer"/>
      <w:tabs>
        <w:tab w:val="left" w:pos="250"/>
        <w:tab w:val="right" w:pos="9354"/>
      </w:tabs>
    </w:pPr>
    <w:r>
      <w:rPr>
        <w:rFonts w:cs="Arial"/>
        <w:sz w:val="11"/>
        <w:szCs w:val="11"/>
      </w:rPr>
      <w:tab/>
    </w:r>
    <w:r w:rsidR="00E56FE9">
      <w:rPr>
        <w:rFonts w:cs="Arial"/>
        <w:sz w:val="11"/>
        <w:szCs w:val="11"/>
      </w:rPr>
      <w:tab/>
    </w:r>
    <w:r w:rsidR="00E56FE9">
      <w:rPr>
        <w:rFonts w:cs="Arial"/>
        <w:sz w:val="11"/>
        <w:szCs w:val="11"/>
      </w:rPr>
      <w:tab/>
    </w:r>
    <w:r w:rsidRPr="003F5049">
      <w:rPr>
        <w:rFonts w:cs="Arial"/>
        <w:sz w:val="11"/>
        <w:szCs w:val="11"/>
      </w:rPr>
      <w:t xml:space="preserve">str. - </w:t>
    </w:r>
    <w:proofErr w:type="spellStart"/>
    <w:r w:rsidRPr="003F5049">
      <w:rPr>
        <w:rFonts w:cs="Arial"/>
        <w:i/>
        <w:sz w:val="11"/>
        <w:szCs w:val="11"/>
      </w:rPr>
      <w:t>page</w:t>
    </w:r>
    <w:proofErr w:type="spellEnd"/>
    <w:r w:rsidRPr="003F5049">
      <w:rPr>
        <w:rFonts w:cs="Arial"/>
        <w:sz w:val="11"/>
        <w:szCs w:val="11"/>
      </w:rPr>
      <w:t xml:space="preserve"> </w:t>
    </w:r>
    <w:r w:rsidRPr="003F5049">
      <w:rPr>
        <w:rFonts w:cs="Arial"/>
        <w:sz w:val="11"/>
        <w:szCs w:val="11"/>
      </w:rPr>
      <w:fldChar w:fldCharType="begin"/>
    </w:r>
    <w:r w:rsidRPr="003F5049">
      <w:rPr>
        <w:rFonts w:cs="Arial"/>
        <w:sz w:val="11"/>
        <w:szCs w:val="11"/>
      </w:rPr>
      <w:instrText xml:space="preserve"> PAGE   \* MERGEFORMAT </w:instrText>
    </w:r>
    <w:r w:rsidRPr="003F5049">
      <w:rPr>
        <w:rFonts w:cs="Arial"/>
        <w:sz w:val="11"/>
        <w:szCs w:val="11"/>
      </w:rPr>
      <w:fldChar w:fldCharType="separate"/>
    </w:r>
    <w:r>
      <w:rPr>
        <w:rFonts w:cs="Arial"/>
        <w:sz w:val="11"/>
        <w:szCs w:val="11"/>
      </w:rPr>
      <w:t>1</w:t>
    </w:r>
    <w:r w:rsidRPr="003F5049">
      <w:rPr>
        <w:rFonts w:cs="Arial"/>
        <w:sz w:val="11"/>
        <w:szCs w:val="11"/>
      </w:rPr>
      <w:fldChar w:fldCharType="end"/>
    </w:r>
    <w:r w:rsidRPr="003F5049">
      <w:rPr>
        <w:rFonts w:cs="Arial"/>
        <w:sz w:val="11"/>
        <w:szCs w:val="11"/>
      </w:rPr>
      <w:t>/</w:t>
    </w:r>
    <w:r w:rsidRPr="003F5049">
      <w:rPr>
        <w:rFonts w:cs="Arial"/>
        <w:sz w:val="11"/>
        <w:szCs w:val="11"/>
      </w:rPr>
      <w:fldChar w:fldCharType="begin"/>
    </w:r>
    <w:r w:rsidRPr="003F5049">
      <w:rPr>
        <w:rFonts w:cs="Arial"/>
        <w:sz w:val="11"/>
        <w:szCs w:val="11"/>
      </w:rPr>
      <w:instrText xml:space="preserve"> NUMPAGES   \* MERGEFORMAT </w:instrText>
    </w:r>
    <w:r w:rsidRPr="003F5049">
      <w:rPr>
        <w:rFonts w:cs="Arial"/>
        <w:sz w:val="11"/>
        <w:szCs w:val="11"/>
      </w:rPr>
      <w:fldChar w:fldCharType="separate"/>
    </w:r>
    <w:r>
      <w:rPr>
        <w:rFonts w:cs="Arial"/>
        <w:sz w:val="11"/>
        <w:szCs w:val="11"/>
      </w:rPr>
      <w:t>1</w:t>
    </w:r>
    <w:r w:rsidRPr="003F5049">
      <w:rPr>
        <w:rFonts w:cs="Arial"/>
        <w:sz w:val="11"/>
        <w:szCs w:val="11"/>
      </w:rPr>
      <w:fldChar w:fldCharType="end"/>
    </w:r>
  </w:p>
  <w:p w14:paraId="108BD60D" w14:textId="77777777" w:rsidR="003E20D9" w:rsidRDefault="003E20D9" w:rsidP="003E20D9"/>
  <w:p w14:paraId="6C8E22B2" w14:textId="77777777" w:rsidR="00C0068C" w:rsidRPr="003E20D9" w:rsidRDefault="00C0068C" w:rsidP="003E2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41B0" w14:textId="77777777" w:rsidR="00A07306" w:rsidRDefault="00A07306">
    <w:pPr>
      <w:pStyle w:val="Footer"/>
    </w:pPr>
  </w:p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CC4089" w:rsidRPr="00713B78" w14:paraId="24285523" w14:textId="77777777" w:rsidTr="008E3EB3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584605FF" w14:textId="77777777" w:rsidR="00CC4089" w:rsidRDefault="00CC4089" w:rsidP="00CC4089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1160E659" w14:textId="77777777" w:rsidR="00CC4089" w:rsidRPr="002B598A" w:rsidRDefault="00CC4089" w:rsidP="00CC4089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4D71AE96" w14:textId="77777777" w:rsidR="00CC4089" w:rsidRPr="002B598A" w:rsidRDefault="00CC4089" w:rsidP="00CC4089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1D438A8F" w14:textId="77777777" w:rsidR="00CC4089" w:rsidRPr="002B598A" w:rsidRDefault="00CC4089" w:rsidP="00CC4089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4327502A" w14:textId="77777777" w:rsidR="00CC4089" w:rsidRDefault="00CC4089" w:rsidP="00CC408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563B2848" w14:textId="77777777" w:rsidR="00CC4089" w:rsidRPr="00B871AD" w:rsidRDefault="00CC4089" w:rsidP="00CC4089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368547DF" w14:textId="77777777" w:rsidR="00CC4089" w:rsidRPr="002B598A" w:rsidRDefault="00CC4089" w:rsidP="00CC4089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22F733" w14:textId="77777777" w:rsidR="00CC4089" w:rsidRDefault="00CC4089" w:rsidP="00CC4089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02723A6B" w14:textId="77777777" w:rsidR="00CC4089" w:rsidRPr="00713B78" w:rsidRDefault="00CC4089" w:rsidP="00CC4089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337DB02" w14:textId="77777777" w:rsidR="00CC4089" w:rsidRPr="00713B78" w:rsidRDefault="00CC4089" w:rsidP="00CC4089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40D9C827" w14:textId="77777777" w:rsidR="00CC4089" w:rsidRPr="00713B78" w:rsidRDefault="00CC4089" w:rsidP="00CC4089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DE04446" w14:textId="77777777" w:rsidR="00CC4089" w:rsidRPr="00713B78" w:rsidRDefault="00CC4089" w:rsidP="00CC4089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1FA835E8" w14:textId="77777777" w:rsidR="00CC4089" w:rsidRPr="00713B78" w:rsidRDefault="00CC4089" w:rsidP="00CC4089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1328BE28" w14:textId="77777777" w:rsidR="00CC4089" w:rsidRPr="00713B78" w:rsidRDefault="00CC4089" w:rsidP="00CC4089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1D13B2D7" w14:textId="77777777" w:rsidR="00CC4089" w:rsidRPr="00713B78" w:rsidRDefault="00CC4089" w:rsidP="00CC4089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17C09F53" w14:textId="77777777" w:rsidR="00CC4089" w:rsidRPr="00713B78" w:rsidRDefault="00CC4089" w:rsidP="00CC408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53ACF5FD" w14:textId="77777777" w:rsidR="00CC4089" w:rsidRPr="00713B78" w:rsidRDefault="00CC4089" w:rsidP="00CC408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2D65C5A6" w14:textId="77777777" w:rsidR="00CC4089" w:rsidRPr="00713B78" w:rsidRDefault="00CC4089" w:rsidP="00CC408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45C49DF" w14:textId="77777777" w:rsidR="00CC4089" w:rsidRPr="00713B78" w:rsidRDefault="00CC4089" w:rsidP="00CC408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538ABE50" w14:textId="77777777" w:rsidR="00CC4089" w:rsidRPr="00713B78" w:rsidRDefault="00CC4089" w:rsidP="00CC408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0CB3D5C9" w14:textId="77777777" w:rsidR="00CC4089" w:rsidRPr="00713B78" w:rsidRDefault="00CC4089" w:rsidP="00CC4089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6A1D47E0" w14:textId="77777777" w:rsidR="00CC4089" w:rsidRPr="00713B78" w:rsidRDefault="00CC4089" w:rsidP="00CC408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005B3DA3" w14:textId="77777777" w:rsidR="00CC4089" w:rsidRPr="00713B78" w:rsidRDefault="00CC4089" w:rsidP="00CC408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475840D9" w14:textId="77777777" w:rsidR="00CC4089" w:rsidRPr="00713B78" w:rsidRDefault="00CC4089" w:rsidP="00CC408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1FBCAC3D" w14:textId="77777777" w:rsidR="00CC4089" w:rsidRPr="00713B78" w:rsidRDefault="00CC4089" w:rsidP="00CC4089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CC4089" w:rsidRPr="002B598A" w14:paraId="265CD827" w14:textId="77777777" w:rsidTr="008E3EB3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3A56E34D" w14:textId="77777777" w:rsidR="00CC4089" w:rsidRPr="002B598A" w:rsidRDefault="00CC4089" w:rsidP="00CC4089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25AD4AB" w14:textId="77777777" w:rsidR="00CC4089" w:rsidRPr="00713B78" w:rsidRDefault="00CC4089" w:rsidP="00CC408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619D79D6" w14:textId="77777777" w:rsidR="00CC4089" w:rsidRPr="00713B78" w:rsidRDefault="00CC4089" w:rsidP="00CC408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Austria d.d. </w:t>
          </w:r>
        </w:p>
        <w:p w14:paraId="7157FF26" w14:textId="77777777" w:rsidR="00CC4089" w:rsidRPr="00713B78" w:rsidRDefault="00CC4089" w:rsidP="00CC408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57E45109" w14:textId="77777777" w:rsidR="00CC4089" w:rsidRPr="00713B78" w:rsidRDefault="00CC4089" w:rsidP="00CC408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6D05A666" w14:textId="77777777" w:rsidR="00CC4089" w:rsidRPr="00713B78" w:rsidRDefault="00CC4089" w:rsidP="00CC408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CCD98FC" w14:textId="77777777" w:rsidR="00CC4089" w:rsidRPr="00713B78" w:rsidRDefault="00CC4089" w:rsidP="00CC408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4672ADD3" w14:textId="77777777" w:rsidR="00CC4089" w:rsidRDefault="00CC4089" w:rsidP="00CC408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38834CEC" w14:textId="77777777" w:rsidR="00CC4089" w:rsidRPr="00713B78" w:rsidRDefault="00CC4089" w:rsidP="00CC408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202AC856" w14:textId="77777777" w:rsidR="00CC4089" w:rsidRDefault="00CC4089" w:rsidP="00CC408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2454537A" w14:textId="77777777" w:rsidR="00CC4089" w:rsidRPr="00713B78" w:rsidRDefault="00CC4089" w:rsidP="00CC408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521326B1" w14:textId="77777777" w:rsidR="00CC4089" w:rsidRPr="00713B78" w:rsidRDefault="00CC4089" w:rsidP="00CC408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43C0370E" w14:textId="77777777" w:rsidR="00CC4089" w:rsidRPr="00713B78" w:rsidRDefault="00CC4089" w:rsidP="00CC408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400CFD5C" w14:textId="77777777" w:rsidR="00CC4089" w:rsidRPr="00713B78" w:rsidRDefault="00CC4089" w:rsidP="00CC408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4D609421" w14:textId="77777777" w:rsidR="00CC4089" w:rsidRPr="00713B78" w:rsidRDefault="00CC4089" w:rsidP="00CC408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0D1F8A70" w14:textId="77777777" w:rsidR="00CC4089" w:rsidRPr="00713B78" w:rsidRDefault="00CC4089" w:rsidP="00CC408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0E0E9301" w14:textId="77777777" w:rsidR="00CC4089" w:rsidRPr="00713B78" w:rsidRDefault="00CC4089" w:rsidP="00CC408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602A3633" w14:textId="77777777" w:rsidR="00CC4089" w:rsidRPr="00713B78" w:rsidRDefault="00CC4089" w:rsidP="00CC408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E6E1C24" w14:textId="77777777" w:rsidR="00CC4089" w:rsidRPr="00713B78" w:rsidRDefault="00CC4089" w:rsidP="00CC408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713A7435" w14:textId="77777777" w:rsidR="00CC4089" w:rsidRPr="00713B78" w:rsidRDefault="00CC4089" w:rsidP="00CC408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6A88FB01" w14:textId="77777777" w:rsidR="00CC4089" w:rsidRPr="00713B78" w:rsidRDefault="00CC4089" w:rsidP="00CC408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241248FB" w14:textId="77777777" w:rsidR="00CC4089" w:rsidRPr="00713B78" w:rsidRDefault="00CC4089" w:rsidP="00CC4089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6C868312" w14:textId="77777777" w:rsidR="00CC4089" w:rsidRPr="00713B78" w:rsidRDefault="00CC4089" w:rsidP="00CC408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7F5F4B16" w14:textId="77777777" w:rsidR="00CC4089" w:rsidRPr="00713B78" w:rsidRDefault="00CC4089" w:rsidP="00CC408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05D08D72" w14:textId="77777777" w:rsidR="00CC4089" w:rsidRPr="00713B78" w:rsidRDefault="00CC4089" w:rsidP="00CC408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2CCF0B08" w14:textId="77777777" w:rsidR="00CC4089" w:rsidRPr="00713B78" w:rsidRDefault="00CC4089" w:rsidP="00CC408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1DE709BA" w14:textId="77777777" w:rsidR="00CC4089" w:rsidRPr="00713B78" w:rsidRDefault="00CC4089" w:rsidP="00CC408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436CD38D" w14:textId="77777777" w:rsidR="00CC4089" w:rsidRPr="00713B78" w:rsidRDefault="00CC4089" w:rsidP="00CC408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40FC9DCB" w14:textId="77777777" w:rsidR="00CC4089" w:rsidRDefault="00CC4089" w:rsidP="00CC408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363E38DB" w14:textId="77777777" w:rsidR="00CC4089" w:rsidRPr="00713B78" w:rsidRDefault="00CC4089" w:rsidP="00CC408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C1807AC" w14:textId="77777777" w:rsidR="00CC4089" w:rsidRPr="00713B78" w:rsidRDefault="00CC4089" w:rsidP="00CC408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10EB0A5C" w14:textId="77777777" w:rsidR="00CC4089" w:rsidRPr="00713B78" w:rsidRDefault="00CC4089" w:rsidP="00CC408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23F919BB" w14:textId="77777777" w:rsidR="00CC4089" w:rsidRPr="002B598A" w:rsidRDefault="00CC4089" w:rsidP="00CC4089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CC4089" w:rsidRPr="002B598A" w14:paraId="4128220D" w14:textId="77777777" w:rsidTr="008E3EB3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2DD1301" w14:textId="77777777" w:rsidR="00CC4089" w:rsidRPr="002B598A" w:rsidRDefault="00CC4089" w:rsidP="00CC4089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062EE81B" w14:textId="77777777" w:rsidR="00CC4089" w:rsidRPr="002B598A" w:rsidRDefault="00CC4089" w:rsidP="00CC4089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340E53">
            <w:rPr>
              <w:sz w:val="11"/>
              <w:szCs w:val="11"/>
            </w:rPr>
            <w:t>Zsuzsanna Éva Ortutay</w:t>
          </w:r>
          <w:r w:rsidRPr="00847E16">
            <w:rPr>
              <w:sz w:val="11"/>
              <w:szCs w:val="11"/>
            </w:rPr>
            <w:t xml:space="preserve">, </w:t>
          </w:r>
          <w:r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>, Krisztián Pulay, Miroslav Skalicki, Hrvoje Šimović, Marin Zovko</w:t>
          </w:r>
        </w:p>
        <w:p w14:paraId="508B0603" w14:textId="77777777" w:rsidR="00CC4089" w:rsidRPr="002B598A" w:rsidRDefault="00CC4089" w:rsidP="00CC4089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0726F65" w14:textId="77777777" w:rsidR="00CC4089" w:rsidRPr="002B598A" w:rsidRDefault="00CC4089" w:rsidP="00CC4089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CC4089" w:rsidRPr="002B598A" w14:paraId="36F6AA64" w14:textId="77777777" w:rsidTr="008E3EB3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3BAF1495" w14:textId="77777777" w:rsidR="00CC4089" w:rsidRDefault="00CC4089" w:rsidP="00CC4089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B55E7D" w14:textId="77777777" w:rsidR="00CC4089" w:rsidRPr="002B598A" w:rsidRDefault="00CC4089" w:rsidP="00CC4089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02C4EDC5" w14:textId="77777777" w:rsidR="00A07306" w:rsidRPr="00095236" w:rsidRDefault="00A07306" w:rsidP="00A07306">
    <w:pPr>
      <w:pStyle w:val="Footer"/>
      <w:jc w:val="right"/>
    </w:pPr>
    <w:r>
      <w:rPr>
        <w:rFonts w:cs="Arial"/>
        <w:sz w:val="11"/>
        <w:szCs w:val="11"/>
      </w:rPr>
      <w:tab/>
    </w:r>
    <w:r w:rsidRPr="003F5049">
      <w:rPr>
        <w:rFonts w:cs="Arial"/>
        <w:sz w:val="11"/>
        <w:szCs w:val="11"/>
      </w:rPr>
      <w:t xml:space="preserve">str. - </w:t>
    </w:r>
    <w:proofErr w:type="spellStart"/>
    <w:r w:rsidRPr="003F5049">
      <w:rPr>
        <w:rFonts w:cs="Arial"/>
        <w:i/>
        <w:sz w:val="11"/>
        <w:szCs w:val="11"/>
      </w:rPr>
      <w:t>page</w:t>
    </w:r>
    <w:proofErr w:type="spellEnd"/>
    <w:r w:rsidRPr="003F5049">
      <w:rPr>
        <w:rFonts w:cs="Arial"/>
        <w:sz w:val="11"/>
        <w:szCs w:val="11"/>
      </w:rPr>
      <w:t xml:space="preserve"> </w:t>
    </w:r>
    <w:r w:rsidRPr="003F5049">
      <w:rPr>
        <w:rFonts w:cs="Arial"/>
        <w:sz w:val="11"/>
        <w:szCs w:val="11"/>
      </w:rPr>
      <w:fldChar w:fldCharType="begin"/>
    </w:r>
    <w:r w:rsidRPr="003F5049">
      <w:rPr>
        <w:rFonts w:cs="Arial"/>
        <w:sz w:val="11"/>
        <w:szCs w:val="11"/>
      </w:rPr>
      <w:instrText xml:space="preserve"> PAGE   \* MERGEFORMAT </w:instrText>
    </w:r>
    <w:r w:rsidRPr="003F5049">
      <w:rPr>
        <w:rFonts w:cs="Arial"/>
        <w:sz w:val="11"/>
        <w:szCs w:val="11"/>
      </w:rPr>
      <w:fldChar w:fldCharType="separate"/>
    </w:r>
    <w:r>
      <w:rPr>
        <w:rFonts w:cs="Arial"/>
        <w:sz w:val="11"/>
        <w:szCs w:val="11"/>
      </w:rPr>
      <w:t>1</w:t>
    </w:r>
    <w:r w:rsidRPr="003F5049">
      <w:rPr>
        <w:rFonts w:cs="Arial"/>
        <w:sz w:val="11"/>
        <w:szCs w:val="11"/>
      </w:rPr>
      <w:fldChar w:fldCharType="end"/>
    </w:r>
    <w:r w:rsidRPr="003F5049">
      <w:rPr>
        <w:rFonts w:cs="Arial"/>
        <w:sz w:val="11"/>
        <w:szCs w:val="11"/>
      </w:rPr>
      <w:t>/</w:t>
    </w:r>
    <w:r w:rsidRPr="003F5049">
      <w:rPr>
        <w:rFonts w:cs="Arial"/>
        <w:sz w:val="11"/>
        <w:szCs w:val="11"/>
      </w:rPr>
      <w:fldChar w:fldCharType="begin"/>
    </w:r>
    <w:r w:rsidRPr="003F5049">
      <w:rPr>
        <w:rFonts w:cs="Arial"/>
        <w:sz w:val="11"/>
        <w:szCs w:val="11"/>
      </w:rPr>
      <w:instrText xml:space="preserve"> NUMPAGES   \* MERGEFORMAT </w:instrText>
    </w:r>
    <w:r w:rsidRPr="003F5049">
      <w:rPr>
        <w:rFonts w:cs="Arial"/>
        <w:sz w:val="11"/>
        <w:szCs w:val="11"/>
      </w:rPr>
      <w:fldChar w:fldCharType="separate"/>
    </w:r>
    <w:r>
      <w:rPr>
        <w:rFonts w:cs="Arial"/>
        <w:sz w:val="11"/>
        <w:szCs w:val="11"/>
      </w:rPr>
      <w:t>1</w:t>
    </w:r>
    <w:r w:rsidRPr="003F5049">
      <w:rPr>
        <w:rFonts w:cs="Arial"/>
        <w:sz w:val="11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C39C" w14:textId="77777777" w:rsidR="00013EC8" w:rsidRDefault="00013EC8" w:rsidP="00A07306">
      <w:r>
        <w:separator/>
      </w:r>
    </w:p>
  </w:footnote>
  <w:footnote w:type="continuationSeparator" w:id="0">
    <w:p w14:paraId="686106DB" w14:textId="77777777" w:rsidR="00013EC8" w:rsidRDefault="00013EC8" w:rsidP="00A07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F0A0" w14:textId="44462D8B" w:rsidR="00C0068C" w:rsidRDefault="0013372E">
    <w:pPr>
      <w:pStyle w:val="Header"/>
    </w:pPr>
    <w:r>
      <w:rPr>
        <w:noProof/>
      </w:rPr>
      <w:drawing>
        <wp:inline distT="0" distB="0" distL="0" distR="0" wp14:anchorId="534E0B01" wp14:editId="74091993">
          <wp:extent cx="1212850" cy="450850"/>
          <wp:effectExtent l="0" t="0" r="6350" b="635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4D10B4" w14:textId="77777777" w:rsidR="00C0068C" w:rsidRDefault="00C0068C"/>
  <w:p w14:paraId="2086966B" w14:textId="77777777" w:rsidR="00C0068C" w:rsidRDefault="00C006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14B0" w14:textId="77777777" w:rsidR="00A07306" w:rsidRPr="00A07306" w:rsidRDefault="00A07306" w:rsidP="00A07306">
    <w:pPr>
      <w:tabs>
        <w:tab w:val="center" w:pos="4536"/>
        <w:tab w:val="right" w:pos="9072"/>
      </w:tabs>
      <w:rPr>
        <w:rFonts w:ascii="Calibri" w:eastAsia="Calibri" w:hAnsi="Calibri" w:cs="Arial"/>
      </w:rPr>
    </w:pPr>
    <w:r w:rsidRPr="00A07306">
      <w:rPr>
        <w:rFonts w:ascii="Calibri" w:eastAsia="Calibri" w:hAnsi="Calibri" w:cs="Arial"/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16F01097" wp14:editId="12B9371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EE98D4" w14:textId="77777777" w:rsidR="00A07306" w:rsidRPr="00A07306" w:rsidRDefault="00A07306" w:rsidP="00A07306">
    <w:pPr>
      <w:rPr>
        <w:rFonts w:ascii="Calibri" w:eastAsia="Calibri" w:hAnsi="Calibri" w:cs="Arial"/>
      </w:rPr>
    </w:pPr>
  </w:p>
  <w:p w14:paraId="1E69BE48" w14:textId="77777777" w:rsidR="00A07306" w:rsidRDefault="00A07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029"/>
    <w:multiLevelType w:val="hybridMultilevel"/>
    <w:tmpl w:val="3CD40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454F"/>
    <w:multiLevelType w:val="hybridMultilevel"/>
    <w:tmpl w:val="3E5487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51F8"/>
    <w:multiLevelType w:val="hybridMultilevel"/>
    <w:tmpl w:val="A33E14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172B"/>
    <w:multiLevelType w:val="hybridMultilevel"/>
    <w:tmpl w:val="38987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E2578"/>
    <w:multiLevelType w:val="hybridMultilevel"/>
    <w:tmpl w:val="32EAA3E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07F3FEA"/>
    <w:multiLevelType w:val="hybridMultilevel"/>
    <w:tmpl w:val="4AB45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17D85"/>
    <w:multiLevelType w:val="hybridMultilevel"/>
    <w:tmpl w:val="70606FC2"/>
    <w:lvl w:ilvl="0" w:tplc="CE9A8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C1296"/>
    <w:multiLevelType w:val="hybridMultilevel"/>
    <w:tmpl w:val="39D86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A09F0"/>
    <w:multiLevelType w:val="hybridMultilevel"/>
    <w:tmpl w:val="FE361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7768"/>
    <w:multiLevelType w:val="hybridMultilevel"/>
    <w:tmpl w:val="6646E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55CB8"/>
    <w:multiLevelType w:val="hybridMultilevel"/>
    <w:tmpl w:val="8D5A1A48"/>
    <w:lvl w:ilvl="0" w:tplc="041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C8E6BC8"/>
    <w:multiLevelType w:val="hybridMultilevel"/>
    <w:tmpl w:val="5902F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63076"/>
    <w:multiLevelType w:val="hybridMultilevel"/>
    <w:tmpl w:val="7AE07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A7A72"/>
    <w:multiLevelType w:val="hybridMultilevel"/>
    <w:tmpl w:val="898E8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47A59"/>
    <w:multiLevelType w:val="hybridMultilevel"/>
    <w:tmpl w:val="E1063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422FC"/>
    <w:multiLevelType w:val="hybridMultilevel"/>
    <w:tmpl w:val="685C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443025">
    <w:abstractNumId w:val="10"/>
  </w:num>
  <w:num w:numId="2" w16cid:durableId="1403287241">
    <w:abstractNumId w:val="5"/>
  </w:num>
  <w:num w:numId="3" w16cid:durableId="264315604">
    <w:abstractNumId w:val="4"/>
  </w:num>
  <w:num w:numId="4" w16cid:durableId="875003299">
    <w:abstractNumId w:val="6"/>
  </w:num>
  <w:num w:numId="5" w16cid:durableId="1564292082">
    <w:abstractNumId w:val="0"/>
  </w:num>
  <w:num w:numId="6" w16cid:durableId="1233151919">
    <w:abstractNumId w:val="12"/>
  </w:num>
  <w:num w:numId="7" w16cid:durableId="1146430015">
    <w:abstractNumId w:val="9"/>
  </w:num>
  <w:num w:numId="8" w16cid:durableId="1213616684">
    <w:abstractNumId w:val="8"/>
  </w:num>
  <w:num w:numId="9" w16cid:durableId="73288306">
    <w:abstractNumId w:val="14"/>
  </w:num>
  <w:num w:numId="10" w16cid:durableId="61023671">
    <w:abstractNumId w:val="2"/>
  </w:num>
  <w:num w:numId="11" w16cid:durableId="707072946">
    <w:abstractNumId w:val="7"/>
  </w:num>
  <w:num w:numId="12" w16cid:durableId="2045864109">
    <w:abstractNumId w:val="3"/>
  </w:num>
  <w:num w:numId="13" w16cid:durableId="479031996">
    <w:abstractNumId w:val="15"/>
  </w:num>
  <w:num w:numId="14" w16cid:durableId="3748803">
    <w:abstractNumId w:val="13"/>
  </w:num>
  <w:num w:numId="15" w16cid:durableId="417949251">
    <w:abstractNumId w:val="1"/>
  </w:num>
  <w:num w:numId="16" w16cid:durableId="4574550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06"/>
    <w:rsid w:val="0000163C"/>
    <w:rsid w:val="00002A40"/>
    <w:rsid w:val="000038FF"/>
    <w:rsid w:val="000063B9"/>
    <w:rsid w:val="00006E81"/>
    <w:rsid w:val="00010F6B"/>
    <w:rsid w:val="00011E42"/>
    <w:rsid w:val="00012705"/>
    <w:rsid w:val="00013155"/>
    <w:rsid w:val="00013EC8"/>
    <w:rsid w:val="00014109"/>
    <w:rsid w:val="00015028"/>
    <w:rsid w:val="00015694"/>
    <w:rsid w:val="00020961"/>
    <w:rsid w:val="0002784A"/>
    <w:rsid w:val="00033B41"/>
    <w:rsid w:val="00035D6D"/>
    <w:rsid w:val="00036669"/>
    <w:rsid w:val="000377F6"/>
    <w:rsid w:val="00041008"/>
    <w:rsid w:val="00046E7F"/>
    <w:rsid w:val="000475B1"/>
    <w:rsid w:val="00053C7A"/>
    <w:rsid w:val="00056079"/>
    <w:rsid w:val="00056C94"/>
    <w:rsid w:val="000650D0"/>
    <w:rsid w:val="00071D69"/>
    <w:rsid w:val="00076491"/>
    <w:rsid w:val="00077B63"/>
    <w:rsid w:val="000819FA"/>
    <w:rsid w:val="00081EE2"/>
    <w:rsid w:val="00091442"/>
    <w:rsid w:val="00092288"/>
    <w:rsid w:val="000967C8"/>
    <w:rsid w:val="0009730E"/>
    <w:rsid w:val="000978A4"/>
    <w:rsid w:val="00097F65"/>
    <w:rsid w:val="000A23F8"/>
    <w:rsid w:val="000A4619"/>
    <w:rsid w:val="000A4AF2"/>
    <w:rsid w:val="000A6332"/>
    <w:rsid w:val="000B03E7"/>
    <w:rsid w:val="000B0FA6"/>
    <w:rsid w:val="000B1739"/>
    <w:rsid w:val="000B23EC"/>
    <w:rsid w:val="000B26CE"/>
    <w:rsid w:val="000B4616"/>
    <w:rsid w:val="000B4B2F"/>
    <w:rsid w:val="000B55F3"/>
    <w:rsid w:val="000C07C4"/>
    <w:rsid w:val="000C1E53"/>
    <w:rsid w:val="000C45DD"/>
    <w:rsid w:val="000C7FD7"/>
    <w:rsid w:val="000D00A1"/>
    <w:rsid w:val="000D0E27"/>
    <w:rsid w:val="000D260B"/>
    <w:rsid w:val="000D3B06"/>
    <w:rsid w:val="000D3B90"/>
    <w:rsid w:val="000D4F03"/>
    <w:rsid w:val="000D5400"/>
    <w:rsid w:val="000D6447"/>
    <w:rsid w:val="000D75F9"/>
    <w:rsid w:val="000E5B6B"/>
    <w:rsid w:val="000E6067"/>
    <w:rsid w:val="000F0BD0"/>
    <w:rsid w:val="000F22E7"/>
    <w:rsid w:val="000F4EBF"/>
    <w:rsid w:val="000F7359"/>
    <w:rsid w:val="000F7BEB"/>
    <w:rsid w:val="00102CEE"/>
    <w:rsid w:val="0010463D"/>
    <w:rsid w:val="0010468E"/>
    <w:rsid w:val="0011001B"/>
    <w:rsid w:val="0011446D"/>
    <w:rsid w:val="00115514"/>
    <w:rsid w:val="001217EF"/>
    <w:rsid w:val="00121B93"/>
    <w:rsid w:val="00123656"/>
    <w:rsid w:val="001246B7"/>
    <w:rsid w:val="00130434"/>
    <w:rsid w:val="00130DEA"/>
    <w:rsid w:val="0013261A"/>
    <w:rsid w:val="001332BB"/>
    <w:rsid w:val="0013372E"/>
    <w:rsid w:val="001340EB"/>
    <w:rsid w:val="0013483A"/>
    <w:rsid w:val="00136293"/>
    <w:rsid w:val="001362A0"/>
    <w:rsid w:val="00142765"/>
    <w:rsid w:val="00142911"/>
    <w:rsid w:val="00142E5B"/>
    <w:rsid w:val="00143592"/>
    <w:rsid w:val="00143B18"/>
    <w:rsid w:val="001442AC"/>
    <w:rsid w:val="00145FCB"/>
    <w:rsid w:val="00146E49"/>
    <w:rsid w:val="0015047C"/>
    <w:rsid w:val="00151BC7"/>
    <w:rsid w:val="00153675"/>
    <w:rsid w:val="00155099"/>
    <w:rsid w:val="00155781"/>
    <w:rsid w:val="00155C75"/>
    <w:rsid w:val="001572F6"/>
    <w:rsid w:val="00166F62"/>
    <w:rsid w:val="0017268C"/>
    <w:rsid w:val="00172C71"/>
    <w:rsid w:val="00174A5A"/>
    <w:rsid w:val="00177372"/>
    <w:rsid w:val="00180429"/>
    <w:rsid w:val="001852F8"/>
    <w:rsid w:val="00186BEB"/>
    <w:rsid w:val="001914F0"/>
    <w:rsid w:val="001971A9"/>
    <w:rsid w:val="0019763F"/>
    <w:rsid w:val="001A1343"/>
    <w:rsid w:val="001A170A"/>
    <w:rsid w:val="001A239C"/>
    <w:rsid w:val="001A2DAF"/>
    <w:rsid w:val="001A7AB3"/>
    <w:rsid w:val="001B3B73"/>
    <w:rsid w:val="001B49C8"/>
    <w:rsid w:val="001B5D57"/>
    <w:rsid w:val="001B7CDD"/>
    <w:rsid w:val="001C1648"/>
    <w:rsid w:val="001C16AE"/>
    <w:rsid w:val="001C1D59"/>
    <w:rsid w:val="001C5502"/>
    <w:rsid w:val="001D3791"/>
    <w:rsid w:val="001D44E7"/>
    <w:rsid w:val="001D66A1"/>
    <w:rsid w:val="001D7312"/>
    <w:rsid w:val="001E4B48"/>
    <w:rsid w:val="001E6CF5"/>
    <w:rsid w:val="001F7AF9"/>
    <w:rsid w:val="002013F2"/>
    <w:rsid w:val="002030E3"/>
    <w:rsid w:val="00210979"/>
    <w:rsid w:val="00211910"/>
    <w:rsid w:val="00211BDE"/>
    <w:rsid w:val="00213E81"/>
    <w:rsid w:val="00215588"/>
    <w:rsid w:val="00221570"/>
    <w:rsid w:val="00224197"/>
    <w:rsid w:val="002251EF"/>
    <w:rsid w:val="002263ED"/>
    <w:rsid w:val="00226AA5"/>
    <w:rsid w:val="00233D9B"/>
    <w:rsid w:val="00242079"/>
    <w:rsid w:val="0024663B"/>
    <w:rsid w:val="00246E2E"/>
    <w:rsid w:val="00247548"/>
    <w:rsid w:val="002504DB"/>
    <w:rsid w:val="002552FC"/>
    <w:rsid w:val="00255FAC"/>
    <w:rsid w:val="00256123"/>
    <w:rsid w:val="00257C78"/>
    <w:rsid w:val="00260049"/>
    <w:rsid w:val="002745B9"/>
    <w:rsid w:val="00275190"/>
    <w:rsid w:val="0027681D"/>
    <w:rsid w:val="00281C18"/>
    <w:rsid w:val="00281CD2"/>
    <w:rsid w:val="00284F13"/>
    <w:rsid w:val="0028546A"/>
    <w:rsid w:val="0028614C"/>
    <w:rsid w:val="002863F0"/>
    <w:rsid w:val="00286848"/>
    <w:rsid w:val="00290B4B"/>
    <w:rsid w:val="002956C7"/>
    <w:rsid w:val="002956FD"/>
    <w:rsid w:val="00297E52"/>
    <w:rsid w:val="002A501B"/>
    <w:rsid w:val="002A5F97"/>
    <w:rsid w:val="002B2B9F"/>
    <w:rsid w:val="002B318E"/>
    <w:rsid w:val="002B51C0"/>
    <w:rsid w:val="002C0805"/>
    <w:rsid w:val="002C08C0"/>
    <w:rsid w:val="002C45E7"/>
    <w:rsid w:val="002D182C"/>
    <w:rsid w:val="002D2FE6"/>
    <w:rsid w:val="002D6798"/>
    <w:rsid w:val="002D78B1"/>
    <w:rsid w:val="002D7D9D"/>
    <w:rsid w:val="002D7F97"/>
    <w:rsid w:val="002E7872"/>
    <w:rsid w:val="002F0021"/>
    <w:rsid w:val="002F38F4"/>
    <w:rsid w:val="002F5C25"/>
    <w:rsid w:val="002F703B"/>
    <w:rsid w:val="00301915"/>
    <w:rsid w:val="00303F04"/>
    <w:rsid w:val="00306F07"/>
    <w:rsid w:val="00312B7A"/>
    <w:rsid w:val="003139DA"/>
    <w:rsid w:val="00314CF1"/>
    <w:rsid w:val="00322007"/>
    <w:rsid w:val="00323641"/>
    <w:rsid w:val="00323661"/>
    <w:rsid w:val="0032565A"/>
    <w:rsid w:val="00325E61"/>
    <w:rsid w:val="003265E7"/>
    <w:rsid w:val="00326D06"/>
    <w:rsid w:val="0033024F"/>
    <w:rsid w:val="00334846"/>
    <w:rsid w:val="003358BF"/>
    <w:rsid w:val="00337D1C"/>
    <w:rsid w:val="0034205C"/>
    <w:rsid w:val="00344945"/>
    <w:rsid w:val="00345FE9"/>
    <w:rsid w:val="003462DF"/>
    <w:rsid w:val="00353080"/>
    <w:rsid w:val="003541F5"/>
    <w:rsid w:val="003601E7"/>
    <w:rsid w:val="003624DD"/>
    <w:rsid w:val="003669A7"/>
    <w:rsid w:val="00370457"/>
    <w:rsid w:val="003709D6"/>
    <w:rsid w:val="0037692E"/>
    <w:rsid w:val="00377692"/>
    <w:rsid w:val="00377C00"/>
    <w:rsid w:val="00377F75"/>
    <w:rsid w:val="003801B1"/>
    <w:rsid w:val="00380CBA"/>
    <w:rsid w:val="00381112"/>
    <w:rsid w:val="003816EE"/>
    <w:rsid w:val="0038285C"/>
    <w:rsid w:val="0038435F"/>
    <w:rsid w:val="0038479A"/>
    <w:rsid w:val="003868E8"/>
    <w:rsid w:val="00386DE4"/>
    <w:rsid w:val="00392209"/>
    <w:rsid w:val="00393EAA"/>
    <w:rsid w:val="00396C71"/>
    <w:rsid w:val="003A16C4"/>
    <w:rsid w:val="003A28BA"/>
    <w:rsid w:val="003A421B"/>
    <w:rsid w:val="003A5609"/>
    <w:rsid w:val="003A613E"/>
    <w:rsid w:val="003A6C33"/>
    <w:rsid w:val="003A78DB"/>
    <w:rsid w:val="003A7C73"/>
    <w:rsid w:val="003B69D6"/>
    <w:rsid w:val="003B7528"/>
    <w:rsid w:val="003C0074"/>
    <w:rsid w:val="003C15A7"/>
    <w:rsid w:val="003C281E"/>
    <w:rsid w:val="003C53F4"/>
    <w:rsid w:val="003D1715"/>
    <w:rsid w:val="003D7867"/>
    <w:rsid w:val="003E06B6"/>
    <w:rsid w:val="003E0A2F"/>
    <w:rsid w:val="003E20D9"/>
    <w:rsid w:val="003E57F0"/>
    <w:rsid w:val="003E7D94"/>
    <w:rsid w:val="003F1190"/>
    <w:rsid w:val="003F4E80"/>
    <w:rsid w:val="003F5789"/>
    <w:rsid w:val="003F5DB9"/>
    <w:rsid w:val="003F66D1"/>
    <w:rsid w:val="003F7CF1"/>
    <w:rsid w:val="00404954"/>
    <w:rsid w:val="0040504A"/>
    <w:rsid w:val="004063A7"/>
    <w:rsid w:val="00406CA8"/>
    <w:rsid w:val="00406CA9"/>
    <w:rsid w:val="00407B13"/>
    <w:rsid w:val="004151D9"/>
    <w:rsid w:val="00415444"/>
    <w:rsid w:val="00415533"/>
    <w:rsid w:val="0041696C"/>
    <w:rsid w:val="00420BD8"/>
    <w:rsid w:val="0042153C"/>
    <w:rsid w:val="00426485"/>
    <w:rsid w:val="00426D55"/>
    <w:rsid w:val="00427095"/>
    <w:rsid w:val="00430E83"/>
    <w:rsid w:val="00433D66"/>
    <w:rsid w:val="00436285"/>
    <w:rsid w:val="00436313"/>
    <w:rsid w:val="0044150E"/>
    <w:rsid w:val="00442645"/>
    <w:rsid w:val="00443CC2"/>
    <w:rsid w:val="004452A0"/>
    <w:rsid w:val="00445DD8"/>
    <w:rsid w:val="00445FCF"/>
    <w:rsid w:val="004477A9"/>
    <w:rsid w:val="00453AA6"/>
    <w:rsid w:val="00455BAB"/>
    <w:rsid w:val="004570D8"/>
    <w:rsid w:val="00460579"/>
    <w:rsid w:val="00461720"/>
    <w:rsid w:val="004621E0"/>
    <w:rsid w:val="004623F9"/>
    <w:rsid w:val="004628D3"/>
    <w:rsid w:val="00462E4D"/>
    <w:rsid w:val="00462FD0"/>
    <w:rsid w:val="004630D6"/>
    <w:rsid w:val="00467C83"/>
    <w:rsid w:val="0047216B"/>
    <w:rsid w:val="00474D14"/>
    <w:rsid w:val="00480FAE"/>
    <w:rsid w:val="00482919"/>
    <w:rsid w:val="00483365"/>
    <w:rsid w:val="00483FFD"/>
    <w:rsid w:val="0048490E"/>
    <w:rsid w:val="00484B0F"/>
    <w:rsid w:val="004903B6"/>
    <w:rsid w:val="0049064C"/>
    <w:rsid w:val="00491F45"/>
    <w:rsid w:val="00493CB9"/>
    <w:rsid w:val="004A180B"/>
    <w:rsid w:val="004A3A03"/>
    <w:rsid w:val="004A4420"/>
    <w:rsid w:val="004A527C"/>
    <w:rsid w:val="004B02CF"/>
    <w:rsid w:val="004B0A75"/>
    <w:rsid w:val="004B4906"/>
    <w:rsid w:val="004B5284"/>
    <w:rsid w:val="004B5AF3"/>
    <w:rsid w:val="004B6416"/>
    <w:rsid w:val="004C0212"/>
    <w:rsid w:val="004C0398"/>
    <w:rsid w:val="004C3039"/>
    <w:rsid w:val="004C4C8E"/>
    <w:rsid w:val="004D08BA"/>
    <w:rsid w:val="004D6797"/>
    <w:rsid w:val="004D7948"/>
    <w:rsid w:val="004E21AD"/>
    <w:rsid w:val="004E2805"/>
    <w:rsid w:val="004F012E"/>
    <w:rsid w:val="004F2189"/>
    <w:rsid w:val="004F7196"/>
    <w:rsid w:val="0050011D"/>
    <w:rsid w:val="00501641"/>
    <w:rsid w:val="00507B33"/>
    <w:rsid w:val="00510CC9"/>
    <w:rsid w:val="005111CC"/>
    <w:rsid w:val="005137CB"/>
    <w:rsid w:val="0051395B"/>
    <w:rsid w:val="0051433C"/>
    <w:rsid w:val="00515D1E"/>
    <w:rsid w:val="00522D26"/>
    <w:rsid w:val="00522D28"/>
    <w:rsid w:val="00522DD9"/>
    <w:rsid w:val="00526B69"/>
    <w:rsid w:val="00531824"/>
    <w:rsid w:val="00532A73"/>
    <w:rsid w:val="0053395D"/>
    <w:rsid w:val="00534665"/>
    <w:rsid w:val="005359BD"/>
    <w:rsid w:val="00541913"/>
    <w:rsid w:val="00546BB0"/>
    <w:rsid w:val="00552DEC"/>
    <w:rsid w:val="00555F3F"/>
    <w:rsid w:val="00560A00"/>
    <w:rsid w:val="00560CEA"/>
    <w:rsid w:val="00565775"/>
    <w:rsid w:val="00565C51"/>
    <w:rsid w:val="00565CF5"/>
    <w:rsid w:val="005756D5"/>
    <w:rsid w:val="00576F4A"/>
    <w:rsid w:val="00580CD7"/>
    <w:rsid w:val="0058212D"/>
    <w:rsid w:val="00582C12"/>
    <w:rsid w:val="00583D23"/>
    <w:rsid w:val="00587046"/>
    <w:rsid w:val="005904D4"/>
    <w:rsid w:val="00596333"/>
    <w:rsid w:val="00597DDB"/>
    <w:rsid w:val="005A21C2"/>
    <w:rsid w:val="005A26EF"/>
    <w:rsid w:val="005B1EFD"/>
    <w:rsid w:val="005B1F93"/>
    <w:rsid w:val="005B3C95"/>
    <w:rsid w:val="005B4B12"/>
    <w:rsid w:val="005B6EF5"/>
    <w:rsid w:val="005C01E8"/>
    <w:rsid w:val="005C02B3"/>
    <w:rsid w:val="005C054B"/>
    <w:rsid w:val="005C07DD"/>
    <w:rsid w:val="005C5C8B"/>
    <w:rsid w:val="005D3CB6"/>
    <w:rsid w:val="005D4E66"/>
    <w:rsid w:val="005D54F2"/>
    <w:rsid w:val="005E098D"/>
    <w:rsid w:val="005E17DC"/>
    <w:rsid w:val="005E3729"/>
    <w:rsid w:val="005E3A65"/>
    <w:rsid w:val="005F521F"/>
    <w:rsid w:val="005F6034"/>
    <w:rsid w:val="005F7E9A"/>
    <w:rsid w:val="00600748"/>
    <w:rsid w:val="006007BD"/>
    <w:rsid w:val="00601C32"/>
    <w:rsid w:val="006131C1"/>
    <w:rsid w:val="00617866"/>
    <w:rsid w:val="006214D1"/>
    <w:rsid w:val="006215E4"/>
    <w:rsid w:val="00621EAF"/>
    <w:rsid w:val="00622C7B"/>
    <w:rsid w:val="006232D8"/>
    <w:rsid w:val="006276DA"/>
    <w:rsid w:val="006277CA"/>
    <w:rsid w:val="006305DF"/>
    <w:rsid w:val="00630EEA"/>
    <w:rsid w:val="00633A21"/>
    <w:rsid w:val="0063609D"/>
    <w:rsid w:val="00641BF4"/>
    <w:rsid w:val="006424D1"/>
    <w:rsid w:val="00643A4F"/>
    <w:rsid w:val="0064439E"/>
    <w:rsid w:val="00644B53"/>
    <w:rsid w:val="00653CEC"/>
    <w:rsid w:val="00655273"/>
    <w:rsid w:val="00656ECA"/>
    <w:rsid w:val="00657BEF"/>
    <w:rsid w:val="00660CCF"/>
    <w:rsid w:val="00663067"/>
    <w:rsid w:val="006634AA"/>
    <w:rsid w:val="00663AFC"/>
    <w:rsid w:val="006657BC"/>
    <w:rsid w:val="0067161F"/>
    <w:rsid w:val="00672D8E"/>
    <w:rsid w:val="006736AE"/>
    <w:rsid w:val="00673DC2"/>
    <w:rsid w:val="00673F89"/>
    <w:rsid w:val="00677952"/>
    <w:rsid w:val="006802C8"/>
    <w:rsid w:val="00680FC4"/>
    <w:rsid w:val="0068119F"/>
    <w:rsid w:val="00682506"/>
    <w:rsid w:val="00683097"/>
    <w:rsid w:val="0068470D"/>
    <w:rsid w:val="0068709E"/>
    <w:rsid w:val="00687F22"/>
    <w:rsid w:val="006900BF"/>
    <w:rsid w:val="00692C7D"/>
    <w:rsid w:val="00693673"/>
    <w:rsid w:val="00693C6F"/>
    <w:rsid w:val="006957B9"/>
    <w:rsid w:val="006A3C34"/>
    <w:rsid w:val="006A4331"/>
    <w:rsid w:val="006A5EF5"/>
    <w:rsid w:val="006A6577"/>
    <w:rsid w:val="006A6D32"/>
    <w:rsid w:val="006B0220"/>
    <w:rsid w:val="006B1AA3"/>
    <w:rsid w:val="006B25B3"/>
    <w:rsid w:val="006B3DBB"/>
    <w:rsid w:val="006B457D"/>
    <w:rsid w:val="006B4BE5"/>
    <w:rsid w:val="006B4F3C"/>
    <w:rsid w:val="006B6DC9"/>
    <w:rsid w:val="006C0B14"/>
    <w:rsid w:val="006D1601"/>
    <w:rsid w:val="006D62BF"/>
    <w:rsid w:val="006E6FEE"/>
    <w:rsid w:val="006E7C4D"/>
    <w:rsid w:val="006F14E0"/>
    <w:rsid w:val="006F1CAA"/>
    <w:rsid w:val="006F23D1"/>
    <w:rsid w:val="006F27EA"/>
    <w:rsid w:val="006F313B"/>
    <w:rsid w:val="006F3506"/>
    <w:rsid w:val="006F402E"/>
    <w:rsid w:val="006F4909"/>
    <w:rsid w:val="006F6090"/>
    <w:rsid w:val="007000CD"/>
    <w:rsid w:val="007034D4"/>
    <w:rsid w:val="00707041"/>
    <w:rsid w:val="007077D8"/>
    <w:rsid w:val="00710AD7"/>
    <w:rsid w:val="00710E81"/>
    <w:rsid w:val="0071202E"/>
    <w:rsid w:val="00713093"/>
    <w:rsid w:val="00714838"/>
    <w:rsid w:val="0071669B"/>
    <w:rsid w:val="00723A4B"/>
    <w:rsid w:val="00732648"/>
    <w:rsid w:val="007476E5"/>
    <w:rsid w:val="00754897"/>
    <w:rsid w:val="00756986"/>
    <w:rsid w:val="00756EF3"/>
    <w:rsid w:val="007579C7"/>
    <w:rsid w:val="0076075A"/>
    <w:rsid w:val="00766057"/>
    <w:rsid w:val="00766D5B"/>
    <w:rsid w:val="00766E95"/>
    <w:rsid w:val="007711E3"/>
    <w:rsid w:val="00771313"/>
    <w:rsid w:val="00775160"/>
    <w:rsid w:val="00781374"/>
    <w:rsid w:val="00784F0D"/>
    <w:rsid w:val="00785E1C"/>
    <w:rsid w:val="007875EB"/>
    <w:rsid w:val="00787EB8"/>
    <w:rsid w:val="00791A27"/>
    <w:rsid w:val="00794C57"/>
    <w:rsid w:val="007A1369"/>
    <w:rsid w:val="007A5160"/>
    <w:rsid w:val="007B0DB1"/>
    <w:rsid w:val="007B1294"/>
    <w:rsid w:val="007B546A"/>
    <w:rsid w:val="007B547A"/>
    <w:rsid w:val="007B5E9E"/>
    <w:rsid w:val="007B7102"/>
    <w:rsid w:val="007C2A5F"/>
    <w:rsid w:val="007C4493"/>
    <w:rsid w:val="007D1C3B"/>
    <w:rsid w:val="007D66C5"/>
    <w:rsid w:val="007E0400"/>
    <w:rsid w:val="007E42F7"/>
    <w:rsid w:val="007E4644"/>
    <w:rsid w:val="007E5FAA"/>
    <w:rsid w:val="007E76D7"/>
    <w:rsid w:val="007F01ED"/>
    <w:rsid w:val="007F4ACA"/>
    <w:rsid w:val="00804C7D"/>
    <w:rsid w:val="00805604"/>
    <w:rsid w:val="00805E3D"/>
    <w:rsid w:val="00807532"/>
    <w:rsid w:val="008109C8"/>
    <w:rsid w:val="0081162E"/>
    <w:rsid w:val="00812FAD"/>
    <w:rsid w:val="00817C0A"/>
    <w:rsid w:val="00820ED8"/>
    <w:rsid w:val="00822615"/>
    <w:rsid w:val="008301A3"/>
    <w:rsid w:val="00830CEF"/>
    <w:rsid w:val="00834B24"/>
    <w:rsid w:val="008412DD"/>
    <w:rsid w:val="00841C1E"/>
    <w:rsid w:val="00841D17"/>
    <w:rsid w:val="00843029"/>
    <w:rsid w:val="00847347"/>
    <w:rsid w:val="00847BCE"/>
    <w:rsid w:val="00847F27"/>
    <w:rsid w:val="0085055B"/>
    <w:rsid w:val="0085113F"/>
    <w:rsid w:val="00851BBC"/>
    <w:rsid w:val="00852724"/>
    <w:rsid w:val="008631C3"/>
    <w:rsid w:val="00867A71"/>
    <w:rsid w:val="0088007E"/>
    <w:rsid w:val="00881BCD"/>
    <w:rsid w:val="00881BD3"/>
    <w:rsid w:val="0088242C"/>
    <w:rsid w:val="008840AD"/>
    <w:rsid w:val="0088659E"/>
    <w:rsid w:val="00886BC9"/>
    <w:rsid w:val="00891960"/>
    <w:rsid w:val="008955E7"/>
    <w:rsid w:val="008A0EC7"/>
    <w:rsid w:val="008A10D0"/>
    <w:rsid w:val="008A24AE"/>
    <w:rsid w:val="008A52E8"/>
    <w:rsid w:val="008A5D03"/>
    <w:rsid w:val="008B13EE"/>
    <w:rsid w:val="008B7B05"/>
    <w:rsid w:val="008C1447"/>
    <w:rsid w:val="008C3746"/>
    <w:rsid w:val="008C451C"/>
    <w:rsid w:val="008C5A11"/>
    <w:rsid w:val="008C693D"/>
    <w:rsid w:val="008C6D6F"/>
    <w:rsid w:val="008C6EB7"/>
    <w:rsid w:val="008D5236"/>
    <w:rsid w:val="008D6A3F"/>
    <w:rsid w:val="008E0E2D"/>
    <w:rsid w:val="008E11BF"/>
    <w:rsid w:val="008E299C"/>
    <w:rsid w:val="008E2A75"/>
    <w:rsid w:val="008E40A7"/>
    <w:rsid w:val="008E7941"/>
    <w:rsid w:val="008F2611"/>
    <w:rsid w:val="008F2696"/>
    <w:rsid w:val="008F4A07"/>
    <w:rsid w:val="008F5C56"/>
    <w:rsid w:val="00900453"/>
    <w:rsid w:val="00901CFC"/>
    <w:rsid w:val="00905F4A"/>
    <w:rsid w:val="00906323"/>
    <w:rsid w:val="00906B86"/>
    <w:rsid w:val="0090739B"/>
    <w:rsid w:val="00912343"/>
    <w:rsid w:val="00913148"/>
    <w:rsid w:val="00913636"/>
    <w:rsid w:val="00913E79"/>
    <w:rsid w:val="00917254"/>
    <w:rsid w:val="009173FC"/>
    <w:rsid w:val="0091757F"/>
    <w:rsid w:val="00917C24"/>
    <w:rsid w:val="009206BE"/>
    <w:rsid w:val="009301F7"/>
    <w:rsid w:val="009346E6"/>
    <w:rsid w:val="009367EC"/>
    <w:rsid w:val="00940D27"/>
    <w:rsid w:val="00942E3B"/>
    <w:rsid w:val="0095408B"/>
    <w:rsid w:val="00967926"/>
    <w:rsid w:val="00972D29"/>
    <w:rsid w:val="00972DCF"/>
    <w:rsid w:val="009741A8"/>
    <w:rsid w:val="00974362"/>
    <w:rsid w:val="00974E20"/>
    <w:rsid w:val="00975881"/>
    <w:rsid w:val="009864AD"/>
    <w:rsid w:val="00986572"/>
    <w:rsid w:val="0098703D"/>
    <w:rsid w:val="009936D3"/>
    <w:rsid w:val="0099750C"/>
    <w:rsid w:val="009A5FE5"/>
    <w:rsid w:val="009A61C7"/>
    <w:rsid w:val="009A6D79"/>
    <w:rsid w:val="009B09EC"/>
    <w:rsid w:val="009B0FA5"/>
    <w:rsid w:val="009B1CD9"/>
    <w:rsid w:val="009B1EAD"/>
    <w:rsid w:val="009B2111"/>
    <w:rsid w:val="009B340B"/>
    <w:rsid w:val="009B4C66"/>
    <w:rsid w:val="009B571F"/>
    <w:rsid w:val="009B67C9"/>
    <w:rsid w:val="009B6EF1"/>
    <w:rsid w:val="009C37EC"/>
    <w:rsid w:val="009C3815"/>
    <w:rsid w:val="009D232A"/>
    <w:rsid w:val="009E06E1"/>
    <w:rsid w:val="009E2C65"/>
    <w:rsid w:val="009E34B2"/>
    <w:rsid w:val="009E3BFF"/>
    <w:rsid w:val="009E4660"/>
    <w:rsid w:val="009E5361"/>
    <w:rsid w:val="009E691B"/>
    <w:rsid w:val="009E69BB"/>
    <w:rsid w:val="009F1B60"/>
    <w:rsid w:val="009F2FFA"/>
    <w:rsid w:val="00A0382F"/>
    <w:rsid w:val="00A045DA"/>
    <w:rsid w:val="00A07306"/>
    <w:rsid w:val="00A07DC9"/>
    <w:rsid w:val="00A109E4"/>
    <w:rsid w:val="00A116DA"/>
    <w:rsid w:val="00A13F71"/>
    <w:rsid w:val="00A17332"/>
    <w:rsid w:val="00A223F1"/>
    <w:rsid w:val="00A22F22"/>
    <w:rsid w:val="00A24D91"/>
    <w:rsid w:val="00A25D3E"/>
    <w:rsid w:val="00A30989"/>
    <w:rsid w:val="00A31E2E"/>
    <w:rsid w:val="00A32000"/>
    <w:rsid w:val="00A3253D"/>
    <w:rsid w:val="00A333E0"/>
    <w:rsid w:val="00A36A27"/>
    <w:rsid w:val="00A36CDE"/>
    <w:rsid w:val="00A37E41"/>
    <w:rsid w:val="00A37F75"/>
    <w:rsid w:val="00A440A7"/>
    <w:rsid w:val="00A46C6D"/>
    <w:rsid w:val="00A52265"/>
    <w:rsid w:val="00A55262"/>
    <w:rsid w:val="00A621A8"/>
    <w:rsid w:val="00A628CF"/>
    <w:rsid w:val="00A64523"/>
    <w:rsid w:val="00A6512C"/>
    <w:rsid w:val="00A72DAC"/>
    <w:rsid w:val="00A738E1"/>
    <w:rsid w:val="00A74024"/>
    <w:rsid w:val="00A74869"/>
    <w:rsid w:val="00A82493"/>
    <w:rsid w:val="00A83A9B"/>
    <w:rsid w:val="00A83BE9"/>
    <w:rsid w:val="00A86066"/>
    <w:rsid w:val="00A87B9F"/>
    <w:rsid w:val="00A91849"/>
    <w:rsid w:val="00A91CE9"/>
    <w:rsid w:val="00A94556"/>
    <w:rsid w:val="00A957EA"/>
    <w:rsid w:val="00A96AA9"/>
    <w:rsid w:val="00A96FBD"/>
    <w:rsid w:val="00A9720E"/>
    <w:rsid w:val="00AA1EFF"/>
    <w:rsid w:val="00AB2D56"/>
    <w:rsid w:val="00AB37AD"/>
    <w:rsid w:val="00AB55E0"/>
    <w:rsid w:val="00AB5671"/>
    <w:rsid w:val="00AB5EC9"/>
    <w:rsid w:val="00AB774B"/>
    <w:rsid w:val="00AC1D42"/>
    <w:rsid w:val="00AC31E7"/>
    <w:rsid w:val="00AC6405"/>
    <w:rsid w:val="00AD0302"/>
    <w:rsid w:val="00AD0A42"/>
    <w:rsid w:val="00AD3DC7"/>
    <w:rsid w:val="00AD6297"/>
    <w:rsid w:val="00AD6E1B"/>
    <w:rsid w:val="00AE3B8B"/>
    <w:rsid w:val="00AE562E"/>
    <w:rsid w:val="00AE6DA4"/>
    <w:rsid w:val="00AE7377"/>
    <w:rsid w:val="00AF0FE3"/>
    <w:rsid w:val="00AF18D8"/>
    <w:rsid w:val="00AF1D79"/>
    <w:rsid w:val="00AF326E"/>
    <w:rsid w:val="00B044EC"/>
    <w:rsid w:val="00B05CB1"/>
    <w:rsid w:val="00B05CD0"/>
    <w:rsid w:val="00B103EE"/>
    <w:rsid w:val="00B1068D"/>
    <w:rsid w:val="00B143E6"/>
    <w:rsid w:val="00B167D5"/>
    <w:rsid w:val="00B20E20"/>
    <w:rsid w:val="00B21E71"/>
    <w:rsid w:val="00B3034A"/>
    <w:rsid w:val="00B30F0C"/>
    <w:rsid w:val="00B313AC"/>
    <w:rsid w:val="00B323D5"/>
    <w:rsid w:val="00B35605"/>
    <w:rsid w:val="00B360B4"/>
    <w:rsid w:val="00B36E99"/>
    <w:rsid w:val="00B42C3D"/>
    <w:rsid w:val="00B44740"/>
    <w:rsid w:val="00B44D4C"/>
    <w:rsid w:val="00B45C54"/>
    <w:rsid w:val="00B55C09"/>
    <w:rsid w:val="00B57D01"/>
    <w:rsid w:val="00B61DB1"/>
    <w:rsid w:val="00B6326C"/>
    <w:rsid w:val="00B63871"/>
    <w:rsid w:val="00B63A0F"/>
    <w:rsid w:val="00B642D2"/>
    <w:rsid w:val="00B71D91"/>
    <w:rsid w:val="00B71E9D"/>
    <w:rsid w:val="00B75445"/>
    <w:rsid w:val="00B80ED6"/>
    <w:rsid w:val="00B81375"/>
    <w:rsid w:val="00B85F0B"/>
    <w:rsid w:val="00B87A13"/>
    <w:rsid w:val="00B90532"/>
    <w:rsid w:val="00B909C7"/>
    <w:rsid w:val="00B909DF"/>
    <w:rsid w:val="00B91963"/>
    <w:rsid w:val="00B91977"/>
    <w:rsid w:val="00B958BD"/>
    <w:rsid w:val="00B96D1C"/>
    <w:rsid w:val="00BA1A33"/>
    <w:rsid w:val="00BA2649"/>
    <w:rsid w:val="00BA5730"/>
    <w:rsid w:val="00BA61DB"/>
    <w:rsid w:val="00BA7A5F"/>
    <w:rsid w:val="00BB04D3"/>
    <w:rsid w:val="00BB3CF4"/>
    <w:rsid w:val="00BB3DC8"/>
    <w:rsid w:val="00BB6AC9"/>
    <w:rsid w:val="00BC39F8"/>
    <w:rsid w:val="00BC4CF6"/>
    <w:rsid w:val="00BC616F"/>
    <w:rsid w:val="00BC6246"/>
    <w:rsid w:val="00BC70B7"/>
    <w:rsid w:val="00BC7CEF"/>
    <w:rsid w:val="00BD0D11"/>
    <w:rsid w:val="00BD6224"/>
    <w:rsid w:val="00BD6403"/>
    <w:rsid w:val="00BE0699"/>
    <w:rsid w:val="00BE29ED"/>
    <w:rsid w:val="00BE2CC1"/>
    <w:rsid w:val="00BE3C6C"/>
    <w:rsid w:val="00BE6D6C"/>
    <w:rsid w:val="00BF06AD"/>
    <w:rsid w:val="00C0068C"/>
    <w:rsid w:val="00C02215"/>
    <w:rsid w:val="00C027E1"/>
    <w:rsid w:val="00C04ED3"/>
    <w:rsid w:val="00C0601C"/>
    <w:rsid w:val="00C11194"/>
    <w:rsid w:val="00C11534"/>
    <w:rsid w:val="00C1231D"/>
    <w:rsid w:val="00C14AFF"/>
    <w:rsid w:val="00C15454"/>
    <w:rsid w:val="00C159C5"/>
    <w:rsid w:val="00C17025"/>
    <w:rsid w:val="00C23532"/>
    <w:rsid w:val="00C237C5"/>
    <w:rsid w:val="00C24F05"/>
    <w:rsid w:val="00C24FB8"/>
    <w:rsid w:val="00C25445"/>
    <w:rsid w:val="00C25C17"/>
    <w:rsid w:val="00C30603"/>
    <w:rsid w:val="00C34BDC"/>
    <w:rsid w:val="00C35631"/>
    <w:rsid w:val="00C42C3E"/>
    <w:rsid w:val="00C44347"/>
    <w:rsid w:val="00C44436"/>
    <w:rsid w:val="00C46D4C"/>
    <w:rsid w:val="00C46F5F"/>
    <w:rsid w:val="00C47B49"/>
    <w:rsid w:val="00C54CB2"/>
    <w:rsid w:val="00C57483"/>
    <w:rsid w:val="00C57659"/>
    <w:rsid w:val="00C57F34"/>
    <w:rsid w:val="00C619F3"/>
    <w:rsid w:val="00C639B3"/>
    <w:rsid w:val="00C65E5A"/>
    <w:rsid w:val="00C75B59"/>
    <w:rsid w:val="00C81DB0"/>
    <w:rsid w:val="00C85F51"/>
    <w:rsid w:val="00C87009"/>
    <w:rsid w:val="00C872A4"/>
    <w:rsid w:val="00C90205"/>
    <w:rsid w:val="00C95700"/>
    <w:rsid w:val="00C95B25"/>
    <w:rsid w:val="00C97C21"/>
    <w:rsid w:val="00CA0D42"/>
    <w:rsid w:val="00CA5002"/>
    <w:rsid w:val="00CA53C6"/>
    <w:rsid w:val="00CA5F96"/>
    <w:rsid w:val="00CA67A6"/>
    <w:rsid w:val="00CC0320"/>
    <w:rsid w:val="00CC3B08"/>
    <w:rsid w:val="00CC3D0F"/>
    <w:rsid w:val="00CC4089"/>
    <w:rsid w:val="00CC5716"/>
    <w:rsid w:val="00CC66E1"/>
    <w:rsid w:val="00CC7A1E"/>
    <w:rsid w:val="00CD0BE2"/>
    <w:rsid w:val="00CD1EDE"/>
    <w:rsid w:val="00CD28C5"/>
    <w:rsid w:val="00CD3548"/>
    <w:rsid w:val="00CD5338"/>
    <w:rsid w:val="00CD6145"/>
    <w:rsid w:val="00CD697A"/>
    <w:rsid w:val="00CE6C07"/>
    <w:rsid w:val="00CE705F"/>
    <w:rsid w:val="00CE76AF"/>
    <w:rsid w:val="00CF014A"/>
    <w:rsid w:val="00CF06D7"/>
    <w:rsid w:val="00CF1D06"/>
    <w:rsid w:val="00CF57C5"/>
    <w:rsid w:val="00CF6706"/>
    <w:rsid w:val="00CF7FC1"/>
    <w:rsid w:val="00D00379"/>
    <w:rsid w:val="00D04820"/>
    <w:rsid w:val="00D067D9"/>
    <w:rsid w:val="00D124FB"/>
    <w:rsid w:val="00D128F8"/>
    <w:rsid w:val="00D13B66"/>
    <w:rsid w:val="00D218AF"/>
    <w:rsid w:val="00D235AD"/>
    <w:rsid w:val="00D242B0"/>
    <w:rsid w:val="00D27D63"/>
    <w:rsid w:val="00D27D8C"/>
    <w:rsid w:val="00D30573"/>
    <w:rsid w:val="00D31AF2"/>
    <w:rsid w:val="00D323C2"/>
    <w:rsid w:val="00D3350E"/>
    <w:rsid w:val="00D3382A"/>
    <w:rsid w:val="00D35B8C"/>
    <w:rsid w:val="00D35F05"/>
    <w:rsid w:val="00D36278"/>
    <w:rsid w:val="00D374E5"/>
    <w:rsid w:val="00D436A1"/>
    <w:rsid w:val="00D43BEF"/>
    <w:rsid w:val="00D43D09"/>
    <w:rsid w:val="00D43EDB"/>
    <w:rsid w:val="00D443DC"/>
    <w:rsid w:val="00D458B6"/>
    <w:rsid w:val="00D4664D"/>
    <w:rsid w:val="00D46695"/>
    <w:rsid w:val="00D505CF"/>
    <w:rsid w:val="00D5615D"/>
    <w:rsid w:val="00D5747F"/>
    <w:rsid w:val="00D57FD8"/>
    <w:rsid w:val="00D63F00"/>
    <w:rsid w:val="00D666B0"/>
    <w:rsid w:val="00D73B3B"/>
    <w:rsid w:val="00D75CE1"/>
    <w:rsid w:val="00D77C98"/>
    <w:rsid w:val="00D80DB1"/>
    <w:rsid w:val="00D81E08"/>
    <w:rsid w:val="00D82CA9"/>
    <w:rsid w:val="00D841A5"/>
    <w:rsid w:val="00D90C94"/>
    <w:rsid w:val="00D9254A"/>
    <w:rsid w:val="00D946BC"/>
    <w:rsid w:val="00D9723B"/>
    <w:rsid w:val="00DA0BB8"/>
    <w:rsid w:val="00DA3A5A"/>
    <w:rsid w:val="00DB1E8A"/>
    <w:rsid w:val="00DB3EC3"/>
    <w:rsid w:val="00DC1E62"/>
    <w:rsid w:val="00DC2A39"/>
    <w:rsid w:val="00DC3F4B"/>
    <w:rsid w:val="00DC5BEF"/>
    <w:rsid w:val="00DC676C"/>
    <w:rsid w:val="00DC6E09"/>
    <w:rsid w:val="00DC76DF"/>
    <w:rsid w:val="00DD0260"/>
    <w:rsid w:val="00DD1E99"/>
    <w:rsid w:val="00DD2235"/>
    <w:rsid w:val="00DD4588"/>
    <w:rsid w:val="00DD535E"/>
    <w:rsid w:val="00DD584B"/>
    <w:rsid w:val="00DD7D8F"/>
    <w:rsid w:val="00DE25D5"/>
    <w:rsid w:val="00DE380F"/>
    <w:rsid w:val="00DE5854"/>
    <w:rsid w:val="00DE5C19"/>
    <w:rsid w:val="00DE61CC"/>
    <w:rsid w:val="00DE7779"/>
    <w:rsid w:val="00DF4E76"/>
    <w:rsid w:val="00DF5003"/>
    <w:rsid w:val="00DF6243"/>
    <w:rsid w:val="00DF6332"/>
    <w:rsid w:val="00DF6C06"/>
    <w:rsid w:val="00DF6F5C"/>
    <w:rsid w:val="00E0713F"/>
    <w:rsid w:val="00E12DF3"/>
    <w:rsid w:val="00E141FB"/>
    <w:rsid w:val="00E15F4E"/>
    <w:rsid w:val="00E16618"/>
    <w:rsid w:val="00E17464"/>
    <w:rsid w:val="00E25474"/>
    <w:rsid w:val="00E26412"/>
    <w:rsid w:val="00E27430"/>
    <w:rsid w:val="00E278C1"/>
    <w:rsid w:val="00E34E11"/>
    <w:rsid w:val="00E361DB"/>
    <w:rsid w:val="00E37B1D"/>
    <w:rsid w:val="00E405FE"/>
    <w:rsid w:val="00E41120"/>
    <w:rsid w:val="00E4315A"/>
    <w:rsid w:val="00E44312"/>
    <w:rsid w:val="00E538D3"/>
    <w:rsid w:val="00E55AED"/>
    <w:rsid w:val="00E565DD"/>
    <w:rsid w:val="00E56FE9"/>
    <w:rsid w:val="00E6038A"/>
    <w:rsid w:val="00E61424"/>
    <w:rsid w:val="00E6183A"/>
    <w:rsid w:val="00E6271D"/>
    <w:rsid w:val="00E6280D"/>
    <w:rsid w:val="00E66F6C"/>
    <w:rsid w:val="00E67737"/>
    <w:rsid w:val="00E70ECF"/>
    <w:rsid w:val="00E71BD3"/>
    <w:rsid w:val="00E827F2"/>
    <w:rsid w:val="00E82B37"/>
    <w:rsid w:val="00E90B66"/>
    <w:rsid w:val="00E921F9"/>
    <w:rsid w:val="00E96ED4"/>
    <w:rsid w:val="00EA0B90"/>
    <w:rsid w:val="00EA64ED"/>
    <w:rsid w:val="00EA7121"/>
    <w:rsid w:val="00EB27D6"/>
    <w:rsid w:val="00EB429C"/>
    <w:rsid w:val="00EB46E1"/>
    <w:rsid w:val="00EC3A2C"/>
    <w:rsid w:val="00EC3D8C"/>
    <w:rsid w:val="00ED1C60"/>
    <w:rsid w:val="00ED34D1"/>
    <w:rsid w:val="00ED5EE4"/>
    <w:rsid w:val="00EE2EE3"/>
    <w:rsid w:val="00EE4723"/>
    <w:rsid w:val="00EE6FF7"/>
    <w:rsid w:val="00EF0722"/>
    <w:rsid w:val="00EF0CA0"/>
    <w:rsid w:val="00EF1228"/>
    <w:rsid w:val="00EF1309"/>
    <w:rsid w:val="00EF187B"/>
    <w:rsid w:val="00EF300B"/>
    <w:rsid w:val="00EF3972"/>
    <w:rsid w:val="00EF4129"/>
    <w:rsid w:val="00F01A1C"/>
    <w:rsid w:val="00F02807"/>
    <w:rsid w:val="00F02D15"/>
    <w:rsid w:val="00F031C1"/>
    <w:rsid w:val="00F0349D"/>
    <w:rsid w:val="00F0462D"/>
    <w:rsid w:val="00F05757"/>
    <w:rsid w:val="00F12590"/>
    <w:rsid w:val="00F14A7C"/>
    <w:rsid w:val="00F15FB9"/>
    <w:rsid w:val="00F16A9A"/>
    <w:rsid w:val="00F245A3"/>
    <w:rsid w:val="00F27909"/>
    <w:rsid w:val="00F34818"/>
    <w:rsid w:val="00F3544C"/>
    <w:rsid w:val="00F37DC5"/>
    <w:rsid w:val="00F40DBC"/>
    <w:rsid w:val="00F43346"/>
    <w:rsid w:val="00F4443F"/>
    <w:rsid w:val="00F46BA4"/>
    <w:rsid w:val="00F475AA"/>
    <w:rsid w:val="00F5178E"/>
    <w:rsid w:val="00F545CC"/>
    <w:rsid w:val="00F566AA"/>
    <w:rsid w:val="00F57147"/>
    <w:rsid w:val="00F60382"/>
    <w:rsid w:val="00F621CD"/>
    <w:rsid w:val="00F6302A"/>
    <w:rsid w:val="00F6770C"/>
    <w:rsid w:val="00F7085C"/>
    <w:rsid w:val="00F72293"/>
    <w:rsid w:val="00F80843"/>
    <w:rsid w:val="00F8459A"/>
    <w:rsid w:val="00F848DD"/>
    <w:rsid w:val="00F84D2B"/>
    <w:rsid w:val="00F91097"/>
    <w:rsid w:val="00F92756"/>
    <w:rsid w:val="00F953F1"/>
    <w:rsid w:val="00F964E2"/>
    <w:rsid w:val="00FA14BD"/>
    <w:rsid w:val="00FA164E"/>
    <w:rsid w:val="00FA5D51"/>
    <w:rsid w:val="00FA725A"/>
    <w:rsid w:val="00FB0626"/>
    <w:rsid w:val="00FB0C53"/>
    <w:rsid w:val="00FB1710"/>
    <w:rsid w:val="00FB2382"/>
    <w:rsid w:val="00FB5011"/>
    <w:rsid w:val="00FB52EC"/>
    <w:rsid w:val="00FB5D4E"/>
    <w:rsid w:val="00FB67FE"/>
    <w:rsid w:val="00FD1169"/>
    <w:rsid w:val="00FD289F"/>
    <w:rsid w:val="00FD2D90"/>
    <w:rsid w:val="00FD30F0"/>
    <w:rsid w:val="00FD577C"/>
    <w:rsid w:val="00FD5A70"/>
    <w:rsid w:val="00FD76A7"/>
    <w:rsid w:val="00FE236E"/>
    <w:rsid w:val="00FE58DB"/>
    <w:rsid w:val="00FE6E38"/>
    <w:rsid w:val="00FF057D"/>
    <w:rsid w:val="00FF05F8"/>
    <w:rsid w:val="00FF0C7C"/>
    <w:rsid w:val="00FF1CE1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33D48"/>
  <w15:chartTrackingRefBased/>
  <w15:docId w15:val="{34C3D77B-0838-430E-A0CD-D317D750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9C7"/>
    <w:pPr>
      <w:keepNext/>
      <w:keepLines/>
      <w:spacing w:before="200" w:after="200"/>
      <w:jc w:val="both"/>
      <w:outlineLvl w:val="1"/>
    </w:pPr>
    <w:rPr>
      <w:rFonts w:ascii="Arial" w:eastAsiaTheme="majorEastAsia" w:hAnsi="Arial" w:cstheme="majorBidi"/>
      <w:b/>
      <w:color w:val="004676"/>
      <w:sz w:val="22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0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73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07306"/>
  </w:style>
  <w:style w:type="paragraph" w:styleId="Footer">
    <w:name w:val="footer"/>
    <w:basedOn w:val="Normal"/>
    <w:link w:val="FooterChar"/>
    <w:unhideWhenUsed/>
    <w:rsid w:val="00A073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07306"/>
  </w:style>
  <w:style w:type="character" w:styleId="Hyperlink">
    <w:name w:val="Hyperlink"/>
    <w:rsid w:val="00C0068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0068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0068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aliases w:val="Normal_FR"/>
    <w:uiPriority w:val="1"/>
    <w:qFormat/>
    <w:rsid w:val="00C0068C"/>
    <w:pPr>
      <w:spacing w:before="120" w:after="120" w:line="240" w:lineRule="auto"/>
      <w:jc w:val="both"/>
    </w:pPr>
    <w:rPr>
      <w:rFonts w:ascii="Arial" w:hAnsi="Arial"/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8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3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3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9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9D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579C7"/>
    <w:rPr>
      <w:rFonts w:ascii="Arial" w:eastAsiaTheme="majorEastAsia" w:hAnsi="Arial" w:cstheme="majorBidi"/>
      <w:b/>
      <w:color w:val="004676"/>
      <w:szCs w:val="26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38F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38FF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04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30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59C5"/>
    <w:rPr>
      <w:color w:val="605E5C"/>
      <w:shd w:val="clear" w:color="auto" w:fill="E1DFDD"/>
    </w:rPr>
  </w:style>
  <w:style w:type="paragraph" w:customStyle="1" w:styleId="Default">
    <w:name w:val="Default"/>
    <w:rsid w:val="005B1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na.hr" TargetMode="External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A2FDB-8E9C-4EB2-B42B-0CC4F201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Đolo Sandra</dc:creator>
  <cp:keywords/>
  <dc:description/>
  <cp:lastModifiedBy>Majić Crnković Marina (INA d.d.)</cp:lastModifiedBy>
  <cp:revision>4</cp:revision>
  <cp:lastPrinted>2021-07-29T11:14:00Z</cp:lastPrinted>
  <dcterms:created xsi:type="dcterms:W3CDTF">2024-02-15T16:17:00Z</dcterms:created>
  <dcterms:modified xsi:type="dcterms:W3CDTF">2024-02-16T06:45:00Z</dcterms:modified>
</cp:coreProperties>
</file>