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D8BE" w14:textId="50506C0B" w:rsidR="00C0068C" w:rsidRPr="000F22E7" w:rsidRDefault="00A72DAC" w:rsidP="00C0068C">
      <w:pPr>
        <w:jc w:val="both"/>
        <w:rPr>
          <w:rFonts w:asciiTheme="minorHAnsi" w:hAnsiTheme="minorHAnsi" w:cstheme="minorHAnsi"/>
        </w:rPr>
      </w:pPr>
      <w:bookmarkStart w:id="0" w:name="_Hlk101870254"/>
      <w:bookmarkEnd w:id="0"/>
      <w:r w:rsidRPr="000F22E7">
        <w:rPr>
          <w:rFonts w:asciiTheme="minorHAnsi" w:hAnsiTheme="minorHAnsi" w:cstheme="minorHAnsi"/>
        </w:rPr>
        <w:t xml:space="preserve"> </w:t>
      </w:r>
    </w:p>
    <w:p w14:paraId="4F7FB7C1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71B952EF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6DAF8346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014BF65D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5A3710D8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0D8E1E1E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20261634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702E904B" w14:textId="6C95ADD6" w:rsidR="00C0068C" w:rsidRPr="000F22E7" w:rsidRDefault="00C0068C" w:rsidP="00C0068C">
      <w:pPr>
        <w:jc w:val="center"/>
        <w:rPr>
          <w:rFonts w:asciiTheme="minorHAnsi" w:hAnsiTheme="minorHAnsi" w:cstheme="minorHAnsi"/>
          <w:sz w:val="56"/>
          <w:szCs w:val="56"/>
        </w:rPr>
      </w:pPr>
      <w:r w:rsidRPr="000F22E7">
        <w:rPr>
          <w:rFonts w:asciiTheme="minorHAnsi" w:hAnsiTheme="minorHAnsi" w:cstheme="minorHAnsi"/>
          <w:sz w:val="56"/>
          <w:szCs w:val="56"/>
        </w:rPr>
        <w:t>FINAN</w:t>
      </w:r>
      <w:r w:rsidR="000A4619" w:rsidRPr="000F22E7">
        <w:rPr>
          <w:rFonts w:asciiTheme="minorHAnsi" w:hAnsiTheme="minorHAnsi" w:cstheme="minorHAnsi"/>
          <w:sz w:val="56"/>
          <w:szCs w:val="56"/>
        </w:rPr>
        <w:t>CIJSKI REZULTATI</w:t>
      </w:r>
    </w:p>
    <w:p w14:paraId="4562916B" w14:textId="6FB4D201" w:rsidR="00C0068C" w:rsidRPr="000F22E7" w:rsidRDefault="00002A40" w:rsidP="00C0068C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I.-III. </w:t>
      </w:r>
      <w:r w:rsidR="00C34BDC" w:rsidRPr="000F22E7">
        <w:rPr>
          <w:rFonts w:asciiTheme="minorHAnsi" w:hAnsiTheme="minorHAnsi" w:cstheme="minorHAnsi"/>
          <w:sz w:val="56"/>
          <w:szCs w:val="56"/>
        </w:rPr>
        <w:t>202</w:t>
      </w:r>
      <w:r w:rsidR="0080652F">
        <w:rPr>
          <w:rFonts w:asciiTheme="minorHAnsi" w:hAnsiTheme="minorHAnsi" w:cstheme="minorHAnsi"/>
          <w:sz w:val="56"/>
          <w:szCs w:val="56"/>
        </w:rPr>
        <w:t>4</w:t>
      </w:r>
      <w:r w:rsidR="00C34BDC" w:rsidRPr="000F22E7">
        <w:rPr>
          <w:rFonts w:asciiTheme="minorHAnsi" w:hAnsiTheme="minorHAnsi" w:cstheme="minorHAnsi"/>
          <w:sz w:val="56"/>
          <w:szCs w:val="56"/>
        </w:rPr>
        <w:t>.</w:t>
      </w:r>
    </w:p>
    <w:p w14:paraId="71719F98" w14:textId="77777777" w:rsidR="00C0068C" w:rsidRPr="000F22E7" w:rsidRDefault="00C0068C" w:rsidP="00C0068C">
      <w:pPr>
        <w:jc w:val="both"/>
        <w:rPr>
          <w:rFonts w:asciiTheme="minorHAnsi" w:hAnsiTheme="minorHAnsi" w:cstheme="minorHAnsi"/>
          <w:sz w:val="56"/>
          <w:szCs w:val="56"/>
        </w:rPr>
      </w:pPr>
    </w:p>
    <w:p w14:paraId="2F046F60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583171BE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7BE564E1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2A5C0A4B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30AFA060" w14:textId="77777777" w:rsidR="00C0068C" w:rsidRPr="000F22E7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A844BC" w14:textId="77777777" w:rsidR="00C0068C" w:rsidRPr="000F22E7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61D389" w14:textId="77777777" w:rsidR="00C0068C" w:rsidRPr="000F22E7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FD168C" w14:textId="5D5A3693" w:rsidR="00C0068C" w:rsidRPr="000F22E7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C9C16" w14:textId="77777777" w:rsidR="00CA0D42" w:rsidRPr="000F22E7" w:rsidRDefault="00CA0D42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56C24B" w14:textId="00BBF025" w:rsidR="00C0068C" w:rsidRPr="000F22E7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F85B5C" w14:textId="77777777" w:rsidR="008F2696" w:rsidRPr="000F22E7" w:rsidRDefault="008F2696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686B05" w14:textId="77777777" w:rsidR="00C0068C" w:rsidRPr="000F22E7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61DD64" w14:textId="77777777" w:rsidR="000A4619" w:rsidRPr="000F22E7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0F22E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Kontakt:</w:t>
      </w:r>
    </w:p>
    <w:p w14:paraId="55772EE7" w14:textId="77777777" w:rsidR="000A4619" w:rsidRPr="000F22E7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584F2B22" w14:textId="77777777" w:rsidR="000A4619" w:rsidRPr="000F22E7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0F22E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INA-Industrija nafte, d.d.</w:t>
      </w:r>
    </w:p>
    <w:p w14:paraId="7036A1AC" w14:textId="77777777" w:rsidR="000A4619" w:rsidRPr="000F22E7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0F22E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Korporativne komunikacije i marketing</w:t>
      </w:r>
    </w:p>
    <w:p w14:paraId="7AE53A05" w14:textId="77777777" w:rsidR="000A4619" w:rsidRPr="000F22E7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0F22E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Avenija Većeslava Holjevca 10, Zagreb</w:t>
      </w:r>
    </w:p>
    <w:p w14:paraId="46EFB971" w14:textId="77777777" w:rsidR="000A4619" w:rsidRPr="000F22E7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7B978838" w14:textId="6B2667FC" w:rsidR="00906B86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0F22E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E-mail:  </w:t>
      </w:r>
      <w:hyperlink r:id="rId8" w:history="1">
        <w:r w:rsidR="00906B86" w:rsidRPr="00500082">
          <w:rPr>
            <w:rStyle w:val="Hyperlink"/>
            <w:rFonts w:asciiTheme="minorHAnsi" w:hAnsiTheme="minorHAnsi" w:cstheme="minorHAnsi"/>
            <w:sz w:val="20"/>
            <w:szCs w:val="20"/>
          </w:rPr>
          <w:t>PR@ina.hr</w:t>
        </w:r>
      </w:hyperlink>
    </w:p>
    <w:p w14:paraId="4830C631" w14:textId="77777777" w:rsidR="00C0068C" w:rsidRDefault="001F18DA" w:rsidP="000A4619">
      <w:pPr>
        <w:jc w:val="both"/>
        <w:rPr>
          <w:rFonts w:asciiTheme="minorHAnsi" w:hAnsiTheme="minorHAnsi" w:cstheme="minorHAnsi"/>
          <w:sz w:val="20"/>
          <w:szCs w:val="20"/>
        </w:rPr>
      </w:pPr>
      <w:hyperlink w:history="1">
        <w:r w:rsidR="00906B86" w:rsidRPr="00500082">
          <w:rPr>
            <w:rStyle w:val="Hyperlink"/>
            <w:rFonts w:asciiTheme="minorHAnsi" w:hAnsiTheme="minorHAnsi" w:cstheme="minorHAnsi"/>
            <w:sz w:val="20"/>
            <w:szCs w:val="20"/>
          </w:rPr>
          <w:t>Press centar</w:t>
        </w:r>
      </w:hyperlink>
      <w:r w:rsidR="00B35605" w:rsidRPr="000F22E7">
        <w:rPr>
          <w:rFonts w:asciiTheme="minorHAnsi" w:hAnsiTheme="minorHAnsi" w:cstheme="minorHAnsi"/>
          <w:sz w:val="20"/>
          <w:szCs w:val="20"/>
        </w:rPr>
        <w:t xml:space="preserve"> at </w:t>
      </w:r>
      <w:r w:rsidR="000A4619" w:rsidRPr="000F22E7">
        <w:rPr>
          <w:rFonts w:asciiTheme="minorHAnsi" w:hAnsiTheme="minorHAnsi" w:cstheme="minorHAnsi"/>
          <w:sz w:val="20"/>
          <w:szCs w:val="20"/>
        </w:rPr>
        <w:t>www.ina.hr</w:t>
      </w:r>
    </w:p>
    <w:p w14:paraId="5138ADAC" w14:textId="77777777" w:rsidR="00906B86" w:rsidRDefault="00906B86" w:rsidP="000A46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EABBD2" w14:textId="2B4A01ED" w:rsidR="00906B86" w:rsidRPr="000F22E7" w:rsidRDefault="00906B86" w:rsidP="000A4619">
      <w:pPr>
        <w:jc w:val="both"/>
        <w:rPr>
          <w:rFonts w:asciiTheme="minorHAnsi" w:hAnsiTheme="minorHAnsi" w:cstheme="minorHAnsi"/>
        </w:rPr>
        <w:sectPr w:rsidR="00906B86" w:rsidRPr="000F22E7" w:rsidSect="007E71F5">
          <w:headerReference w:type="default" r:id="rId9"/>
          <w:footerReference w:type="default" r:id="rId10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D345249" w14:textId="011BF1EE" w:rsidR="00C0068C" w:rsidRPr="000F22E7" w:rsidRDefault="00C0068C" w:rsidP="00C0068C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" w:name="OLE_LINK1"/>
    </w:p>
    <w:p w14:paraId="437F8F01" w14:textId="5E3B7D8A" w:rsidR="002D6798" w:rsidRDefault="003B3169" w:rsidP="00C0068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Inina f</w:t>
      </w:r>
      <w:r w:rsidRPr="003B3169">
        <w:rPr>
          <w:rFonts w:asciiTheme="minorHAnsi" w:hAnsiTheme="minorHAnsi" w:cstheme="minorHAnsi"/>
          <w:b/>
          <w:sz w:val="32"/>
          <w:szCs w:val="32"/>
        </w:rPr>
        <w:t>inancijska pozicija ostaje stabilna</w:t>
      </w:r>
      <w:r>
        <w:rPr>
          <w:rFonts w:asciiTheme="minorHAnsi" w:hAnsiTheme="minorHAnsi" w:cstheme="minorHAnsi"/>
          <w:b/>
          <w:sz w:val="32"/>
          <w:szCs w:val="32"/>
        </w:rPr>
        <w:t xml:space="preserve"> uz snažna ulaganja</w:t>
      </w:r>
    </w:p>
    <w:p w14:paraId="1BC44DFE" w14:textId="77777777" w:rsidR="003B3169" w:rsidRPr="000F22E7" w:rsidRDefault="003B3169" w:rsidP="00C0068C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09F193DA" w14:textId="1EA78B83" w:rsidR="00CD52C4" w:rsidRDefault="00CD52C4" w:rsidP="00EE47C3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0342C7">
        <w:rPr>
          <w:rFonts w:asciiTheme="minorHAnsi" w:hAnsiTheme="minorHAnsi" w:cstheme="minorHAnsi"/>
          <w:b/>
          <w:bCs/>
        </w:rPr>
        <w:t>Nakon burne 2022. i 2023. godine, početak 2024. godine donio je stabilnije vanjsko okruženje na tržištima nafte i plina. Inin rezultat u prvom tromjesečju 2024. godine snažniji je prvenstveno uslijed boljih veleprodajnih marža</w:t>
      </w:r>
      <w:r w:rsidR="00CA2045" w:rsidRPr="000342C7">
        <w:rPr>
          <w:rFonts w:asciiTheme="minorHAnsi" w:hAnsiTheme="minorHAnsi" w:cstheme="minorHAnsi"/>
          <w:b/>
          <w:bCs/>
        </w:rPr>
        <w:t xml:space="preserve"> i</w:t>
      </w:r>
      <w:r w:rsidRPr="000342C7">
        <w:rPr>
          <w:rFonts w:asciiTheme="minorHAnsi" w:hAnsiTheme="minorHAnsi" w:cstheme="minorHAnsi"/>
          <w:b/>
          <w:bCs/>
        </w:rPr>
        <w:t xml:space="preserve"> </w:t>
      </w:r>
      <w:r w:rsidR="00EF5462">
        <w:rPr>
          <w:rFonts w:asciiTheme="minorHAnsi" w:hAnsiTheme="minorHAnsi" w:cstheme="minorHAnsi"/>
          <w:b/>
          <w:bCs/>
        </w:rPr>
        <w:t>većih prodanih količina</w:t>
      </w:r>
      <w:r w:rsidRPr="000342C7">
        <w:rPr>
          <w:rFonts w:asciiTheme="minorHAnsi" w:hAnsiTheme="minorHAnsi" w:cstheme="minorHAnsi"/>
          <w:b/>
          <w:bCs/>
        </w:rPr>
        <w:t xml:space="preserve"> Maloprodaje. CCS EBITDA bez jednokratnih stavki INA Grupe iznosila je 64 milijuna eura u prvom tromjesečju 2024., dok je je neto dobit pozitivna u usporedbi s prvim tromjesečjem 2023. godine i iznosi 12 milijuna eura. </w:t>
      </w:r>
    </w:p>
    <w:p w14:paraId="3806965B" w14:textId="77777777" w:rsidR="000342C7" w:rsidRPr="000342C7" w:rsidRDefault="000342C7" w:rsidP="000342C7">
      <w:pPr>
        <w:pStyle w:val="ListParagraph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63819388" w14:textId="1C9FE2FB" w:rsidR="00CD52C4" w:rsidRDefault="00CD52C4" w:rsidP="00CD52C4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CD52C4">
        <w:rPr>
          <w:rFonts w:asciiTheme="minorHAnsi" w:hAnsiTheme="minorHAnsi" w:cstheme="minorHAnsi"/>
          <w:b/>
          <w:bCs/>
        </w:rPr>
        <w:t>EBITDA Istraživanja i proizvodnje nafte i plina niža je uslijed niže cijene plina i prirodnog pada proizvodnje te je iznosila 7</w:t>
      </w:r>
      <w:r w:rsidR="007C53A0">
        <w:rPr>
          <w:rFonts w:asciiTheme="minorHAnsi" w:hAnsiTheme="minorHAnsi" w:cstheme="minorHAnsi"/>
          <w:b/>
          <w:bCs/>
        </w:rPr>
        <w:t>3</w:t>
      </w:r>
      <w:r w:rsidRPr="00CD52C4">
        <w:rPr>
          <w:rFonts w:asciiTheme="minorHAnsi" w:hAnsiTheme="minorHAnsi" w:cstheme="minorHAnsi"/>
          <w:b/>
          <w:bCs/>
        </w:rPr>
        <w:t xml:space="preserve"> milijuna eura u prvom tromjesečju 2024. godine.</w:t>
      </w:r>
    </w:p>
    <w:p w14:paraId="0DFCDFD5" w14:textId="77777777" w:rsidR="00CD52C4" w:rsidRPr="00CD52C4" w:rsidRDefault="00CD52C4" w:rsidP="00CD52C4">
      <w:pPr>
        <w:pStyle w:val="ListParagraph"/>
        <w:rPr>
          <w:rFonts w:asciiTheme="minorHAnsi" w:hAnsiTheme="minorHAnsi" w:cstheme="minorHAnsi"/>
          <w:b/>
          <w:bCs/>
        </w:rPr>
      </w:pPr>
    </w:p>
    <w:p w14:paraId="48B316AD" w14:textId="3CD3681D" w:rsidR="000D1D97" w:rsidRDefault="00CD52C4" w:rsidP="00CD52C4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CD52C4">
        <w:rPr>
          <w:rFonts w:asciiTheme="minorHAnsi" w:hAnsiTheme="minorHAnsi" w:cstheme="minorHAnsi"/>
          <w:b/>
          <w:bCs/>
        </w:rPr>
        <w:t xml:space="preserve">Rezultat djelatnosti Rafinerija i marketinga uključujući Usluge kupcima i maloprodaju poboljšan je uglavnom uslijed spomenutih tržišnih trendova i boljih veleprodajnih marža. Tijekom </w:t>
      </w:r>
      <w:r w:rsidR="006152B2">
        <w:rPr>
          <w:rFonts w:asciiTheme="minorHAnsi" w:hAnsiTheme="minorHAnsi" w:cstheme="minorHAnsi"/>
          <w:b/>
          <w:bCs/>
        </w:rPr>
        <w:t xml:space="preserve">planiranog </w:t>
      </w:r>
      <w:r w:rsidRPr="00CD52C4">
        <w:rPr>
          <w:rFonts w:asciiTheme="minorHAnsi" w:hAnsiTheme="minorHAnsi" w:cstheme="minorHAnsi"/>
          <w:b/>
          <w:bCs/>
        </w:rPr>
        <w:t xml:space="preserve">remonta </w:t>
      </w:r>
      <w:r w:rsidR="006152B2">
        <w:rPr>
          <w:rFonts w:asciiTheme="minorHAnsi" w:hAnsiTheme="minorHAnsi" w:cstheme="minorHAnsi"/>
          <w:b/>
          <w:bCs/>
        </w:rPr>
        <w:t>u Rafineriji nafte Rijeka</w:t>
      </w:r>
      <w:r w:rsidRPr="00CD52C4">
        <w:rPr>
          <w:rFonts w:asciiTheme="minorHAnsi" w:hAnsiTheme="minorHAnsi" w:cstheme="minorHAnsi"/>
          <w:b/>
          <w:bCs/>
        </w:rPr>
        <w:t xml:space="preserve"> tržište se opskrbljivalo iz uvoza te je ukupna prodaja porasla za devet posto. </w:t>
      </w:r>
    </w:p>
    <w:p w14:paraId="1979CEF4" w14:textId="77777777" w:rsidR="000D1D97" w:rsidRPr="000D1D97" w:rsidRDefault="000D1D97" w:rsidP="000D1D97">
      <w:pPr>
        <w:pStyle w:val="ListParagraph"/>
        <w:rPr>
          <w:rFonts w:asciiTheme="minorHAnsi" w:hAnsiTheme="minorHAnsi" w:cstheme="minorHAnsi"/>
          <w:b/>
          <w:bCs/>
        </w:rPr>
      </w:pPr>
    </w:p>
    <w:p w14:paraId="232086B2" w14:textId="19E4DA33" w:rsidR="00CD52C4" w:rsidRDefault="00CD52C4" w:rsidP="009A28A2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251C6A">
        <w:rPr>
          <w:rFonts w:asciiTheme="minorHAnsi" w:hAnsiTheme="minorHAnsi" w:cstheme="minorHAnsi"/>
          <w:b/>
          <w:bCs/>
        </w:rPr>
        <w:t xml:space="preserve">Prodane količine Usluga kupcima i maloprodaje povećane su 13 % u usporedbi s prvim tromjesečjem 2023. godine, uglavnom uslijed više realizacije na domaćem tržištu i pozitivnim tržišnim kretanjima. </w:t>
      </w:r>
      <w:r w:rsidR="00106B08" w:rsidRPr="00251C6A">
        <w:rPr>
          <w:rFonts w:asciiTheme="minorHAnsi" w:hAnsiTheme="minorHAnsi" w:cstheme="minorHAnsi"/>
          <w:b/>
          <w:bCs/>
        </w:rPr>
        <w:t>M</w:t>
      </w:r>
      <w:r w:rsidRPr="00251C6A">
        <w:rPr>
          <w:rFonts w:asciiTheme="minorHAnsi" w:hAnsiTheme="minorHAnsi" w:cstheme="minorHAnsi"/>
          <w:b/>
          <w:bCs/>
        </w:rPr>
        <w:t xml:space="preserve">arža ne-goriva nastavila je rast s povećanjem od 44 %. </w:t>
      </w:r>
    </w:p>
    <w:p w14:paraId="12B7B9F0" w14:textId="77777777" w:rsidR="00251C6A" w:rsidRPr="00251C6A" w:rsidRDefault="00251C6A" w:rsidP="00251C6A">
      <w:pPr>
        <w:pStyle w:val="ListParagraph"/>
        <w:rPr>
          <w:rFonts w:asciiTheme="minorHAnsi" w:hAnsiTheme="minorHAnsi" w:cstheme="minorHAnsi"/>
          <w:b/>
          <w:bCs/>
        </w:rPr>
      </w:pPr>
    </w:p>
    <w:p w14:paraId="60023430" w14:textId="694F0048" w:rsidR="00831162" w:rsidRPr="00831162" w:rsidRDefault="00CD52C4" w:rsidP="00CD52C4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</w:rPr>
      </w:pPr>
      <w:r w:rsidRPr="00CD52C4">
        <w:rPr>
          <w:rFonts w:asciiTheme="minorHAnsi" w:hAnsiTheme="minorHAnsi" w:cstheme="minorHAnsi"/>
          <w:b/>
          <w:bCs/>
        </w:rPr>
        <w:t>Ukupna kapitalna ulaganja iznosila su 10</w:t>
      </w:r>
      <w:r w:rsidR="0090340A">
        <w:rPr>
          <w:rFonts w:asciiTheme="minorHAnsi" w:hAnsiTheme="minorHAnsi" w:cstheme="minorHAnsi"/>
          <w:b/>
          <w:bCs/>
        </w:rPr>
        <w:t>1</w:t>
      </w:r>
      <w:r w:rsidRPr="00CD52C4">
        <w:rPr>
          <w:rFonts w:asciiTheme="minorHAnsi" w:hAnsiTheme="minorHAnsi" w:cstheme="minorHAnsi"/>
          <w:b/>
          <w:bCs/>
        </w:rPr>
        <w:t xml:space="preserve"> milijun eura, otprilike dvostruko više u odnosu na prvo tromjesečje 2023. godine, pri čemu je rafinerijsko poslovanje najviše doprinijelo ulaganjima. Rafinerija nafte Rijeka uspješno je završila remont dok je Projekt nadogradnje Rafinerija nafte Rijeka dosegnuo 87 % ukupne dovršenosti, pri čemu se ostali projekti unaprjeđenja učinkovitosti odvijaju po planu. </w:t>
      </w:r>
    </w:p>
    <w:p w14:paraId="4F990515" w14:textId="77777777" w:rsidR="00831162" w:rsidRPr="00831162" w:rsidRDefault="00831162" w:rsidP="00831162">
      <w:pPr>
        <w:pStyle w:val="ListParagraph"/>
        <w:rPr>
          <w:rFonts w:asciiTheme="minorHAnsi" w:hAnsiTheme="minorHAnsi" w:cstheme="minorHAnsi"/>
          <w:b/>
          <w:bCs/>
        </w:rPr>
      </w:pPr>
    </w:p>
    <w:p w14:paraId="5EBB4435" w14:textId="028FC195" w:rsidR="006B6DC9" w:rsidRPr="00D80DB1" w:rsidRDefault="00CD52C4" w:rsidP="00CD52C4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</w:rPr>
      </w:pPr>
      <w:r w:rsidRPr="00CD52C4">
        <w:rPr>
          <w:rFonts w:asciiTheme="minorHAnsi" w:hAnsiTheme="minorHAnsi" w:cstheme="minorHAnsi"/>
          <w:b/>
          <w:bCs/>
        </w:rPr>
        <w:t>Financijska pozicija kompanije ostaje stabilna s neto dugom od 425 milijuna eura i omjerom duga i kapitala od 20 %.</w:t>
      </w:r>
    </w:p>
    <w:p w14:paraId="135AE11F" w14:textId="77777777" w:rsidR="000B0FA6" w:rsidRDefault="000B0FA6" w:rsidP="000B0FA6">
      <w:pPr>
        <w:pStyle w:val="ListParagraph"/>
        <w:spacing w:after="120"/>
        <w:jc w:val="both"/>
        <w:rPr>
          <w:rFonts w:asciiTheme="minorHAnsi" w:hAnsiTheme="minorHAnsi" w:cstheme="minorHAnsi"/>
          <w:b/>
        </w:rPr>
      </w:pPr>
    </w:p>
    <w:p w14:paraId="123AA7C6" w14:textId="7D580B7A" w:rsidR="00C0068C" w:rsidRPr="000F22E7" w:rsidRDefault="0028546A" w:rsidP="00F848DD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0F22E7">
        <w:rPr>
          <w:rFonts w:asciiTheme="minorHAnsi" w:hAnsiTheme="minorHAnsi" w:cstheme="minorHAnsi"/>
          <w:b/>
        </w:rPr>
        <w:t>Ključn</w:t>
      </w:r>
      <w:r w:rsidR="00886BC9" w:rsidRPr="000F22E7">
        <w:rPr>
          <w:rFonts w:asciiTheme="minorHAnsi" w:hAnsiTheme="minorHAnsi" w:cstheme="minorHAnsi"/>
          <w:b/>
        </w:rPr>
        <w:t>i podaci</w:t>
      </w:r>
      <w:r w:rsidR="00C0068C" w:rsidRPr="000F22E7">
        <w:rPr>
          <w:rFonts w:asciiTheme="minorHAnsi" w:hAnsiTheme="minorHAnsi" w:cstheme="minorHAnsi"/>
          <w:b/>
        </w:rPr>
        <w:t>:</w:t>
      </w:r>
    </w:p>
    <w:p w14:paraId="6F4302D6" w14:textId="5A73B426" w:rsidR="00C0068C" w:rsidRPr="000F22E7" w:rsidRDefault="00C0068C" w:rsidP="00C006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F22E7">
        <w:rPr>
          <w:rFonts w:asciiTheme="minorHAnsi" w:hAnsiTheme="minorHAnsi" w:cstheme="minorHAnsi"/>
          <w:b/>
          <w:bCs/>
        </w:rPr>
        <w:t>Net</w:t>
      </w:r>
      <w:r w:rsidR="0028546A" w:rsidRPr="000F22E7">
        <w:rPr>
          <w:rFonts w:asciiTheme="minorHAnsi" w:hAnsiTheme="minorHAnsi" w:cstheme="minorHAnsi"/>
          <w:b/>
          <w:bCs/>
        </w:rPr>
        <w:t>o prihod od prodaje iznosio je</w:t>
      </w:r>
      <w:r w:rsidRPr="000F22E7">
        <w:rPr>
          <w:rFonts w:asciiTheme="minorHAnsi" w:hAnsiTheme="minorHAnsi" w:cstheme="minorHAnsi"/>
          <w:b/>
          <w:bCs/>
        </w:rPr>
        <w:t xml:space="preserve"> </w:t>
      </w:r>
      <w:r w:rsidR="00517FDF">
        <w:rPr>
          <w:rFonts w:asciiTheme="minorHAnsi" w:hAnsiTheme="minorHAnsi" w:cstheme="minorHAnsi"/>
          <w:b/>
          <w:bCs/>
        </w:rPr>
        <w:t>801</w:t>
      </w:r>
      <w:r w:rsidR="00DE5854">
        <w:rPr>
          <w:rFonts w:asciiTheme="minorHAnsi" w:hAnsiTheme="minorHAnsi" w:cstheme="minorHAnsi"/>
          <w:b/>
          <w:bCs/>
        </w:rPr>
        <w:t>,8 milijuna eura</w:t>
      </w:r>
    </w:p>
    <w:p w14:paraId="24E534B6" w14:textId="31EFB2E6" w:rsidR="005B3C95" w:rsidRPr="000F22E7" w:rsidRDefault="00820ED8" w:rsidP="00C006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CCS </w:t>
      </w:r>
      <w:r w:rsidR="002C08C0" w:rsidRPr="000F22E7">
        <w:rPr>
          <w:rFonts w:asciiTheme="minorHAnsi" w:hAnsiTheme="minorHAnsi" w:cstheme="minorHAnsi"/>
          <w:b/>
          <w:bCs/>
        </w:rPr>
        <w:t>EBIT</w:t>
      </w:r>
      <w:r w:rsidR="00C0068C" w:rsidRPr="000F22E7">
        <w:rPr>
          <w:rFonts w:asciiTheme="minorHAnsi" w:hAnsiTheme="minorHAnsi" w:cstheme="minorHAnsi"/>
          <w:b/>
          <w:bCs/>
        </w:rPr>
        <w:t xml:space="preserve">DA </w:t>
      </w:r>
      <w:r w:rsidR="005B3C95" w:rsidRPr="000F22E7">
        <w:rPr>
          <w:rFonts w:asciiTheme="minorHAnsi" w:hAnsiTheme="minorHAnsi" w:cstheme="minorHAnsi"/>
          <w:b/>
          <w:bCs/>
        </w:rPr>
        <w:t xml:space="preserve">iznosila </w:t>
      </w:r>
      <w:r>
        <w:rPr>
          <w:rFonts w:asciiTheme="minorHAnsi" w:hAnsiTheme="minorHAnsi" w:cstheme="minorHAnsi"/>
          <w:b/>
          <w:bCs/>
        </w:rPr>
        <w:t xml:space="preserve">je </w:t>
      </w:r>
      <w:r w:rsidR="00EC1908">
        <w:rPr>
          <w:rFonts w:asciiTheme="minorHAnsi" w:hAnsiTheme="minorHAnsi" w:cstheme="minorHAnsi"/>
          <w:b/>
          <w:bCs/>
        </w:rPr>
        <w:t>6</w:t>
      </w:r>
      <w:r w:rsidR="00DE5854">
        <w:rPr>
          <w:rFonts w:asciiTheme="minorHAnsi" w:hAnsiTheme="minorHAnsi" w:cstheme="minorHAnsi"/>
          <w:b/>
          <w:bCs/>
        </w:rPr>
        <w:t>3,</w:t>
      </w:r>
      <w:r w:rsidR="00EC1908">
        <w:rPr>
          <w:rFonts w:asciiTheme="minorHAnsi" w:hAnsiTheme="minorHAnsi" w:cstheme="minorHAnsi"/>
          <w:b/>
          <w:bCs/>
        </w:rPr>
        <w:t>7</w:t>
      </w:r>
      <w:r w:rsidR="00DE5854">
        <w:rPr>
          <w:rFonts w:asciiTheme="minorHAnsi" w:hAnsiTheme="minorHAnsi" w:cstheme="minorHAnsi"/>
          <w:b/>
          <w:bCs/>
        </w:rPr>
        <w:t xml:space="preserve"> milijuna eura</w:t>
      </w:r>
    </w:p>
    <w:p w14:paraId="501DF37A" w14:textId="16CAB202" w:rsidR="00B05CB1" w:rsidRPr="000F22E7" w:rsidRDefault="005B3C95" w:rsidP="000F0BD0">
      <w:pPr>
        <w:pStyle w:val="ListParagraph"/>
        <w:numPr>
          <w:ilvl w:val="0"/>
          <w:numId w:val="1"/>
        </w:numPr>
        <w:ind w:left="1775" w:hanging="357"/>
        <w:jc w:val="both"/>
        <w:rPr>
          <w:rFonts w:asciiTheme="minorHAnsi" w:hAnsiTheme="minorHAnsi" w:cstheme="minorHAnsi"/>
          <w:b/>
        </w:rPr>
      </w:pPr>
      <w:r w:rsidRPr="000F22E7">
        <w:rPr>
          <w:rFonts w:asciiTheme="minorHAnsi" w:hAnsiTheme="minorHAnsi" w:cstheme="minorHAnsi"/>
          <w:b/>
          <w:bCs/>
        </w:rPr>
        <w:t xml:space="preserve">Kapitalna ulaganja </w:t>
      </w:r>
      <w:r w:rsidR="001D66A1">
        <w:rPr>
          <w:rFonts w:asciiTheme="minorHAnsi" w:hAnsiTheme="minorHAnsi" w:cstheme="minorHAnsi"/>
          <w:b/>
          <w:bCs/>
        </w:rPr>
        <w:t xml:space="preserve">iznosila su </w:t>
      </w:r>
      <w:r w:rsidR="00C12C08">
        <w:rPr>
          <w:rFonts w:asciiTheme="minorHAnsi" w:hAnsiTheme="minorHAnsi" w:cstheme="minorHAnsi"/>
          <w:b/>
          <w:bCs/>
        </w:rPr>
        <w:t>101,</w:t>
      </w:r>
      <w:r w:rsidR="00F328E2">
        <w:rPr>
          <w:rFonts w:asciiTheme="minorHAnsi" w:hAnsiTheme="minorHAnsi" w:cstheme="minorHAnsi"/>
          <w:b/>
          <w:bCs/>
        </w:rPr>
        <w:t>4</w:t>
      </w:r>
      <w:r w:rsidR="001D66A1">
        <w:rPr>
          <w:rFonts w:asciiTheme="minorHAnsi" w:hAnsiTheme="minorHAnsi" w:cstheme="minorHAnsi"/>
          <w:b/>
          <w:bCs/>
        </w:rPr>
        <w:t xml:space="preserve"> milijuna eura</w:t>
      </w:r>
    </w:p>
    <w:p w14:paraId="4B5C2864" w14:textId="24DC37D3" w:rsidR="00DB2CEC" w:rsidRPr="00DB2CEC" w:rsidRDefault="00DC5BEF" w:rsidP="00DB2C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F22E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Zagreb, </w:t>
      </w:r>
      <w:r w:rsidR="00F16A9A">
        <w:rPr>
          <w:rFonts w:asciiTheme="minorHAnsi" w:hAnsiTheme="minorHAnsi" w:cstheme="minorHAnsi"/>
          <w:b/>
          <w:sz w:val="22"/>
          <w:szCs w:val="22"/>
        </w:rPr>
        <w:t>2</w:t>
      </w:r>
      <w:r w:rsidR="0007126D">
        <w:rPr>
          <w:rFonts w:asciiTheme="minorHAnsi" w:hAnsiTheme="minorHAnsi" w:cstheme="minorHAnsi"/>
          <w:b/>
          <w:sz w:val="22"/>
          <w:szCs w:val="22"/>
        </w:rPr>
        <w:t>5</w:t>
      </w:r>
      <w:r w:rsidRPr="000F22E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16A9A">
        <w:rPr>
          <w:rFonts w:asciiTheme="minorHAnsi" w:hAnsiTheme="minorHAnsi" w:cstheme="minorHAnsi"/>
          <w:b/>
          <w:sz w:val="22"/>
          <w:szCs w:val="22"/>
        </w:rPr>
        <w:t xml:space="preserve">travnja </w:t>
      </w:r>
      <w:r w:rsidR="00C95700" w:rsidRPr="000F22E7">
        <w:rPr>
          <w:rFonts w:asciiTheme="minorHAnsi" w:hAnsiTheme="minorHAnsi" w:cstheme="minorHAnsi"/>
          <w:b/>
          <w:sz w:val="22"/>
          <w:szCs w:val="22"/>
        </w:rPr>
        <w:t>2</w:t>
      </w:r>
      <w:r w:rsidRPr="000F22E7">
        <w:rPr>
          <w:rFonts w:asciiTheme="minorHAnsi" w:hAnsiTheme="minorHAnsi" w:cstheme="minorHAnsi"/>
          <w:b/>
          <w:sz w:val="22"/>
          <w:szCs w:val="22"/>
        </w:rPr>
        <w:t>02</w:t>
      </w:r>
      <w:r w:rsidR="0007126D">
        <w:rPr>
          <w:rFonts w:asciiTheme="minorHAnsi" w:hAnsiTheme="minorHAnsi" w:cstheme="minorHAnsi"/>
          <w:b/>
          <w:sz w:val="22"/>
          <w:szCs w:val="22"/>
        </w:rPr>
        <w:t>4</w:t>
      </w:r>
      <w:r w:rsidRPr="000F22E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B2CEC">
        <w:rPr>
          <w:rFonts w:asciiTheme="minorHAnsi" w:hAnsiTheme="minorHAnsi" w:cstheme="minorHAnsi"/>
          <w:bCs/>
          <w:sz w:val="22"/>
          <w:szCs w:val="22"/>
        </w:rPr>
        <w:t>–</w:t>
      </w:r>
      <w:r w:rsidR="00DB2CEC" w:rsidRPr="00DB2C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2CEC" w:rsidRPr="00DB2CEC">
        <w:rPr>
          <w:rFonts w:asciiTheme="minorHAnsi" w:hAnsiTheme="minorHAnsi" w:cstheme="minorHAnsi"/>
          <w:sz w:val="22"/>
          <w:szCs w:val="22"/>
        </w:rPr>
        <w:t xml:space="preserve">Nakon burne 2022. i 2023. godine, početak 2024. godine </w:t>
      </w:r>
      <w:r w:rsidR="001E3CA9">
        <w:rPr>
          <w:rFonts w:asciiTheme="minorHAnsi" w:hAnsiTheme="minorHAnsi" w:cstheme="minorHAnsi"/>
          <w:sz w:val="22"/>
          <w:szCs w:val="22"/>
        </w:rPr>
        <w:t>donio je</w:t>
      </w:r>
      <w:r w:rsidR="00DB2CEC" w:rsidRPr="00DB2CEC">
        <w:rPr>
          <w:rFonts w:asciiTheme="minorHAnsi" w:hAnsiTheme="minorHAnsi" w:cstheme="minorHAnsi"/>
          <w:sz w:val="22"/>
          <w:szCs w:val="22"/>
        </w:rPr>
        <w:t xml:space="preserve"> stabilnije vanjsko okruženje na tržištima nafte i plina. Inin rezultat u prvom tromjesečju 2024. godine snažniji je prvenstveno uslijed boljih veleprodajnih marž</w:t>
      </w:r>
      <w:r w:rsidR="001E3CA9">
        <w:rPr>
          <w:rFonts w:asciiTheme="minorHAnsi" w:hAnsiTheme="minorHAnsi" w:cstheme="minorHAnsi"/>
          <w:sz w:val="22"/>
          <w:szCs w:val="22"/>
        </w:rPr>
        <w:t>a</w:t>
      </w:r>
      <w:r w:rsidR="00DB2CEC" w:rsidRPr="00DB2CEC">
        <w:rPr>
          <w:rFonts w:asciiTheme="minorHAnsi" w:hAnsiTheme="minorHAnsi" w:cstheme="minorHAnsi"/>
          <w:sz w:val="22"/>
          <w:szCs w:val="22"/>
        </w:rPr>
        <w:t xml:space="preserve">, što zajedno s boljim rezultatom Maloprodaje doprinosi boljem ukupnom rezultatu. CCS EBITDA bez jednokratnih stavki INA Grupe iznosila je 64 milijuna eura u prvom tromjesečju 2024., dok je je neto dobit pozitivna u usporedbi s prvim tromjesečjem 2023. godine i iznosi 12 milijuna eura. Ove brojke pokazuju godišnju sezonalnost, gdje prvo tromjesečje obično ne doprinosi jednako cjelogodišnjem rezultatu u odnosu na ostala tromjesečja. </w:t>
      </w:r>
    </w:p>
    <w:p w14:paraId="29865B52" w14:textId="791BC71F" w:rsidR="00DB2CEC" w:rsidRPr="00DB2CEC" w:rsidRDefault="00DB2CEC" w:rsidP="00DB2C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B2CEC">
        <w:rPr>
          <w:rFonts w:asciiTheme="minorHAnsi" w:hAnsiTheme="minorHAnsi" w:cstheme="minorHAnsi"/>
          <w:sz w:val="22"/>
          <w:szCs w:val="22"/>
        </w:rPr>
        <w:t>EBITDA Istraživanja i proizvodnje nafte i plina niža je uslijed niže cijene plina i prirodnog pada proizvodnje te je iznosila 7</w:t>
      </w:r>
      <w:r w:rsidR="0014130E">
        <w:rPr>
          <w:rFonts w:asciiTheme="minorHAnsi" w:hAnsiTheme="minorHAnsi" w:cstheme="minorHAnsi"/>
          <w:sz w:val="22"/>
          <w:szCs w:val="22"/>
        </w:rPr>
        <w:t>3</w:t>
      </w:r>
      <w:r w:rsidRPr="00DB2CEC">
        <w:rPr>
          <w:rFonts w:asciiTheme="minorHAnsi" w:hAnsiTheme="minorHAnsi" w:cstheme="minorHAnsi"/>
          <w:sz w:val="22"/>
          <w:szCs w:val="22"/>
        </w:rPr>
        <w:t xml:space="preserve"> milijuna eura u prvom tromjesečju 2024. godine. Proizvodnja je </w:t>
      </w:r>
      <w:r w:rsidR="00335EC2">
        <w:rPr>
          <w:rFonts w:asciiTheme="minorHAnsi" w:hAnsiTheme="minorHAnsi" w:cstheme="minorHAnsi"/>
          <w:sz w:val="22"/>
          <w:szCs w:val="22"/>
        </w:rPr>
        <w:t>osam posto</w:t>
      </w:r>
      <w:r w:rsidRPr="00DB2CEC">
        <w:rPr>
          <w:rFonts w:asciiTheme="minorHAnsi" w:hAnsiTheme="minorHAnsi" w:cstheme="minorHAnsi"/>
          <w:sz w:val="22"/>
          <w:szCs w:val="22"/>
        </w:rPr>
        <w:t xml:space="preserve"> </w:t>
      </w:r>
      <w:r w:rsidR="00946206">
        <w:rPr>
          <w:rFonts w:asciiTheme="minorHAnsi" w:hAnsiTheme="minorHAnsi" w:cstheme="minorHAnsi"/>
          <w:sz w:val="22"/>
          <w:szCs w:val="22"/>
        </w:rPr>
        <w:t xml:space="preserve">niža </w:t>
      </w:r>
      <w:r w:rsidRPr="00DB2CEC">
        <w:rPr>
          <w:rFonts w:asciiTheme="minorHAnsi" w:hAnsiTheme="minorHAnsi" w:cstheme="minorHAnsi"/>
          <w:sz w:val="22"/>
          <w:szCs w:val="22"/>
        </w:rPr>
        <w:t>na godišnjoj razini u skladu s prirodnim padom proizvodnje</w:t>
      </w:r>
      <w:r w:rsidR="00A74A6A">
        <w:rPr>
          <w:rFonts w:asciiTheme="minorHAnsi" w:hAnsiTheme="minorHAnsi" w:cstheme="minorHAnsi"/>
          <w:sz w:val="22"/>
          <w:szCs w:val="22"/>
        </w:rPr>
        <w:t xml:space="preserve"> i</w:t>
      </w:r>
      <w:r w:rsidRPr="00DB2CEC">
        <w:rPr>
          <w:rFonts w:asciiTheme="minorHAnsi" w:hAnsiTheme="minorHAnsi" w:cstheme="minorHAnsi"/>
          <w:sz w:val="22"/>
          <w:szCs w:val="22"/>
        </w:rPr>
        <w:t xml:space="preserve"> zavodnjavanjima na glavnim plinskim poljima, iako je proizvodnja u Egiptu veća potaknuta novom koncesijom East Damanhur. </w:t>
      </w:r>
    </w:p>
    <w:p w14:paraId="226A2E36" w14:textId="10CD74D4" w:rsidR="00DB2CEC" w:rsidRPr="00DB2CEC" w:rsidRDefault="00DB2CEC" w:rsidP="00DB2C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B2CEC">
        <w:rPr>
          <w:rFonts w:asciiTheme="minorHAnsi" w:hAnsiTheme="minorHAnsi" w:cstheme="minorHAnsi"/>
          <w:sz w:val="22"/>
          <w:szCs w:val="22"/>
        </w:rPr>
        <w:t>Rezultat djelatnosti Rafinerija i marketinga uključujući Usluge kupcima i maloprodaju poboljšan je uglavnom uslijed spomenutih tržišnih trendova i boljih veleprodajnih marž</w:t>
      </w:r>
      <w:r w:rsidR="00A74A6A">
        <w:rPr>
          <w:rFonts w:asciiTheme="minorHAnsi" w:hAnsiTheme="minorHAnsi" w:cstheme="minorHAnsi"/>
          <w:sz w:val="22"/>
          <w:szCs w:val="22"/>
        </w:rPr>
        <w:t>a</w:t>
      </w:r>
      <w:r w:rsidRPr="00DB2CEC">
        <w:rPr>
          <w:rFonts w:asciiTheme="minorHAnsi" w:hAnsiTheme="minorHAnsi" w:cstheme="minorHAnsi"/>
          <w:sz w:val="22"/>
          <w:szCs w:val="22"/>
        </w:rPr>
        <w:t xml:space="preserve">. </w:t>
      </w:r>
      <w:r w:rsidR="009D0351" w:rsidRPr="009D0351">
        <w:rPr>
          <w:rFonts w:asciiTheme="minorHAnsi" w:hAnsiTheme="minorHAnsi" w:cstheme="minorHAnsi"/>
          <w:sz w:val="22"/>
          <w:szCs w:val="22"/>
        </w:rPr>
        <w:t xml:space="preserve">Tijekom </w:t>
      </w:r>
      <w:r w:rsidR="006152B2">
        <w:rPr>
          <w:rFonts w:asciiTheme="minorHAnsi" w:hAnsiTheme="minorHAnsi" w:cstheme="minorHAnsi"/>
          <w:sz w:val="22"/>
          <w:szCs w:val="22"/>
        </w:rPr>
        <w:t xml:space="preserve">planiranog </w:t>
      </w:r>
      <w:r w:rsidR="009D0351">
        <w:rPr>
          <w:rFonts w:asciiTheme="minorHAnsi" w:hAnsiTheme="minorHAnsi" w:cstheme="minorHAnsi"/>
          <w:sz w:val="22"/>
          <w:szCs w:val="22"/>
        </w:rPr>
        <w:t>remonta</w:t>
      </w:r>
      <w:r w:rsidR="009D0351" w:rsidRPr="009D0351">
        <w:rPr>
          <w:rFonts w:asciiTheme="minorHAnsi" w:hAnsiTheme="minorHAnsi" w:cstheme="minorHAnsi"/>
          <w:sz w:val="22"/>
          <w:szCs w:val="22"/>
        </w:rPr>
        <w:t xml:space="preserve"> </w:t>
      </w:r>
      <w:r w:rsidR="006152B2">
        <w:rPr>
          <w:rFonts w:asciiTheme="minorHAnsi" w:hAnsiTheme="minorHAnsi" w:cstheme="minorHAnsi"/>
          <w:sz w:val="22"/>
          <w:szCs w:val="22"/>
        </w:rPr>
        <w:t>u Rafineriji nafte Rijeka</w:t>
      </w:r>
      <w:r w:rsidR="009D0351" w:rsidRPr="009D0351">
        <w:rPr>
          <w:rFonts w:asciiTheme="minorHAnsi" w:hAnsiTheme="minorHAnsi" w:cstheme="minorHAnsi"/>
          <w:sz w:val="22"/>
          <w:szCs w:val="22"/>
        </w:rPr>
        <w:t xml:space="preserve"> tržište se opskrbljivalo iz uvoza te je ukupna prodaja porasla za </w:t>
      </w:r>
      <w:r w:rsidR="00335EC2">
        <w:rPr>
          <w:rFonts w:asciiTheme="minorHAnsi" w:hAnsiTheme="minorHAnsi" w:cstheme="minorHAnsi"/>
          <w:sz w:val="22"/>
          <w:szCs w:val="22"/>
        </w:rPr>
        <w:t>devet posto</w:t>
      </w:r>
      <w:r w:rsidR="009D0351" w:rsidRPr="009D0351">
        <w:rPr>
          <w:rFonts w:asciiTheme="minorHAnsi" w:hAnsiTheme="minorHAnsi" w:cstheme="minorHAnsi"/>
          <w:sz w:val="22"/>
          <w:szCs w:val="22"/>
        </w:rPr>
        <w:t>.</w:t>
      </w:r>
      <w:r w:rsidR="009D0351">
        <w:rPr>
          <w:rFonts w:asciiTheme="minorHAnsi" w:hAnsiTheme="minorHAnsi" w:cstheme="minorHAnsi"/>
          <w:sz w:val="22"/>
          <w:szCs w:val="22"/>
        </w:rPr>
        <w:t xml:space="preserve"> </w:t>
      </w:r>
      <w:r w:rsidRPr="00DB2CEC">
        <w:rPr>
          <w:rFonts w:asciiTheme="minorHAnsi" w:hAnsiTheme="minorHAnsi" w:cstheme="minorHAnsi"/>
          <w:sz w:val="22"/>
          <w:szCs w:val="22"/>
        </w:rPr>
        <w:t>Prodane količine Usluga kupcima i maloprodaje povećane su 13</w:t>
      </w:r>
      <w:r w:rsidR="009D0351">
        <w:rPr>
          <w:rFonts w:asciiTheme="minorHAnsi" w:hAnsiTheme="minorHAnsi" w:cstheme="minorHAnsi"/>
          <w:sz w:val="22"/>
          <w:szCs w:val="22"/>
        </w:rPr>
        <w:t xml:space="preserve"> </w:t>
      </w:r>
      <w:r w:rsidRPr="00DB2CEC">
        <w:rPr>
          <w:rFonts w:asciiTheme="minorHAnsi" w:hAnsiTheme="minorHAnsi" w:cstheme="minorHAnsi"/>
          <w:sz w:val="22"/>
          <w:szCs w:val="22"/>
        </w:rPr>
        <w:t>% u usporedbi s prvim tromjesečjem 2023. godine, uglavnom uslijed više realizacije na domaćem tržištu i pozitivnim tržišnim kretanjima. Osim prodaje goriva, marža ne-goriva nastavila je rast s povećanjem od 44</w:t>
      </w:r>
      <w:r w:rsidR="009D0351">
        <w:rPr>
          <w:rFonts w:asciiTheme="minorHAnsi" w:hAnsiTheme="minorHAnsi" w:cstheme="minorHAnsi"/>
          <w:sz w:val="22"/>
          <w:szCs w:val="22"/>
        </w:rPr>
        <w:t xml:space="preserve"> </w:t>
      </w:r>
      <w:r w:rsidRPr="00DB2CEC">
        <w:rPr>
          <w:rFonts w:asciiTheme="minorHAnsi" w:hAnsiTheme="minorHAnsi" w:cstheme="minorHAnsi"/>
          <w:sz w:val="22"/>
          <w:szCs w:val="22"/>
        </w:rPr>
        <w:t>%. Pojednostavljeni novčani tok djelatnosti ostao je negativan u iznosu od (68) milijuna eura u prvom tromjesečju 2024. godine, u skladu s pojačanim ulaganjima od 8</w:t>
      </w:r>
      <w:r w:rsidR="00920F33">
        <w:rPr>
          <w:rFonts w:asciiTheme="minorHAnsi" w:hAnsiTheme="minorHAnsi" w:cstheme="minorHAnsi"/>
          <w:sz w:val="22"/>
          <w:szCs w:val="22"/>
        </w:rPr>
        <w:t>4</w:t>
      </w:r>
      <w:r w:rsidRPr="00DB2CEC">
        <w:rPr>
          <w:rFonts w:asciiTheme="minorHAnsi" w:hAnsiTheme="minorHAnsi" w:cstheme="minorHAnsi"/>
          <w:sz w:val="22"/>
          <w:szCs w:val="22"/>
        </w:rPr>
        <w:t xml:space="preserve"> milijuna eura samo u prvom tromjesečju 2024.</w:t>
      </w:r>
    </w:p>
    <w:p w14:paraId="734E6049" w14:textId="5A7F9908" w:rsidR="006F6090" w:rsidRDefault="00DB2CEC" w:rsidP="00DB2C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B2CEC">
        <w:rPr>
          <w:rFonts w:asciiTheme="minorHAnsi" w:hAnsiTheme="minorHAnsi" w:cstheme="minorHAnsi"/>
          <w:sz w:val="22"/>
          <w:szCs w:val="22"/>
        </w:rPr>
        <w:t>Ukupna kapitalna ulaganja iznosila su 10</w:t>
      </w:r>
      <w:r w:rsidR="000D18DF">
        <w:rPr>
          <w:rFonts w:asciiTheme="minorHAnsi" w:hAnsiTheme="minorHAnsi" w:cstheme="minorHAnsi"/>
          <w:sz w:val="22"/>
          <w:szCs w:val="22"/>
        </w:rPr>
        <w:t>1</w:t>
      </w:r>
      <w:r w:rsidRPr="00DB2CEC">
        <w:rPr>
          <w:rFonts w:asciiTheme="minorHAnsi" w:hAnsiTheme="minorHAnsi" w:cstheme="minorHAnsi"/>
          <w:sz w:val="22"/>
          <w:szCs w:val="22"/>
        </w:rPr>
        <w:t xml:space="preserve"> milijun eura, otprilike dvostruko više u odnosu na prvo tromjesečje 2023. godine, pri čemu je rafinerijsko poslovanje najviše doprinijelo ulaganjima. Rafinerija nafte Rijeka uspješno je završila remont dok je Projekt nadogradnje Rafinerija nafte Rijeka dosegnuo 87</w:t>
      </w:r>
      <w:r w:rsidR="00335EC2">
        <w:rPr>
          <w:rFonts w:asciiTheme="minorHAnsi" w:hAnsiTheme="minorHAnsi" w:cstheme="minorHAnsi"/>
          <w:sz w:val="22"/>
          <w:szCs w:val="22"/>
        </w:rPr>
        <w:t xml:space="preserve"> </w:t>
      </w:r>
      <w:r w:rsidRPr="00DB2CEC">
        <w:rPr>
          <w:rFonts w:asciiTheme="minorHAnsi" w:hAnsiTheme="minorHAnsi" w:cstheme="minorHAnsi"/>
          <w:sz w:val="22"/>
          <w:szCs w:val="22"/>
        </w:rPr>
        <w:t xml:space="preserve">% </w:t>
      </w:r>
      <w:r w:rsidR="00335EC2">
        <w:rPr>
          <w:rFonts w:asciiTheme="minorHAnsi" w:hAnsiTheme="minorHAnsi" w:cstheme="minorHAnsi"/>
          <w:sz w:val="22"/>
          <w:szCs w:val="22"/>
        </w:rPr>
        <w:t>ukupne do</w:t>
      </w:r>
      <w:r w:rsidRPr="00DB2CEC">
        <w:rPr>
          <w:rFonts w:asciiTheme="minorHAnsi" w:hAnsiTheme="minorHAnsi" w:cstheme="minorHAnsi"/>
          <w:sz w:val="22"/>
          <w:szCs w:val="22"/>
        </w:rPr>
        <w:t>vršenosti, pri čemu se ostali projekti unaprjeđenja učinkovitosti odvijaju po planu. Financijska pozicija kompanije ostaje stabilna s neto dugom od 425 milijuna eura i omjerom duga i kapitala od 20</w:t>
      </w:r>
      <w:r w:rsidR="00335EC2">
        <w:rPr>
          <w:rFonts w:asciiTheme="minorHAnsi" w:hAnsiTheme="minorHAnsi" w:cstheme="minorHAnsi"/>
          <w:sz w:val="22"/>
          <w:szCs w:val="22"/>
        </w:rPr>
        <w:t xml:space="preserve"> </w:t>
      </w:r>
      <w:r w:rsidRPr="00DB2CEC">
        <w:rPr>
          <w:rFonts w:asciiTheme="minorHAnsi" w:hAnsiTheme="minorHAnsi" w:cstheme="minorHAnsi"/>
          <w:sz w:val="22"/>
          <w:szCs w:val="22"/>
        </w:rPr>
        <w:t>%.</w:t>
      </w:r>
    </w:p>
    <w:p w14:paraId="2F207E37" w14:textId="0F8F434E" w:rsidR="00CF7FC1" w:rsidRDefault="00E55AED" w:rsidP="00CF7FC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7009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07126D">
        <w:rPr>
          <w:rFonts w:asciiTheme="minorHAnsi" w:hAnsiTheme="minorHAnsi" w:cstheme="minorHAnsi"/>
          <w:b/>
          <w:sz w:val="22"/>
          <w:szCs w:val="22"/>
        </w:rPr>
        <w:t>Zsuzsanne Ortutay</w:t>
      </w:r>
      <w:r w:rsidR="0037692E" w:rsidRPr="00C8700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87009">
        <w:rPr>
          <w:rFonts w:asciiTheme="minorHAnsi" w:hAnsiTheme="minorHAnsi" w:cstheme="minorHAnsi"/>
          <w:b/>
          <w:sz w:val="22"/>
          <w:szCs w:val="22"/>
        </w:rPr>
        <w:t>predsjedni</w:t>
      </w:r>
      <w:r w:rsidR="0007126D">
        <w:rPr>
          <w:rFonts w:asciiTheme="minorHAnsi" w:hAnsiTheme="minorHAnsi" w:cstheme="minorHAnsi"/>
          <w:b/>
          <w:sz w:val="22"/>
          <w:szCs w:val="22"/>
        </w:rPr>
        <w:t>ce</w:t>
      </w:r>
      <w:r w:rsidRPr="00C87009">
        <w:rPr>
          <w:rFonts w:asciiTheme="minorHAnsi" w:hAnsiTheme="minorHAnsi" w:cstheme="minorHAnsi"/>
          <w:b/>
          <w:sz w:val="22"/>
          <w:szCs w:val="22"/>
        </w:rPr>
        <w:t xml:space="preserve"> Uprave Ine</w:t>
      </w:r>
      <w:r w:rsidR="0037692E" w:rsidRPr="00C8700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BBD16C9" w14:textId="076D7237" w:rsidR="00B03583" w:rsidRPr="00B03583" w:rsidRDefault="00B03583" w:rsidP="00B03583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Početak 2024., nakon previranja u prethodne dvije godine, pokazuje općenito dobro okruženje sa stabilnim cijenama nafte, ali su cijene plina značajno pale u odnosu na prethodno razdoblje, što je rezultiralo </w:t>
      </w:r>
      <w:r w:rsidR="00303000" w:rsidRPr="00DB2CEC">
        <w:rPr>
          <w:rFonts w:asciiTheme="minorHAnsi" w:hAnsiTheme="minorHAnsi" w:cstheme="minorHAnsi"/>
          <w:sz w:val="22"/>
          <w:szCs w:val="22"/>
        </w:rPr>
        <w:t>CCS EBITDA</w:t>
      </w:r>
      <w:r w:rsidR="00303000">
        <w:rPr>
          <w:rFonts w:asciiTheme="minorHAnsi" w:hAnsiTheme="minorHAnsi" w:cstheme="minorHAnsi"/>
          <w:sz w:val="22"/>
          <w:szCs w:val="22"/>
        </w:rPr>
        <w:t>-om</w:t>
      </w:r>
      <w:r w:rsidR="00303000" w:rsidRPr="00DB2CEC">
        <w:rPr>
          <w:rFonts w:asciiTheme="minorHAnsi" w:hAnsiTheme="minorHAnsi" w:cstheme="minorHAnsi"/>
          <w:sz w:val="22"/>
          <w:szCs w:val="22"/>
        </w:rPr>
        <w:t xml:space="preserve"> bez jednokratnih stavki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 od 64 milijuna eura u prvom tromjesečju.</w:t>
      </w:r>
    </w:p>
    <w:p w14:paraId="601FF01D" w14:textId="68DF3CB1" w:rsidR="00B03583" w:rsidRPr="00B03583" w:rsidRDefault="004518AA" w:rsidP="00B03583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Istraživanje i proizvodnja nafte i plina</w:t>
      </w:r>
      <w:r w:rsidR="00B03583" w:rsidRPr="00B03583">
        <w:rPr>
          <w:rFonts w:asciiTheme="minorHAnsi" w:hAnsiTheme="minorHAnsi" w:cstheme="minorHAnsi"/>
          <w:bCs/>
          <w:sz w:val="22"/>
          <w:szCs w:val="22"/>
        </w:rPr>
        <w:t>, boreći se s očekivanim prirodnim padom p</w:t>
      </w:r>
      <w:r w:rsidR="00426EC7">
        <w:rPr>
          <w:rFonts w:asciiTheme="minorHAnsi" w:hAnsiTheme="minorHAnsi" w:cstheme="minorHAnsi"/>
          <w:bCs/>
          <w:sz w:val="22"/>
          <w:szCs w:val="22"/>
        </w:rPr>
        <w:t>roizvodnje</w:t>
      </w:r>
      <w:r w:rsidR="00B03583" w:rsidRPr="00B03583">
        <w:rPr>
          <w:rFonts w:asciiTheme="minorHAnsi" w:hAnsiTheme="minorHAnsi" w:cstheme="minorHAnsi"/>
          <w:bCs/>
          <w:sz w:val="22"/>
          <w:szCs w:val="22"/>
        </w:rPr>
        <w:t>, nastavlja s novim projektima. Povrh nove koncesije u Egiptu, stečeno je 40</w:t>
      </w:r>
      <w:r w:rsidR="00426E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3583" w:rsidRPr="00B03583">
        <w:rPr>
          <w:rFonts w:asciiTheme="minorHAnsi" w:hAnsiTheme="minorHAnsi" w:cstheme="minorHAnsi"/>
          <w:bCs/>
          <w:sz w:val="22"/>
          <w:szCs w:val="22"/>
        </w:rPr>
        <w:t>% radnog udjela u hrvatskom kopnenom bloku SA-07. Osim toga, u tijeku su pripremne aktivnosti za prva dva Inina geotermalna bloka.</w:t>
      </w:r>
    </w:p>
    <w:p w14:paraId="444B733C" w14:textId="70FEAB20" w:rsidR="00B03583" w:rsidRPr="00B03583" w:rsidRDefault="00B03583" w:rsidP="00B03583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3583">
        <w:rPr>
          <w:rFonts w:asciiTheme="minorHAnsi" w:hAnsiTheme="minorHAnsi" w:cstheme="minorHAnsi"/>
          <w:bCs/>
          <w:sz w:val="22"/>
          <w:szCs w:val="22"/>
        </w:rPr>
        <w:t xml:space="preserve">U Rafineriji nafte Rijeka izvršen je planirani </w:t>
      </w:r>
      <w:r w:rsidR="00426EC7">
        <w:rPr>
          <w:rFonts w:asciiTheme="minorHAnsi" w:hAnsiTheme="minorHAnsi" w:cstheme="minorHAnsi"/>
          <w:bCs/>
          <w:sz w:val="22"/>
          <w:szCs w:val="22"/>
        </w:rPr>
        <w:t>remont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 tijekom kojeg je osigurana sigurna i nesmetana opskrba iz uvoza. Ukupna prodaja Rafinerija i </w:t>
      </w:r>
      <w:r w:rsidR="005516F0">
        <w:rPr>
          <w:rFonts w:asciiTheme="minorHAnsi" w:hAnsiTheme="minorHAnsi" w:cstheme="minorHAnsi"/>
          <w:bCs/>
          <w:sz w:val="22"/>
          <w:szCs w:val="22"/>
        </w:rPr>
        <w:t>m</w:t>
      </w:r>
      <w:r w:rsidRPr="00B03583">
        <w:rPr>
          <w:rFonts w:asciiTheme="minorHAnsi" w:hAnsiTheme="minorHAnsi" w:cstheme="minorHAnsi"/>
          <w:bCs/>
          <w:sz w:val="22"/>
          <w:szCs w:val="22"/>
        </w:rPr>
        <w:t>arketinga porasla je u razdoblju povoljnih marž</w:t>
      </w:r>
      <w:r w:rsidR="005516F0">
        <w:rPr>
          <w:rFonts w:asciiTheme="minorHAnsi" w:hAnsiTheme="minorHAnsi" w:cstheme="minorHAnsi"/>
          <w:bCs/>
          <w:sz w:val="22"/>
          <w:szCs w:val="22"/>
        </w:rPr>
        <w:t>a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, što je zajedno sa snažnim </w:t>
      </w:r>
      <w:r w:rsidR="00725C3A">
        <w:rPr>
          <w:rFonts w:asciiTheme="minorHAnsi" w:hAnsiTheme="minorHAnsi" w:cstheme="minorHAnsi"/>
          <w:bCs/>
          <w:sz w:val="22"/>
          <w:szCs w:val="22"/>
        </w:rPr>
        <w:t>rezultatom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 Maloprodaje </w:t>
      </w:r>
      <w:r w:rsidR="005516F0">
        <w:rPr>
          <w:rFonts w:asciiTheme="minorHAnsi" w:hAnsiTheme="minorHAnsi" w:cstheme="minorHAnsi"/>
          <w:bCs/>
          <w:sz w:val="22"/>
          <w:szCs w:val="22"/>
        </w:rPr>
        <w:t>ove djelatnosti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 učinilo pozitivnim.</w:t>
      </w:r>
    </w:p>
    <w:p w14:paraId="1D909173" w14:textId="5386E5ED" w:rsidR="00B03583" w:rsidRPr="00B03583" w:rsidRDefault="00B03583" w:rsidP="00B03583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3583">
        <w:rPr>
          <w:rFonts w:asciiTheme="minorHAnsi" w:hAnsiTheme="minorHAnsi" w:cstheme="minorHAnsi"/>
          <w:bCs/>
          <w:sz w:val="22"/>
          <w:szCs w:val="22"/>
        </w:rPr>
        <w:t xml:space="preserve">Nakon dvije solarne elektrane (Virje u proizvodnji i Sisak u probnom </w:t>
      </w:r>
      <w:r w:rsidR="006661C9">
        <w:rPr>
          <w:rFonts w:asciiTheme="minorHAnsi" w:hAnsiTheme="minorHAnsi" w:cstheme="minorHAnsi"/>
          <w:bCs/>
          <w:sz w:val="22"/>
          <w:szCs w:val="22"/>
        </w:rPr>
        <w:t>radu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), INA širi svoj portfelj obnovljivih izvora energije. Osim </w:t>
      </w:r>
      <w:r w:rsidR="00C152FB">
        <w:rPr>
          <w:rFonts w:asciiTheme="minorHAnsi" w:hAnsiTheme="minorHAnsi" w:cstheme="minorHAnsi"/>
          <w:bCs/>
          <w:sz w:val="22"/>
          <w:szCs w:val="22"/>
        </w:rPr>
        <w:t>pripreme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 dodatnih projekata za solarne elektrane na svojim lokacijama, INA je potpisala dva ugovora u području održivosti – jedan vezan </w:t>
      </w:r>
      <w:r w:rsidR="006661C9">
        <w:rPr>
          <w:rFonts w:asciiTheme="minorHAnsi" w:hAnsiTheme="minorHAnsi" w:cstheme="minorHAnsi"/>
          <w:bCs/>
          <w:sz w:val="22"/>
          <w:szCs w:val="22"/>
        </w:rPr>
        <w:t>uz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 izgradnju postrojenja za zeleni vodik u Rafineriji nafte Rijeka</w:t>
      </w:r>
      <w:r w:rsidR="006661C9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 drugi vezan uz </w:t>
      </w:r>
      <w:r w:rsidR="00C543DB">
        <w:rPr>
          <w:rFonts w:asciiTheme="minorHAnsi" w:hAnsiTheme="minorHAnsi" w:cstheme="minorHAnsi"/>
          <w:bCs/>
          <w:sz w:val="22"/>
          <w:szCs w:val="22"/>
        </w:rPr>
        <w:t xml:space="preserve">izgradnju </w:t>
      </w:r>
      <w:r w:rsidRPr="00B03583">
        <w:rPr>
          <w:rFonts w:asciiTheme="minorHAnsi" w:hAnsiTheme="minorHAnsi" w:cstheme="minorHAnsi"/>
          <w:bCs/>
          <w:sz w:val="22"/>
          <w:szCs w:val="22"/>
        </w:rPr>
        <w:t>postrojenj</w:t>
      </w:r>
      <w:r w:rsidR="00C543DB">
        <w:rPr>
          <w:rFonts w:asciiTheme="minorHAnsi" w:hAnsiTheme="minorHAnsi" w:cstheme="minorHAnsi"/>
          <w:bCs/>
          <w:sz w:val="22"/>
          <w:szCs w:val="22"/>
        </w:rPr>
        <w:t>a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 za proizvodnju biometana </w:t>
      </w:r>
      <w:r w:rsidRPr="00B0358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 Sisku. Projekti će pridonijeti </w:t>
      </w:r>
      <w:r w:rsidR="009F6714">
        <w:rPr>
          <w:rFonts w:asciiTheme="minorHAnsi" w:hAnsiTheme="minorHAnsi" w:cstheme="minorHAnsi"/>
          <w:bCs/>
          <w:sz w:val="22"/>
          <w:szCs w:val="22"/>
        </w:rPr>
        <w:t xml:space="preserve">našim </w:t>
      </w:r>
      <w:r w:rsidRPr="00B03583">
        <w:rPr>
          <w:rFonts w:asciiTheme="minorHAnsi" w:hAnsiTheme="minorHAnsi" w:cstheme="minorHAnsi"/>
          <w:bCs/>
          <w:sz w:val="22"/>
          <w:szCs w:val="22"/>
        </w:rPr>
        <w:t>naporima u zelenoj tranziciji, a INA će postati prvi proizvođač komercijalnog zelenog vodika u Hrvatskoj.</w:t>
      </w:r>
    </w:p>
    <w:p w14:paraId="15DBCF0A" w14:textId="6530937F" w:rsidR="0007126D" w:rsidRDefault="00B03583" w:rsidP="0007126D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3583">
        <w:rPr>
          <w:rFonts w:asciiTheme="minorHAnsi" w:hAnsiTheme="minorHAnsi" w:cstheme="minorHAnsi"/>
          <w:bCs/>
          <w:sz w:val="22"/>
          <w:szCs w:val="22"/>
        </w:rPr>
        <w:t xml:space="preserve">Sredstva potrebna za zelenu transformaciju moraju se generirati u Ininim osnovnim poslovnim </w:t>
      </w:r>
      <w:r w:rsidR="009F6714">
        <w:rPr>
          <w:rFonts w:asciiTheme="minorHAnsi" w:hAnsiTheme="minorHAnsi" w:cstheme="minorHAnsi"/>
          <w:bCs/>
          <w:sz w:val="22"/>
          <w:szCs w:val="22"/>
        </w:rPr>
        <w:t>djelatnostima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, stoga je važno poslovanje održati učinkovitim i profitabilnim. </w:t>
      </w:r>
      <w:r w:rsidR="00080534">
        <w:rPr>
          <w:rFonts w:asciiTheme="minorHAnsi" w:hAnsiTheme="minorHAnsi" w:cstheme="minorHAnsi"/>
          <w:bCs/>
          <w:sz w:val="22"/>
          <w:szCs w:val="22"/>
        </w:rPr>
        <w:t xml:space="preserve">Naravno, u našim naporima </w:t>
      </w:r>
      <w:r w:rsidR="00CA2803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="00080534">
        <w:rPr>
          <w:rFonts w:asciiTheme="minorHAnsi" w:hAnsiTheme="minorHAnsi" w:cstheme="minorHAnsi"/>
          <w:bCs/>
          <w:sz w:val="22"/>
          <w:szCs w:val="22"/>
        </w:rPr>
        <w:t>provedb</w:t>
      </w:r>
      <w:r w:rsidR="00CA2803">
        <w:rPr>
          <w:rFonts w:asciiTheme="minorHAnsi" w:hAnsiTheme="minorHAnsi" w:cstheme="minorHAnsi"/>
          <w:bCs/>
          <w:sz w:val="22"/>
          <w:szCs w:val="22"/>
        </w:rPr>
        <w:t>i</w:t>
      </w:r>
      <w:r w:rsidR="00080534">
        <w:rPr>
          <w:rFonts w:asciiTheme="minorHAnsi" w:hAnsiTheme="minorHAnsi" w:cstheme="minorHAnsi"/>
          <w:bCs/>
          <w:sz w:val="22"/>
          <w:szCs w:val="22"/>
        </w:rPr>
        <w:t xml:space="preserve"> projekata koji podržavaju zelenu tranziciju</w:t>
      </w:r>
      <w:r w:rsidR="00D4305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534C3">
        <w:rPr>
          <w:rFonts w:asciiTheme="minorHAnsi" w:hAnsiTheme="minorHAnsi" w:cstheme="minorHAnsi"/>
          <w:bCs/>
          <w:sz w:val="22"/>
          <w:szCs w:val="22"/>
        </w:rPr>
        <w:t>računamo i na</w:t>
      </w:r>
      <w:r w:rsidR="00D4305D">
        <w:rPr>
          <w:rFonts w:asciiTheme="minorHAnsi" w:hAnsiTheme="minorHAnsi" w:cstheme="minorHAnsi"/>
          <w:bCs/>
          <w:sz w:val="22"/>
          <w:szCs w:val="22"/>
        </w:rPr>
        <w:t xml:space="preserve"> sufinanciranje iz fondova Europske unije. 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Uz uobičajenu sezonsku prirodu prodaje, očekuje se da će </w:t>
      </w:r>
      <w:r w:rsidR="009F6714">
        <w:rPr>
          <w:rFonts w:asciiTheme="minorHAnsi" w:hAnsiTheme="minorHAnsi" w:cstheme="minorHAnsi"/>
          <w:bCs/>
          <w:sz w:val="22"/>
          <w:szCs w:val="22"/>
        </w:rPr>
        <w:t>naredna tromjesečja</w:t>
      </w:r>
      <w:r w:rsidRPr="00B03583">
        <w:rPr>
          <w:rFonts w:asciiTheme="minorHAnsi" w:hAnsiTheme="minorHAnsi" w:cstheme="minorHAnsi"/>
          <w:bCs/>
          <w:sz w:val="22"/>
          <w:szCs w:val="22"/>
        </w:rPr>
        <w:t xml:space="preserve"> dodatno ojačati Inine rezultate.”</w:t>
      </w:r>
    </w:p>
    <w:p w14:paraId="701F7037" w14:textId="77777777" w:rsidR="0007126D" w:rsidRDefault="0007126D" w:rsidP="0007126D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8B6E47" w14:textId="325F2E40" w:rsidR="009B571F" w:rsidRPr="000F22E7" w:rsidRDefault="009B571F" w:rsidP="00C027E1">
      <w:pPr>
        <w:jc w:val="both"/>
        <w:rPr>
          <w:rFonts w:asciiTheme="minorHAnsi" w:hAnsiTheme="minorHAnsi" w:cstheme="minorHAnsi"/>
          <w:bCs/>
        </w:rPr>
        <w:sectPr w:rsidR="009B571F" w:rsidRPr="000F22E7" w:rsidSect="007E71F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C537A8" w14:textId="4A7B0088" w:rsidR="00FF0C7C" w:rsidRPr="000F22E7" w:rsidRDefault="00657D42" w:rsidP="00C0068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A65675A" wp14:editId="3ED1774B">
            <wp:extent cx="2559802" cy="19639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16" cy="1969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4E1F3" w14:textId="77777777" w:rsidR="00C0068C" w:rsidRPr="000F22E7" w:rsidRDefault="00C0068C" w:rsidP="00C0068C">
      <w:pPr>
        <w:spacing w:line="360" w:lineRule="auto"/>
        <w:jc w:val="center"/>
        <w:rPr>
          <w:rFonts w:asciiTheme="minorHAnsi" w:hAnsiTheme="minorHAnsi" w:cstheme="minorHAnsi"/>
        </w:rPr>
      </w:pPr>
    </w:p>
    <w:p w14:paraId="759A5372" w14:textId="75455581" w:rsidR="00900453" w:rsidRPr="000F22E7" w:rsidRDefault="000050B0" w:rsidP="006A6D3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4150A79" wp14:editId="46AD4433">
            <wp:extent cx="2528515" cy="1781102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44" cy="1784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51E50" w14:textId="6590DEFC" w:rsidR="00FF0C7C" w:rsidRPr="000F22E7" w:rsidRDefault="000050B0" w:rsidP="00C0068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A562EA8" wp14:editId="26DC512B">
            <wp:extent cx="2799413" cy="1971924"/>
            <wp:effectExtent l="0" t="0" r="127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73" cy="198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76475" w14:textId="559C4E63" w:rsidR="008B13EE" w:rsidRPr="000F22E7" w:rsidRDefault="008B13EE" w:rsidP="009F1B60">
      <w:pPr>
        <w:spacing w:line="360" w:lineRule="auto"/>
        <w:jc w:val="center"/>
        <w:rPr>
          <w:rFonts w:asciiTheme="minorHAnsi" w:hAnsiTheme="minorHAnsi" w:cstheme="minorHAnsi"/>
        </w:rPr>
      </w:pPr>
    </w:p>
    <w:p w14:paraId="3812664C" w14:textId="0ACD3B94" w:rsidR="00621EAF" w:rsidRPr="000F22E7" w:rsidRDefault="00E21399" w:rsidP="00C0068C">
      <w:pPr>
        <w:spacing w:line="360" w:lineRule="auto"/>
        <w:jc w:val="both"/>
        <w:rPr>
          <w:rFonts w:asciiTheme="minorHAnsi" w:hAnsiTheme="minorHAnsi" w:cstheme="minorHAnsi"/>
          <w:b/>
        </w:rPr>
        <w:sectPr w:rsidR="00621EAF" w:rsidRPr="000F22E7" w:rsidSect="007E71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43DCC532" wp14:editId="3CAF4D58">
            <wp:extent cx="2523744" cy="17724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22" cy="1776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EC102" w14:textId="77777777" w:rsidR="00B57D01" w:rsidRDefault="00B57D01" w:rsidP="00C0068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079B5F" w14:textId="03B9D709" w:rsidR="00FF05F8" w:rsidRPr="007B5E9E" w:rsidRDefault="004518AA" w:rsidP="00C0068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Istraživanje i proizvodnja nafte i plina</w:t>
      </w:r>
    </w:p>
    <w:p w14:paraId="7947B5B5" w14:textId="2E26F78A" w:rsidR="00F03800" w:rsidRDefault="00F03800" w:rsidP="00BF24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4FCB">
        <w:rPr>
          <w:rFonts w:asciiTheme="minorHAnsi" w:hAnsiTheme="minorHAnsi" w:cstheme="minorHAnsi"/>
          <w:bCs/>
          <w:sz w:val="22"/>
          <w:szCs w:val="22"/>
        </w:rPr>
        <w:t>Niže cijene, uglavnom plina, rezultirale su s 19,1 milijun eura nižim prihodima.</w:t>
      </w:r>
      <w:r w:rsidR="00255829" w:rsidRPr="00404FCB">
        <w:rPr>
          <w:rFonts w:asciiTheme="minorHAnsi" w:hAnsiTheme="minorHAnsi" w:cstheme="minorHAnsi"/>
          <w:bCs/>
          <w:sz w:val="22"/>
          <w:szCs w:val="22"/>
        </w:rPr>
        <w:t xml:space="preserve"> Negativan učinak uzrokovan povećan</w:t>
      </w:r>
      <w:r w:rsidR="003237E3">
        <w:rPr>
          <w:rFonts w:asciiTheme="minorHAnsi" w:hAnsiTheme="minorHAnsi" w:cstheme="minorHAnsi"/>
          <w:bCs/>
          <w:sz w:val="22"/>
          <w:szCs w:val="22"/>
        </w:rPr>
        <w:t>i</w:t>
      </w:r>
      <w:r w:rsidR="00255829" w:rsidRPr="00404FCB">
        <w:rPr>
          <w:rFonts w:asciiTheme="minorHAnsi" w:hAnsiTheme="minorHAnsi" w:cstheme="minorHAnsi"/>
          <w:bCs/>
          <w:sz w:val="22"/>
          <w:szCs w:val="22"/>
        </w:rPr>
        <w:t xml:space="preserve">m </w:t>
      </w:r>
      <w:r w:rsidR="003237E3">
        <w:rPr>
          <w:rFonts w:asciiTheme="minorHAnsi" w:hAnsiTheme="minorHAnsi" w:cstheme="minorHAnsi"/>
          <w:bCs/>
          <w:sz w:val="22"/>
          <w:szCs w:val="22"/>
        </w:rPr>
        <w:t>zavodnjavanjima</w:t>
      </w:r>
      <w:r w:rsidR="00255829" w:rsidRPr="00404FCB">
        <w:rPr>
          <w:rFonts w:asciiTheme="minorHAnsi" w:hAnsiTheme="minorHAnsi" w:cstheme="minorHAnsi"/>
          <w:bCs/>
          <w:sz w:val="22"/>
          <w:szCs w:val="22"/>
        </w:rPr>
        <w:t xml:space="preserve"> i očekivanim prirodnim padom na glavnim plinskim i naftnim poljima djelomično je ublažen boljim performansama nakon uspješno obavljenih remonata bušotin</w:t>
      </w:r>
      <w:r w:rsidR="00403708">
        <w:rPr>
          <w:rFonts w:asciiTheme="minorHAnsi" w:hAnsiTheme="minorHAnsi" w:cstheme="minorHAnsi"/>
          <w:bCs/>
          <w:sz w:val="22"/>
          <w:szCs w:val="22"/>
        </w:rPr>
        <w:t>a</w:t>
      </w:r>
      <w:r w:rsidR="00255829" w:rsidRPr="00404FCB">
        <w:rPr>
          <w:rFonts w:asciiTheme="minorHAnsi" w:hAnsiTheme="minorHAnsi" w:cstheme="minorHAnsi"/>
          <w:bCs/>
          <w:sz w:val="22"/>
          <w:szCs w:val="22"/>
        </w:rPr>
        <w:t xml:space="preserve"> na polju Žutica i optimizacije proizvodnje na nekoliko polja na kopnu.</w:t>
      </w:r>
      <w:r w:rsidR="00BF24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03800">
        <w:rPr>
          <w:rFonts w:asciiTheme="minorHAnsi" w:hAnsiTheme="minorHAnsi" w:cstheme="minorHAnsi"/>
          <w:sz w:val="22"/>
          <w:szCs w:val="22"/>
        </w:rPr>
        <w:t xml:space="preserve">Viša međunarodna proizvodnja potaknuta </w:t>
      </w:r>
      <w:r w:rsidR="00BF24BF">
        <w:rPr>
          <w:rFonts w:asciiTheme="minorHAnsi" w:hAnsiTheme="minorHAnsi" w:cstheme="minorHAnsi"/>
          <w:sz w:val="22"/>
          <w:szCs w:val="22"/>
        </w:rPr>
        <w:t xml:space="preserve">je </w:t>
      </w:r>
      <w:r w:rsidRPr="00F03800">
        <w:rPr>
          <w:rFonts w:asciiTheme="minorHAnsi" w:hAnsiTheme="minorHAnsi" w:cstheme="minorHAnsi"/>
          <w:sz w:val="22"/>
          <w:szCs w:val="22"/>
        </w:rPr>
        <w:t>doprinosom nove egipatske koncesije East Damanhur</w:t>
      </w:r>
      <w:r w:rsidR="00BF24BF">
        <w:rPr>
          <w:rFonts w:asciiTheme="minorHAnsi" w:hAnsiTheme="minorHAnsi" w:cstheme="minorHAnsi"/>
          <w:sz w:val="22"/>
          <w:szCs w:val="22"/>
        </w:rPr>
        <w:t>.</w:t>
      </w:r>
    </w:p>
    <w:p w14:paraId="6B4D53D0" w14:textId="5ACF2B57" w:rsidR="00F372DC" w:rsidRDefault="001A7A21" w:rsidP="009B6B9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9B6B97" w:rsidRPr="009B6B97">
        <w:rPr>
          <w:rFonts w:asciiTheme="minorHAnsi" w:hAnsiTheme="minorHAnsi" w:cstheme="minorHAnsi"/>
          <w:sz w:val="22"/>
          <w:szCs w:val="22"/>
        </w:rPr>
        <w:t>apitaln</w:t>
      </w:r>
      <w:r>
        <w:rPr>
          <w:rFonts w:asciiTheme="minorHAnsi" w:hAnsiTheme="minorHAnsi" w:cstheme="minorHAnsi"/>
          <w:sz w:val="22"/>
          <w:szCs w:val="22"/>
        </w:rPr>
        <w:t>a</w:t>
      </w:r>
      <w:r w:rsidR="009B6B97" w:rsidRPr="009B6B97">
        <w:rPr>
          <w:rFonts w:asciiTheme="minorHAnsi" w:hAnsiTheme="minorHAnsi" w:cstheme="minorHAnsi"/>
          <w:sz w:val="22"/>
          <w:szCs w:val="22"/>
        </w:rPr>
        <w:t xml:space="preserve"> ulaganja </w:t>
      </w:r>
      <w:r>
        <w:rPr>
          <w:rFonts w:asciiTheme="minorHAnsi" w:hAnsiTheme="minorHAnsi" w:cstheme="minorHAnsi"/>
          <w:sz w:val="22"/>
          <w:szCs w:val="22"/>
        </w:rPr>
        <w:t xml:space="preserve">su viša </w:t>
      </w:r>
      <w:r w:rsidR="009B6B97" w:rsidRPr="009B6B97">
        <w:rPr>
          <w:rFonts w:asciiTheme="minorHAnsi" w:hAnsiTheme="minorHAnsi" w:cstheme="minorHAnsi"/>
          <w:sz w:val="22"/>
          <w:szCs w:val="22"/>
        </w:rPr>
        <w:t xml:space="preserve">u usporedbi s istim razdobljem 2023. zbog većih aktivnosti razrade na </w:t>
      </w:r>
      <w:r w:rsidR="0081017E">
        <w:rPr>
          <w:rFonts w:asciiTheme="minorHAnsi" w:hAnsiTheme="minorHAnsi" w:cstheme="minorHAnsi"/>
          <w:sz w:val="22"/>
          <w:szCs w:val="22"/>
        </w:rPr>
        <w:t>hrvatskom kopnu</w:t>
      </w:r>
      <w:r w:rsidR="009B6B97" w:rsidRPr="009B6B97">
        <w:rPr>
          <w:rFonts w:asciiTheme="minorHAnsi" w:hAnsiTheme="minorHAnsi" w:cstheme="minorHAnsi"/>
          <w:sz w:val="22"/>
          <w:szCs w:val="22"/>
        </w:rPr>
        <w:t>.</w:t>
      </w:r>
      <w:r w:rsidR="007A1E63">
        <w:rPr>
          <w:rFonts w:asciiTheme="minorHAnsi" w:hAnsiTheme="minorHAnsi" w:cstheme="minorHAnsi"/>
          <w:sz w:val="22"/>
          <w:szCs w:val="22"/>
        </w:rPr>
        <w:t xml:space="preserve"> </w:t>
      </w:r>
      <w:r w:rsidR="009B6B97" w:rsidRPr="009B6B97">
        <w:rPr>
          <w:rFonts w:asciiTheme="minorHAnsi" w:hAnsiTheme="minorHAnsi" w:cstheme="minorHAnsi"/>
          <w:sz w:val="22"/>
          <w:szCs w:val="22"/>
        </w:rPr>
        <w:t>Glavne aktivnosti u prvom tromjesečju 2024. godine odnosile su se na</w:t>
      </w:r>
      <w:r w:rsidR="00090D4B">
        <w:rPr>
          <w:rFonts w:asciiTheme="minorHAnsi" w:hAnsiTheme="minorHAnsi" w:cstheme="minorHAnsi"/>
          <w:sz w:val="22"/>
          <w:szCs w:val="22"/>
        </w:rPr>
        <w:t xml:space="preserve"> s</w:t>
      </w:r>
      <w:r w:rsidR="009B6B97" w:rsidRPr="009B6B97">
        <w:rPr>
          <w:rFonts w:asciiTheme="minorHAnsi" w:hAnsiTheme="minorHAnsi" w:cstheme="minorHAnsi"/>
          <w:sz w:val="22"/>
          <w:szCs w:val="22"/>
        </w:rPr>
        <w:t>tjecanje 40</w:t>
      </w:r>
      <w:r w:rsidR="00090D4B">
        <w:rPr>
          <w:rFonts w:asciiTheme="minorHAnsi" w:hAnsiTheme="minorHAnsi" w:cstheme="minorHAnsi"/>
          <w:sz w:val="22"/>
          <w:szCs w:val="22"/>
        </w:rPr>
        <w:t xml:space="preserve"> </w:t>
      </w:r>
      <w:r w:rsidR="009B6B97" w:rsidRPr="009B6B97">
        <w:rPr>
          <w:rFonts w:asciiTheme="minorHAnsi" w:hAnsiTheme="minorHAnsi" w:cstheme="minorHAnsi"/>
          <w:sz w:val="22"/>
          <w:szCs w:val="22"/>
        </w:rPr>
        <w:lastRenderedPageBreak/>
        <w:t>% udjela u eksploatacijskom bloku S</w:t>
      </w:r>
      <w:r w:rsidR="00D45CFD">
        <w:rPr>
          <w:rFonts w:asciiTheme="minorHAnsi" w:hAnsiTheme="minorHAnsi" w:cstheme="minorHAnsi"/>
          <w:sz w:val="22"/>
          <w:szCs w:val="22"/>
        </w:rPr>
        <w:t>ava</w:t>
      </w:r>
      <w:r w:rsidR="009B6B97" w:rsidRPr="009B6B97">
        <w:rPr>
          <w:rFonts w:asciiTheme="minorHAnsi" w:hAnsiTheme="minorHAnsi" w:cstheme="minorHAnsi"/>
          <w:sz w:val="22"/>
          <w:szCs w:val="22"/>
        </w:rPr>
        <w:t>-07</w:t>
      </w:r>
      <w:r w:rsidR="004F6756">
        <w:rPr>
          <w:rFonts w:asciiTheme="minorHAnsi" w:hAnsiTheme="minorHAnsi" w:cstheme="minorHAnsi"/>
          <w:sz w:val="22"/>
          <w:szCs w:val="22"/>
        </w:rPr>
        <w:t xml:space="preserve">, </w:t>
      </w:r>
      <w:r w:rsidR="004F6756" w:rsidRPr="004F6756">
        <w:rPr>
          <w:rFonts w:asciiTheme="minorHAnsi" w:hAnsiTheme="minorHAnsi" w:cstheme="minorHAnsi"/>
          <w:sz w:val="22"/>
          <w:szCs w:val="22"/>
        </w:rPr>
        <w:t>pri čemu su dvije bušotine već izbušene, a</w:t>
      </w:r>
      <w:r w:rsidR="005326DA">
        <w:rPr>
          <w:rFonts w:asciiTheme="minorHAnsi" w:hAnsiTheme="minorHAnsi" w:cstheme="minorHAnsi"/>
          <w:sz w:val="22"/>
          <w:szCs w:val="22"/>
        </w:rPr>
        <w:t xml:space="preserve"> izrada</w:t>
      </w:r>
      <w:r w:rsidR="004F6756" w:rsidRPr="004F6756">
        <w:rPr>
          <w:rFonts w:asciiTheme="minorHAnsi" w:hAnsiTheme="minorHAnsi" w:cstheme="minorHAnsi"/>
          <w:sz w:val="22"/>
          <w:szCs w:val="22"/>
        </w:rPr>
        <w:t xml:space="preserve"> treć</w:t>
      </w:r>
      <w:r w:rsidR="005326DA">
        <w:rPr>
          <w:rFonts w:asciiTheme="minorHAnsi" w:hAnsiTheme="minorHAnsi" w:cstheme="minorHAnsi"/>
          <w:sz w:val="22"/>
          <w:szCs w:val="22"/>
        </w:rPr>
        <w:t>e</w:t>
      </w:r>
      <w:r w:rsidR="004F6756" w:rsidRPr="004F6756">
        <w:rPr>
          <w:rFonts w:asciiTheme="minorHAnsi" w:hAnsiTheme="minorHAnsi" w:cstheme="minorHAnsi"/>
          <w:sz w:val="22"/>
          <w:szCs w:val="22"/>
        </w:rPr>
        <w:t xml:space="preserve"> je u tijeku</w:t>
      </w:r>
      <w:r w:rsidR="00B77016">
        <w:rPr>
          <w:rFonts w:asciiTheme="minorHAnsi" w:hAnsiTheme="minorHAnsi" w:cstheme="minorHAnsi"/>
          <w:sz w:val="22"/>
          <w:szCs w:val="22"/>
        </w:rPr>
        <w:t xml:space="preserve">. Na bloku </w:t>
      </w:r>
      <w:r w:rsidR="009B6B97" w:rsidRPr="009B6B97">
        <w:rPr>
          <w:rFonts w:asciiTheme="minorHAnsi" w:hAnsiTheme="minorHAnsi" w:cstheme="minorHAnsi"/>
          <w:sz w:val="22"/>
          <w:szCs w:val="22"/>
        </w:rPr>
        <w:t>Drava-03</w:t>
      </w:r>
      <w:r w:rsidR="00A4045E" w:rsidRPr="00A4045E">
        <w:rPr>
          <w:rFonts w:asciiTheme="minorHAnsi" w:hAnsiTheme="minorHAnsi" w:cstheme="minorHAnsi"/>
          <w:sz w:val="22"/>
          <w:szCs w:val="22"/>
        </w:rPr>
        <w:t xml:space="preserve"> </w:t>
      </w:r>
      <w:r w:rsidR="00A4045E" w:rsidRPr="009B6B97">
        <w:rPr>
          <w:rFonts w:asciiTheme="minorHAnsi" w:hAnsiTheme="minorHAnsi" w:cstheme="minorHAnsi"/>
          <w:sz w:val="22"/>
          <w:szCs w:val="22"/>
        </w:rPr>
        <w:t>u tijeku su aktivnosti ishođenja dozvola</w:t>
      </w:r>
      <w:r w:rsidR="00EF33DE">
        <w:rPr>
          <w:rFonts w:asciiTheme="minorHAnsi" w:hAnsiTheme="minorHAnsi" w:cstheme="minorHAnsi"/>
          <w:sz w:val="22"/>
          <w:szCs w:val="22"/>
        </w:rPr>
        <w:t xml:space="preserve"> za dvije nove istražne bušotine.</w:t>
      </w:r>
      <w:r w:rsidR="005B5E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562898" w14:textId="489280D5" w:rsidR="005961E2" w:rsidRDefault="005B5E79" w:rsidP="002E7274">
      <w:pPr>
        <w:spacing w:after="120"/>
        <w:jc w:val="both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sz w:val="22"/>
          <w:szCs w:val="22"/>
        </w:rPr>
        <w:t>U sklopu projekta o</w:t>
      </w:r>
      <w:r w:rsidR="009B6B97" w:rsidRPr="009B6B97">
        <w:rPr>
          <w:rFonts w:asciiTheme="minorHAnsi" w:hAnsiTheme="minorHAnsi" w:cstheme="minorHAnsi"/>
          <w:sz w:val="22"/>
          <w:szCs w:val="22"/>
        </w:rPr>
        <w:t>ptimizacij</w:t>
      </w:r>
      <w:r>
        <w:rPr>
          <w:rFonts w:asciiTheme="minorHAnsi" w:hAnsiTheme="minorHAnsi" w:cstheme="minorHAnsi"/>
          <w:sz w:val="22"/>
          <w:szCs w:val="22"/>
        </w:rPr>
        <w:t>e</w:t>
      </w:r>
      <w:r w:rsidR="009B6B97" w:rsidRPr="009B6B97">
        <w:rPr>
          <w:rFonts w:asciiTheme="minorHAnsi" w:hAnsiTheme="minorHAnsi" w:cstheme="minorHAnsi"/>
          <w:sz w:val="22"/>
          <w:szCs w:val="22"/>
        </w:rPr>
        <w:t xml:space="preserve"> proizvodnje</w:t>
      </w:r>
      <w:r>
        <w:rPr>
          <w:rFonts w:asciiTheme="minorHAnsi" w:hAnsiTheme="minorHAnsi" w:cstheme="minorHAnsi"/>
          <w:sz w:val="22"/>
          <w:szCs w:val="22"/>
        </w:rPr>
        <w:t>,</w:t>
      </w:r>
      <w:r w:rsidR="009B6B97" w:rsidRPr="009B6B97">
        <w:rPr>
          <w:rFonts w:asciiTheme="minorHAnsi" w:hAnsiTheme="minorHAnsi" w:cstheme="minorHAnsi"/>
          <w:sz w:val="22"/>
          <w:szCs w:val="22"/>
        </w:rPr>
        <w:t xml:space="preserve"> obavljeni </w:t>
      </w:r>
      <w:r>
        <w:rPr>
          <w:rFonts w:asciiTheme="minorHAnsi" w:hAnsiTheme="minorHAnsi" w:cstheme="minorHAnsi"/>
          <w:sz w:val="22"/>
          <w:szCs w:val="22"/>
        </w:rPr>
        <w:t xml:space="preserve">su </w:t>
      </w:r>
      <w:r w:rsidR="009B6B97" w:rsidRPr="009B6B97">
        <w:rPr>
          <w:rFonts w:asciiTheme="minorHAnsi" w:hAnsiTheme="minorHAnsi" w:cstheme="minorHAnsi"/>
          <w:sz w:val="22"/>
          <w:szCs w:val="22"/>
        </w:rPr>
        <w:t xml:space="preserve">remonti na </w:t>
      </w:r>
      <w:r>
        <w:rPr>
          <w:rFonts w:asciiTheme="minorHAnsi" w:hAnsiTheme="minorHAnsi" w:cstheme="minorHAnsi"/>
          <w:sz w:val="22"/>
          <w:szCs w:val="22"/>
        </w:rPr>
        <w:t>devet</w:t>
      </w:r>
      <w:r w:rsidR="009B6B97" w:rsidRPr="009B6B97">
        <w:rPr>
          <w:rFonts w:asciiTheme="minorHAnsi" w:hAnsiTheme="minorHAnsi" w:cstheme="minorHAnsi"/>
          <w:sz w:val="22"/>
          <w:szCs w:val="22"/>
        </w:rPr>
        <w:t xml:space="preserve"> bušotina</w:t>
      </w:r>
      <w:r>
        <w:rPr>
          <w:rFonts w:asciiTheme="minorHAnsi" w:hAnsiTheme="minorHAnsi" w:cstheme="minorHAnsi"/>
          <w:sz w:val="22"/>
          <w:szCs w:val="22"/>
        </w:rPr>
        <w:t>.</w:t>
      </w:r>
      <w:r w:rsidR="009B6B97" w:rsidRPr="009B6B97">
        <w:rPr>
          <w:rFonts w:asciiTheme="minorHAnsi" w:hAnsiTheme="minorHAnsi" w:cstheme="minorHAnsi"/>
          <w:sz w:val="22"/>
          <w:szCs w:val="22"/>
        </w:rPr>
        <w:t xml:space="preserve"> </w:t>
      </w:r>
      <w:r w:rsidR="004D034D">
        <w:rPr>
          <w:rFonts w:asciiTheme="minorHAnsi" w:hAnsiTheme="minorHAnsi" w:cstheme="minorHAnsi"/>
          <w:sz w:val="22"/>
          <w:szCs w:val="22"/>
        </w:rPr>
        <w:t>U Egiptu, dvije</w:t>
      </w:r>
      <w:r w:rsidR="00935C9F">
        <w:rPr>
          <w:rFonts w:asciiTheme="minorHAnsi" w:hAnsiTheme="minorHAnsi" w:cstheme="minorHAnsi"/>
          <w:sz w:val="22"/>
          <w:szCs w:val="22"/>
        </w:rPr>
        <w:t xml:space="preserve"> razradne bušotine</w:t>
      </w:r>
      <w:r w:rsidR="00721B51">
        <w:rPr>
          <w:rFonts w:asciiTheme="minorHAnsi" w:hAnsiTheme="minorHAnsi" w:cstheme="minorHAnsi"/>
          <w:sz w:val="22"/>
          <w:szCs w:val="22"/>
        </w:rPr>
        <w:t xml:space="preserve"> </w:t>
      </w:r>
      <w:r w:rsidR="00EE60D0">
        <w:rPr>
          <w:rFonts w:asciiTheme="minorHAnsi" w:hAnsiTheme="minorHAnsi" w:cstheme="minorHAnsi"/>
          <w:sz w:val="22"/>
          <w:szCs w:val="22"/>
        </w:rPr>
        <w:t xml:space="preserve">izrađene su </w:t>
      </w:r>
      <w:r w:rsidR="00B15EC6">
        <w:rPr>
          <w:rFonts w:asciiTheme="minorHAnsi" w:hAnsiTheme="minorHAnsi" w:cstheme="minorHAnsi"/>
          <w:sz w:val="22"/>
          <w:szCs w:val="22"/>
        </w:rPr>
        <w:t>na</w:t>
      </w:r>
      <w:r w:rsidR="00EE60D0">
        <w:rPr>
          <w:rFonts w:asciiTheme="minorHAnsi" w:hAnsiTheme="minorHAnsi" w:cstheme="minorHAnsi"/>
          <w:sz w:val="22"/>
          <w:szCs w:val="22"/>
        </w:rPr>
        <w:t xml:space="preserve"> proizvodnom </w:t>
      </w:r>
      <w:r w:rsidR="00CA7C03">
        <w:rPr>
          <w:rFonts w:asciiTheme="minorHAnsi" w:hAnsiTheme="minorHAnsi" w:cstheme="minorHAnsi"/>
          <w:sz w:val="22"/>
          <w:szCs w:val="22"/>
        </w:rPr>
        <w:t xml:space="preserve">bloku </w:t>
      </w:r>
      <w:r w:rsidR="009B6B97" w:rsidRPr="009B6B97">
        <w:rPr>
          <w:rFonts w:asciiTheme="minorHAnsi" w:hAnsiTheme="minorHAnsi" w:cstheme="minorHAnsi"/>
          <w:sz w:val="22"/>
          <w:szCs w:val="22"/>
        </w:rPr>
        <w:t>Ras Qattara</w:t>
      </w:r>
      <w:r w:rsidR="00CA7C03">
        <w:rPr>
          <w:rFonts w:asciiTheme="minorHAnsi" w:hAnsiTheme="minorHAnsi" w:cstheme="minorHAnsi"/>
          <w:sz w:val="22"/>
          <w:szCs w:val="22"/>
        </w:rPr>
        <w:t xml:space="preserve"> </w:t>
      </w:r>
      <w:r w:rsidR="00612F40" w:rsidRPr="00612F40">
        <w:rPr>
          <w:rFonts w:asciiTheme="minorHAnsi" w:hAnsiTheme="minorHAnsi" w:cstheme="minorHAnsi"/>
          <w:sz w:val="22"/>
          <w:szCs w:val="22"/>
        </w:rPr>
        <w:t>i pripreme za provođenje seizmičk</w:t>
      </w:r>
      <w:r w:rsidR="00DA2CCE">
        <w:rPr>
          <w:rFonts w:asciiTheme="minorHAnsi" w:hAnsiTheme="minorHAnsi" w:cstheme="minorHAnsi"/>
          <w:sz w:val="22"/>
          <w:szCs w:val="22"/>
        </w:rPr>
        <w:t>ih</w:t>
      </w:r>
      <w:r w:rsidR="00612F40" w:rsidRPr="00612F40">
        <w:rPr>
          <w:rFonts w:asciiTheme="minorHAnsi" w:hAnsiTheme="minorHAnsi" w:cstheme="minorHAnsi"/>
          <w:sz w:val="22"/>
          <w:szCs w:val="22"/>
        </w:rPr>
        <w:t xml:space="preserve"> </w:t>
      </w:r>
      <w:r w:rsidR="00DA2CCE">
        <w:rPr>
          <w:rFonts w:asciiTheme="minorHAnsi" w:hAnsiTheme="minorHAnsi" w:cstheme="minorHAnsi"/>
          <w:sz w:val="22"/>
          <w:szCs w:val="22"/>
        </w:rPr>
        <w:t>ispitivanja</w:t>
      </w:r>
      <w:r w:rsidR="00612F40" w:rsidRPr="00612F40">
        <w:rPr>
          <w:rFonts w:asciiTheme="minorHAnsi" w:hAnsiTheme="minorHAnsi" w:cstheme="minorHAnsi"/>
          <w:sz w:val="22"/>
          <w:szCs w:val="22"/>
        </w:rPr>
        <w:t xml:space="preserve"> su u tijeku. Značajan doprinos Ininim naporima zelene tranzicije ogleda se i</w:t>
      </w:r>
      <w:r w:rsidR="00EB6B9B">
        <w:rPr>
          <w:rFonts w:asciiTheme="minorHAnsi" w:hAnsiTheme="minorHAnsi" w:cstheme="minorHAnsi"/>
          <w:sz w:val="22"/>
          <w:szCs w:val="22"/>
        </w:rPr>
        <w:t xml:space="preserve"> </w:t>
      </w:r>
      <w:r w:rsidR="00612F40" w:rsidRPr="00612F40">
        <w:rPr>
          <w:rFonts w:asciiTheme="minorHAnsi" w:hAnsiTheme="minorHAnsi" w:cstheme="minorHAnsi"/>
          <w:sz w:val="22"/>
          <w:szCs w:val="22"/>
        </w:rPr>
        <w:t xml:space="preserve">u pokretanju 3D seizmičkih aktivnosti na istražnom području Leščan te pripremnim aktivnostima za bušenje geotermalnih bušotina, kako </w:t>
      </w:r>
      <w:r w:rsidR="001A7280">
        <w:rPr>
          <w:rFonts w:asciiTheme="minorHAnsi" w:hAnsiTheme="minorHAnsi" w:cstheme="minorHAnsi"/>
          <w:sz w:val="22"/>
          <w:szCs w:val="22"/>
        </w:rPr>
        <w:t>na</w:t>
      </w:r>
      <w:r w:rsidR="00612F40" w:rsidRPr="00612F40">
        <w:rPr>
          <w:rFonts w:asciiTheme="minorHAnsi" w:hAnsiTheme="minorHAnsi" w:cstheme="minorHAnsi"/>
          <w:sz w:val="22"/>
          <w:szCs w:val="22"/>
        </w:rPr>
        <w:t xml:space="preserve"> Leščanu</w:t>
      </w:r>
      <w:r w:rsidR="004B0E75">
        <w:rPr>
          <w:rFonts w:asciiTheme="minorHAnsi" w:hAnsiTheme="minorHAnsi" w:cstheme="minorHAnsi"/>
          <w:sz w:val="22"/>
          <w:szCs w:val="22"/>
        </w:rPr>
        <w:t>,</w:t>
      </w:r>
      <w:r w:rsidR="00612F40" w:rsidRPr="00612F40">
        <w:rPr>
          <w:rFonts w:asciiTheme="minorHAnsi" w:hAnsiTheme="minorHAnsi" w:cstheme="minorHAnsi"/>
          <w:sz w:val="22"/>
          <w:szCs w:val="22"/>
        </w:rPr>
        <w:t xml:space="preserve"> tako i</w:t>
      </w:r>
      <w:r w:rsidR="00EB6B9B">
        <w:rPr>
          <w:rFonts w:asciiTheme="minorHAnsi" w:hAnsiTheme="minorHAnsi" w:cstheme="minorHAnsi"/>
          <w:sz w:val="22"/>
          <w:szCs w:val="22"/>
        </w:rPr>
        <w:t xml:space="preserve"> </w:t>
      </w:r>
      <w:r w:rsidR="001A7280">
        <w:rPr>
          <w:rFonts w:asciiTheme="minorHAnsi" w:hAnsiTheme="minorHAnsi" w:cstheme="minorHAnsi"/>
          <w:sz w:val="22"/>
          <w:szCs w:val="22"/>
        </w:rPr>
        <w:t>na</w:t>
      </w:r>
      <w:r w:rsidR="00612F40" w:rsidRPr="00612F40">
        <w:rPr>
          <w:rFonts w:asciiTheme="minorHAnsi" w:hAnsiTheme="minorHAnsi" w:cstheme="minorHAnsi"/>
          <w:sz w:val="22"/>
          <w:szCs w:val="22"/>
        </w:rPr>
        <w:t xml:space="preserve"> istražnom p</w:t>
      </w:r>
      <w:r w:rsidR="00EB6B9B">
        <w:rPr>
          <w:rFonts w:asciiTheme="minorHAnsi" w:hAnsiTheme="minorHAnsi" w:cstheme="minorHAnsi"/>
          <w:sz w:val="22"/>
          <w:szCs w:val="22"/>
        </w:rPr>
        <w:t xml:space="preserve">odručju </w:t>
      </w:r>
      <w:r w:rsidR="00612F40" w:rsidRPr="00612F40">
        <w:rPr>
          <w:rFonts w:asciiTheme="minorHAnsi" w:hAnsiTheme="minorHAnsi" w:cstheme="minorHAnsi"/>
          <w:sz w:val="22"/>
          <w:szCs w:val="22"/>
        </w:rPr>
        <w:t>Međimurje 5.</w:t>
      </w:r>
    </w:p>
    <w:p w14:paraId="6AA63437" w14:textId="5DE1B9BF" w:rsidR="00DC676C" w:rsidRDefault="005961E2" w:rsidP="003E0A2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4992706E" wp14:editId="11F00FD8">
            <wp:extent cx="2647784" cy="204208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78" cy="204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67F7">
        <w:rPr>
          <w:rFonts w:asciiTheme="minorHAnsi" w:hAnsiTheme="minorHAnsi" w:cstheme="minorHAnsi"/>
          <w:b/>
          <w:noProof/>
        </w:rPr>
        <w:drawing>
          <wp:inline distT="0" distB="0" distL="0" distR="0" wp14:anchorId="64DE8D41" wp14:editId="6736CEDF">
            <wp:extent cx="2647784" cy="2042082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45" cy="2044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57EB">
        <w:rPr>
          <w:rFonts w:asciiTheme="minorHAnsi" w:hAnsiTheme="minorHAnsi" w:cstheme="minorHAnsi"/>
          <w:b/>
          <w:noProof/>
        </w:rPr>
        <w:drawing>
          <wp:inline distT="0" distB="0" distL="0" distR="0" wp14:anchorId="50EEEF02" wp14:editId="379FB02D">
            <wp:extent cx="2735249" cy="2103772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59" cy="2109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4F140" w14:textId="09D08A4F" w:rsidR="00431052" w:rsidRPr="000F22E7" w:rsidRDefault="00431052" w:rsidP="003E0A2F">
      <w:pPr>
        <w:spacing w:line="360" w:lineRule="auto"/>
        <w:jc w:val="center"/>
        <w:rPr>
          <w:rFonts w:asciiTheme="minorHAnsi" w:hAnsiTheme="minorHAnsi" w:cstheme="minorHAnsi"/>
          <w:b/>
        </w:rPr>
        <w:sectPr w:rsidR="00431052" w:rsidRPr="000F22E7" w:rsidSect="007E71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36C0FC" w14:textId="2CB97731" w:rsidR="00E361DB" w:rsidRPr="000F22E7" w:rsidRDefault="00E361DB" w:rsidP="00AC1D42">
      <w:pPr>
        <w:spacing w:line="360" w:lineRule="auto"/>
        <w:jc w:val="both"/>
        <w:rPr>
          <w:rFonts w:asciiTheme="minorHAnsi" w:hAnsiTheme="minorHAnsi" w:cstheme="minorHAnsi"/>
        </w:rPr>
      </w:pPr>
    </w:p>
    <w:p w14:paraId="5537C91D" w14:textId="4F72E78B" w:rsidR="00E361DB" w:rsidRPr="000F22E7" w:rsidRDefault="00E361DB" w:rsidP="00C0068C">
      <w:pPr>
        <w:spacing w:line="360" w:lineRule="auto"/>
        <w:jc w:val="both"/>
        <w:rPr>
          <w:rFonts w:asciiTheme="minorHAnsi" w:hAnsiTheme="minorHAnsi" w:cstheme="minorHAnsi"/>
          <w:b/>
        </w:rPr>
        <w:sectPr w:rsidR="00E361DB" w:rsidRPr="000F22E7" w:rsidSect="007E71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62CAA65" w14:textId="1238627F" w:rsidR="00286848" w:rsidRPr="007B5E9E" w:rsidRDefault="00130DEA" w:rsidP="001B7C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5E9E">
        <w:rPr>
          <w:rFonts w:asciiTheme="minorHAnsi" w:hAnsiTheme="minorHAnsi" w:cstheme="minorHAnsi"/>
          <w:b/>
          <w:sz w:val="22"/>
          <w:szCs w:val="22"/>
        </w:rPr>
        <w:t>Rafinerije i marketing (uključujući Usluge kupcima i maloprodaju)</w:t>
      </w:r>
    </w:p>
    <w:p w14:paraId="655BF068" w14:textId="77777777" w:rsidR="004F240D" w:rsidRDefault="00922AE7" w:rsidP="00EF44D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F44DB">
        <w:rPr>
          <w:rFonts w:asciiTheme="minorHAnsi" w:hAnsiTheme="minorHAnsi" w:cstheme="minorHAnsi"/>
          <w:sz w:val="22"/>
          <w:szCs w:val="22"/>
        </w:rPr>
        <w:t>z aktivnosti remonta i dodatna povećanja energetske učinkovitosti te investicijske aktivnosti na Projektu nadogradnje Rafinerije nafte Rijeka</w:t>
      </w:r>
      <w:r>
        <w:rPr>
          <w:rFonts w:asciiTheme="minorHAnsi" w:hAnsiTheme="minorHAnsi" w:cstheme="minorHAnsi"/>
          <w:sz w:val="22"/>
          <w:szCs w:val="22"/>
        </w:rPr>
        <w:t>, rafinerijske su o</w:t>
      </w:r>
      <w:r w:rsidR="005B69A7">
        <w:rPr>
          <w:rFonts w:asciiTheme="minorHAnsi" w:hAnsiTheme="minorHAnsi" w:cstheme="minorHAnsi"/>
          <w:sz w:val="22"/>
          <w:szCs w:val="22"/>
        </w:rPr>
        <w:t>peracije bile u u</w:t>
      </w:r>
      <w:r w:rsidR="00EF44DB" w:rsidRPr="00EF44DB">
        <w:rPr>
          <w:rFonts w:asciiTheme="minorHAnsi" w:hAnsiTheme="minorHAnsi" w:cstheme="minorHAnsi"/>
          <w:sz w:val="22"/>
          <w:szCs w:val="22"/>
        </w:rPr>
        <w:t>vozn</w:t>
      </w:r>
      <w:r w:rsidR="005B69A7">
        <w:rPr>
          <w:rFonts w:asciiTheme="minorHAnsi" w:hAnsiTheme="minorHAnsi" w:cstheme="minorHAnsi"/>
          <w:sz w:val="22"/>
          <w:szCs w:val="22"/>
        </w:rPr>
        <w:t>om</w:t>
      </w:r>
      <w:r w:rsidR="00EF44DB" w:rsidRPr="00EF44DB">
        <w:rPr>
          <w:rFonts w:asciiTheme="minorHAnsi" w:hAnsiTheme="minorHAnsi" w:cstheme="minorHAnsi"/>
          <w:sz w:val="22"/>
          <w:szCs w:val="22"/>
        </w:rPr>
        <w:t xml:space="preserve"> način</w:t>
      </w:r>
      <w:r w:rsidR="005B69A7">
        <w:rPr>
          <w:rFonts w:asciiTheme="minorHAnsi" w:hAnsiTheme="minorHAnsi" w:cstheme="minorHAnsi"/>
          <w:sz w:val="22"/>
          <w:szCs w:val="22"/>
        </w:rPr>
        <w:t>u</w:t>
      </w:r>
      <w:r w:rsidR="00EF44DB" w:rsidRPr="00EF44DB">
        <w:rPr>
          <w:rFonts w:asciiTheme="minorHAnsi" w:hAnsiTheme="minorHAnsi" w:cstheme="minorHAnsi"/>
          <w:sz w:val="22"/>
          <w:szCs w:val="22"/>
        </w:rPr>
        <w:t xml:space="preserve"> rada tijekom prvog tromjesečja 2024.</w:t>
      </w:r>
      <w:r w:rsidR="005B69A7">
        <w:rPr>
          <w:rFonts w:asciiTheme="minorHAnsi" w:hAnsiTheme="minorHAnsi" w:cstheme="minorHAnsi"/>
          <w:sz w:val="22"/>
          <w:szCs w:val="22"/>
        </w:rPr>
        <w:t xml:space="preserve"> </w:t>
      </w:r>
      <w:r w:rsidR="00EF44DB" w:rsidRPr="00EF44DB">
        <w:rPr>
          <w:rFonts w:asciiTheme="minorHAnsi" w:hAnsiTheme="minorHAnsi" w:cstheme="minorHAnsi"/>
          <w:sz w:val="22"/>
          <w:szCs w:val="22"/>
        </w:rPr>
        <w:t>Opskrba tržišta osigurana je uvozom do početka rada rafinerije, uz veću prodaju na ključnim tržištima</w:t>
      </w:r>
      <w:r w:rsidR="005B69A7">
        <w:rPr>
          <w:rFonts w:asciiTheme="minorHAnsi" w:hAnsiTheme="minorHAnsi" w:cstheme="minorHAnsi"/>
          <w:sz w:val="22"/>
          <w:szCs w:val="22"/>
        </w:rPr>
        <w:t xml:space="preserve">. </w:t>
      </w:r>
      <w:r w:rsidR="00EF44DB" w:rsidRPr="00EF44DB">
        <w:rPr>
          <w:rFonts w:asciiTheme="minorHAnsi" w:hAnsiTheme="minorHAnsi" w:cstheme="minorHAnsi"/>
          <w:sz w:val="22"/>
          <w:szCs w:val="22"/>
        </w:rPr>
        <w:t>Veleprodajne marže u okruženju rasta cijena i rezultati trgovanja plinom generirali su bolju CCS EBITDA-u u prvom tromjesečju 2024. u odnosu na prvo tromjesečje 2023. godine</w:t>
      </w:r>
      <w:r w:rsidR="005B69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8DEC2B" w14:textId="77777777" w:rsidR="004F240D" w:rsidRDefault="004F240D" w:rsidP="00EF44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98E154" w14:textId="767A7C4E" w:rsidR="00393EAA" w:rsidRDefault="00EF44DB" w:rsidP="00EF44DB">
      <w:pPr>
        <w:jc w:val="both"/>
        <w:rPr>
          <w:rFonts w:asciiTheme="minorHAnsi" w:hAnsiTheme="minorHAnsi" w:cstheme="minorHAnsi"/>
          <w:sz w:val="22"/>
          <w:szCs w:val="22"/>
        </w:rPr>
      </w:pPr>
      <w:r w:rsidRPr="00EF44DB">
        <w:rPr>
          <w:rFonts w:asciiTheme="minorHAnsi" w:hAnsiTheme="minorHAnsi" w:cstheme="minorHAnsi"/>
          <w:sz w:val="22"/>
          <w:szCs w:val="22"/>
        </w:rPr>
        <w:lastRenderedPageBreak/>
        <w:t>Ukupne prodane količine djelatnosti Uslug</w:t>
      </w:r>
      <w:r w:rsidR="00C91BBD">
        <w:rPr>
          <w:rFonts w:asciiTheme="minorHAnsi" w:hAnsiTheme="minorHAnsi" w:cstheme="minorHAnsi"/>
          <w:sz w:val="22"/>
          <w:szCs w:val="22"/>
        </w:rPr>
        <w:t>e</w:t>
      </w:r>
      <w:r w:rsidRPr="00EF44DB">
        <w:rPr>
          <w:rFonts w:asciiTheme="minorHAnsi" w:hAnsiTheme="minorHAnsi" w:cstheme="minorHAnsi"/>
          <w:sz w:val="22"/>
          <w:szCs w:val="22"/>
        </w:rPr>
        <w:t xml:space="preserve"> kupcima i maloprodaj</w:t>
      </w:r>
      <w:r w:rsidR="00C91BBD">
        <w:rPr>
          <w:rFonts w:asciiTheme="minorHAnsi" w:hAnsiTheme="minorHAnsi" w:cstheme="minorHAnsi"/>
          <w:sz w:val="22"/>
          <w:szCs w:val="22"/>
        </w:rPr>
        <w:t>a</w:t>
      </w:r>
      <w:r w:rsidRPr="00EF44DB">
        <w:rPr>
          <w:rFonts w:asciiTheme="minorHAnsi" w:hAnsiTheme="minorHAnsi" w:cstheme="minorHAnsi"/>
          <w:sz w:val="22"/>
          <w:szCs w:val="22"/>
        </w:rPr>
        <w:t xml:space="preserve"> u prvom tromjesečju 2024. godinu iznosile su 298 kt</w:t>
      </w:r>
      <w:r w:rsidR="00D30047">
        <w:rPr>
          <w:rFonts w:asciiTheme="minorHAnsi" w:hAnsiTheme="minorHAnsi" w:cstheme="minorHAnsi"/>
          <w:sz w:val="22"/>
          <w:szCs w:val="22"/>
        </w:rPr>
        <w:t xml:space="preserve"> (kilotona)</w:t>
      </w:r>
      <w:r w:rsidRPr="00EF44DB">
        <w:rPr>
          <w:rFonts w:asciiTheme="minorHAnsi" w:hAnsiTheme="minorHAnsi" w:cstheme="minorHAnsi"/>
          <w:sz w:val="22"/>
          <w:szCs w:val="22"/>
        </w:rPr>
        <w:t>, 13</w:t>
      </w:r>
      <w:r w:rsidR="00B46113">
        <w:rPr>
          <w:rFonts w:asciiTheme="minorHAnsi" w:hAnsiTheme="minorHAnsi" w:cstheme="minorHAnsi"/>
          <w:sz w:val="22"/>
          <w:szCs w:val="22"/>
        </w:rPr>
        <w:t xml:space="preserve"> </w:t>
      </w:r>
      <w:r w:rsidRPr="00EF44DB">
        <w:rPr>
          <w:rFonts w:asciiTheme="minorHAnsi" w:hAnsiTheme="minorHAnsi" w:cstheme="minorHAnsi"/>
          <w:sz w:val="22"/>
          <w:szCs w:val="22"/>
        </w:rPr>
        <w:t>% više od istog razdoblja prošle godine, uslijed veće realizacije na hrvatskom tržištu (+29 kt), ponajviše kao rezultat pozitivnih tržišnih trendova</w:t>
      </w:r>
      <w:r w:rsidR="00B46113">
        <w:rPr>
          <w:rFonts w:asciiTheme="minorHAnsi" w:hAnsiTheme="minorHAnsi" w:cstheme="minorHAnsi"/>
          <w:sz w:val="22"/>
          <w:szCs w:val="22"/>
        </w:rPr>
        <w:t xml:space="preserve">. </w:t>
      </w:r>
      <w:r w:rsidRPr="00EF44DB">
        <w:rPr>
          <w:rFonts w:asciiTheme="minorHAnsi" w:hAnsiTheme="minorHAnsi" w:cstheme="minorHAnsi"/>
          <w:sz w:val="22"/>
          <w:szCs w:val="22"/>
        </w:rPr>
        <w:t>Marža negoriva rasla je 44</w:t>
      </w:r>
      <w:r w:rsidR="00B46113">
        <w:rPr>
          <w:rFonts w:asciiTheme="minorHAnsi" w:hAnsiTheme="minorHAnsi" w:cstheme="minorHAnsi"/>
          <w:sz w:val="22"/>
          <w:szCs w:val="22"/>
        </w:rPr>
        <w:t xml:space="preserve"> </w:t>
      </w:r>
      <w:r w:rsidRPr="00EF44DB">
        <w:rPr>
          <w:rFonts w:asciiTheme="minorHAnsi" w:hAnsiTheme="minorHAnsi" w:cstheme="minorHAnsi"/>
          <w:sz w:val="22"/>
          <w:szCs w:val="22"/>
        </w:rPr>
        <w:t>% što odražava kontinuirano širenje asortimana i usluga, porast broja Fresh Corner lokacija i podršku programa vjernosti INA Loyalty koji je premašio 620 tisuća registriranih članova</w:t>
      </w:r>
      <w:r w:rsidR="00B46113">
        <w:rPr>
          <w:rFonts w:asciiTheme="minorHAnsi" w:hAnsiTheme="minorHAnsi" w:cstheme="minorHAnsi"/>
          <w:sz w:val="22"/>
          <w:szCs w:val="22"/>
        </w:rPr>
        <w:t>.</w:t>
      </w:r>
    </w:p>
    <w:p w14:paraId="16F6D112" w14:textId="77777777" w:rsidR="00F90AA4" w:rsidRDefault="00F90AA4" w:rsidP="00EF44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D57DE" w14:textId="68DFDC8F" w:rsidR="00CA4C8A" w:rsidRPr="00CE1E6A" w:rsidRDefault="00F90AA4" w:rsidP="00F90AA4">
      <w:pPr>
        <w:jc w:val="both"/>
        <w:rPr>
          <w:rFonts w:asciiTheme="minorHAnsi" w:hAnsiTheme="minorHAnsi" w:cstheme="minorHAnsi"/>
          <w:sz w:val="22"/>
          <w:szCs w:val="22"/>
        </w:rPr>
      </w:pPr>
      <w:r w:rsidRPr="00CE1E6A">
        <w:rPr>
          <w:rFonts w:asciiTheme="minorHAnsi" w:hAnsiTheme="minorHAnsi" w:cstheme="minorHAnsi"/>
          <w:sz w:val="22"/>
          <w:szCs w:val="22"/>
        </w:rPr>
        <w:t>Kapitalna ulaganja djelatnosti Rafinerija i marketinga</w:t>
      </w:r>
      <w:r w:rsidR="001F18DA">
        <w:rPr>
          <w:rFonts w:asciiTheme="minorHAnsi" w:hAnsiTheme="minorHAnsi" w:cstheme="minorHAnsi"/>
          <w:sz w:val="22"/>
          <w:szCs w:val="22"/>
        </w:rPr>
        <w:t xml:space="preserve"> </w:t>
      </w:r>
      <w:r w:rsidR="001F18DA" w:rsidRPr="001F18DA">
        <w:rPr>
          <w:rFonts w:asciiTheme="minorHAnsi" w:hAnsiTheme="minorHAnsi" w:cstheme="minorHAnsi"/>
          <w:sz w:val="22"/>
          <w:szCs w:val="22"/>
        </w:rPr>
        <w:t>(uključujući Usluge kupcima i maloprodaju)</w:t>
      </w:r>
      <w:r w:rsidRPr="00CE1E6A">
        <w:rPr>
          <w:rFonts w:asciiTheme="minorHAnsi" w:hAnsiTheme="minorHAnsi" w:cstheme="minorHAnsi"/>
          <w:sz w:val="22"/>
          <w:szCs w:val="22"/>
        </w:rPr>
        <w:t xml:space="preserve"> iznosila su 8</w:t>
      </w:r>
      <w:r w:rsidR="001F18DA">
        <w:rPr>
          <w:rFonts w:asciiTheme="minorHAnsi" w:hAnsiTheme="minorHAnsi" w:cstheme="minorHAnsi"/>
          <w:sz w:val="22"/>
          <w:szCs w:val="22"/>
        </w:rPr>
        <w:t>3</w:t>
      </w:r>
      <w:r w:rsidRPr="00CE1E6A">
        <w:rPr>
          <w:rFonts w:asciiTheme="minorHAnsi" w:hAnsiTheme="minorHAnsi" w:cstheme="minorHAnsi"/>
          <w:sz w:val="22"/>
          <w:szCs w:val="22"/>
        </w:rPr>
        <w:t>,9 milijuna eura</w:t>
      </w:r>
      <w:r w:rsidR="00CA4C8A" w:rsidRPr="00CE1E6A">
        <w:rPr>
          <w:rFonts w:asciiTheme="minorHAnsi" w:hAnsiTheme="minorHAnsi" w:cstheme="minorHAnsi"/>
          <w:sz w:val="22"/>
          <w:szCs w:val="22"/>
        </w:rPr>
        <w:t>. P</w:t>
      </w:r>
      <w:r w:rsidRPr="00CE1E6A">
        <w:rPr>
          <w:rFonts w:asciiTheme="minorHAnsi" w:hAnsiTheme="minorHAnsi" w:cstheme="minorHAnsi"/>
          <w:sz w:val="22"/>
          <w:szCs w:val="22"/>
        </w:rPr>
        <w:t xml:space="preserve">rojekt nadogradnje Rafinerije nafte Rijeka </w:t>
      </w:r>
      <w:r w:rsidR="00CA4C8A" w:rsidRPr="00CE1E6A">
        <w:rPr>
          <w:rFonts w:asciiTheme="minorHAnsi" w:hAnsiTheme="minorHAnsi" w:cstheme="minorHAnsi"/>
          <w:sz w:val="22"/>
          <w:szCs w:val="22"/>
        </w:rPr>
        <w:t xml:space="preserve">je </w:t>
      </w:r>
      <w:r w:rsidR="008A6078" w:rsidRPr="00CE1E6A">
        <w:rPr>
          <w:rFonts w:asciiTheme="minorHAnsi" w:hAnsiTheme="minorHAnsi" w:cstheme="minorHAnsi"/>
          <w:sz w:val="22"/>
          <w:szCs w:val="22"/>
        </w:rPr>
        <w:t>na</w:t>
      </w:r>
      <w:r w:rsidRPr="00CE1E6A">
        <w:rPr>
          <w:rFonts w:asciiTheme="minorHAnsi" w:hAnsiTheme="minorHAnsi" w:cstheme="minorHAnsi"/>
          <w:sz w:val="22"/>
          <w:szCs w:val="22"/>
        </w:rPr>
        <w:t xml:space="preserve"> 87</w:t>
      </w:r>
      <w:r w:rsidR="008A6078" w:rsidRPr="00CE1E6A">
        <w:rPr>
          <w:rFonts w:asciiTheme="minorHAnsi" w:hAnsiTheme="minorHAnsi" w:cstheme="minorHAnsi"/>
          <w:sz w:val="22"/>
          <w:szCs w:val="22"/>
        </w:rPr>
        <w:t xml:space="preserve"> </w:t>
      </w:r>
      <w:r w:rsidRPr="00CE1E6A">
        <w:rPr>
          <w:rFonts w:asciiTheme="minorHAnsi" w:hAnsiTheme="minorHAnsi" w:cstheme="minorHAnsi"/>
          <w:sz w:val="22"/>
          <w:szCs w:val="22"/>
        </w:rPr>
        <w:t xml:space="preserve">% </w:t>
      </w:r>
      <w:r w:rsidR="008A6078" w:rsidRPr="00CE1E6A">
        <w:rPr>
          <w:rFonts w:asciiTheme="minorHAnsi" w:hAnsiTheme="minorHAnsi" w:cstheme="minorHAnsi"/>
          <w:sz w:val="22"/>
          <w:szCs w:val="22"/>
        </w:rPr>
        <w:t>ukupne dovršenosti</w:t>
      </w:r>
      <w:r w:rsidRPr="00CE1E6A">
        <w:rPr>
          <w:rFonts w:asciiTheme="minorHAnsi" w:hAnsiTheme="minorHAnsi" w:cstheme="minorHAnsi"/>
          <w:sz w:val="22"/>
          <w:szCs w:val="22"/>
        </w:rPr>
        <w:t xml:space="preserve"> s trenutno aktivnim građevinskim i cjevarskim radovima.</w:t>
      </w:r>
      <w:r w:rsidR="00B55726" w:rsidRPr="00CE1E6A">
        <w:rPr>
          <w:rFonts w:asciiTheme="minorHAnsi" w:hAnsiTheme="minorHAnsi" w:cstheme="minorHAnsi"/>
          <w:sz w:val="22"/>
          <w:szCs w:val="22"/>
        </w:rPr>
        <w:t xml:space="preserve"> Osim remonta i modernizacije, provedeno je više projekata za povećanje učinkovitosti rafinerije.</w:t>
      </w:r>
    </w:p>
    <w:p w14:paraId="635F7A94" w14:textId="77777777" w:rsidR="00CA4C8A" w:rsidRPr="00CE1E6A" w:rsidRDefault="00CA4C8A" w:rsidP="00F90A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0669D" w14:textId="4D0A7C0E" w:rsidR="00F90AA4" w:rsidRPr="00CE1E6A" w:rsidRDefault="00F90AA4" w:rsidP="00F90AA4">
      <w:pPr>
        <w:jc w:val="both"/>
        <w:rPr>
          <w:rFonts w:asciiTheme="minorHAnsi" w:hAnsiTheme="minorHAnsi" w:cstheme="minorHAnsi"/>
          <w:sz w:val="22"/>
          <w:szCs w:val="22"/>
        </w:rPr>
      </w:pPr>
      <w:r w:rsidRPr="00CE1E6A">
        <w:rPr>
          <w:rFonts w:asciiTheme="minorHAnsi" w:hAnsiTheme="minorHAnsi" w:cstheme="minorHAnsi"/>
          <w:sz w:val="22"/>
          <w:szCs w:val="22"/>
        </w:rPr>
        <w:t xml:space="preserve">Kapitalna ulaganja u djelatnosti Usluge kupcima i maloprodaja </w:t>
      </w:r>
      <w:r w:rsidR="00DE71B5" w:rsidRPr="00DE71B5">
        <w:rPr>
          <w:rFonts w:asciiTheme="minorHAnsi" w:hAnsiTheme="minorHAnsi" w:cstheme="minorHAnsi"/>
          <w:sz w:val="22"/>
          <w:szCs w:val="22"/>
        </w:rPr>
        <w:t>usmjeren</w:t>
      </w:r>
      <w:r w:rsidR="00DE71B5">
        <w:rPr>
          <w:rFonts w:asciiTheme="minorHAnsi" w:hAnsiTheme="minorHAnsi" w:cstheme="minorHAnsi"/>
          <w:sz w:val="22"/>
          <w:szCs w:val="22"/>
        </w:rPr>
        <w:t>a</w:t>
      </w:r>
      <w:r w:rsidR="00DE71B5" w:rsidRPr="00DE71B5">
        <w:rPr>
          <w:rFonts w:asciiTheme="minorHAnsi" w:hAnsiTheme="minorHAnsi" w:cstheme="minorHAnsi"/>
          <w:sz w:val="22"/>
          <w:szCs w:val="22"/>
        </w:rPr>
        <w:t xml:space="preserve"> su u projekte rasta, rekonstrukcije postojećih maloprodajnih mjesta i dodatnu implementaciju Fresh Cornera. </w:t>
      </w:r>
      <w:r w:rsidRPr="00CE1E6A">
        <w:rPr>
          <w:rFonts w:asciiTheme="minorHAnsi" w:hAnsiTheme="minorHAnsi" w:cstheme="minorHAnsi"/>
          <w:sz w:val="22"/>
          <w:szCs w:val="22"/>
        </w:rPr>
        <w:t xml:space="preserve">Mreža se trenutno sastoji od 509 maloprodajnih mjesta (od čega </w:t>
      </w:r>
      <w:r w:rsidR="00374B1B" w:rsidRPr="00CE1E6A">
        <w:rPr>
          <w:rFonts w:asciiTheme="minorHAnsi" w:hAnsiTheme="minorHAnsi" w:cstheme="minorHAnsi"/>
          <w:sz w:val="22"/>
          <w:szCs w:val="22"/>
        </w:rPr>
        <w:t xml:space="preserve">njih </w:t>
      </w:r>
      <w:r w:rsidRPr="00CE1E6A">
        <w:rPr>
          <w:rFonts w:asciiTheme="minorHAnsi" w:hAnsiTheme="minorHAnsi" w:cstheme="minorHAnsi"/>
          <w:sz w:val="22"/>
          <w:szCs w:val="22"/>
        </w:rPr>
        <w:t>393 u Hrvatskoj)</w:t>
      </w:r>
      <w:r w:rsidR="00374B1B" w:rsidRPr="00CE1E6A">
        <w:rPr>
          <w:rFonts w:asciiTheme="minorHAnsi" w:hAnsiTheme="minorHAnsi" w:cstheme="minorHAnsi"/>
          <w:sz w:val="22"/>
          <w:szCs w:val="22"/>
        </w:rPr>
        <w:t>.</w:t>
      </w:r>
    </w:p>
    <w:p w14:paraId="69A5D167" w14:textId="77777777" w:rsidR="007B5E9E" w:rsidRDefault="007B5E9E" w:rsidP="00ED34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15C39C" w14:textId="77777777" w:rsidR="00EF44DB" w:rsidRDefault="00EF44DB" w:rsidP="00ED34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E57887" w14:textId="2C221553" w:rsidR="00EF44DB" w:rsidRPr="000F22E7" w:rsidRDefault="00EF44DB" w:rsidP="00ED34D1">
      <w:pPr>
        <w:jc w:val="both"/>
        <w:rPr>
          <w:rFonts w:asciiTheme="minorHAnsi" w:hAnsiTheme="minorHAnsi" w:cstheme="minorHAnsi"/>
          <w:sz w:val="20"/>
          <w:szCs w:val="20"/>
        </w:rPr>
        <w:sectPr w:rsidR="00EF44DB" w:rsidRPr="000F22E7" w:rsidSect="007E71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4DAB63" w14:textId="70303405" w:rsidR="008C6D6F" w:rsidRPr="000F22E7" w:rsidRDefault="00E8560F" w:rsidP="008D5236">
      <w:pPr>
        <w:spacing w:line="360" w:lineRule="auto"/>
        <w:jc w:val="both"/>
        <w:rPr>
          <w:rFonts w:asciiTheme="minorHAnsi" w:hAnsiTheme="minorHAnsi" w:cstheme="minorHAnsi"/>
        </w:rPr>
        <w:sectPr w:rsidR="008C6D6F" w:rsidRPr="000F22E7" w:rsidSect="007E71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BB312BB" wp14:editId="5F6CA342">
            <wp:extent cx="2623931" cy="2018153"/>
            <wp:effectExtent l="0" t="0" r="508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83" cy="2021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358">
        <w:rPr>
          <w:rFonts w:asciiTheme="minorHAnsi" w:hAnsiTheme="minorHAnsi" w:cstheme="minorHAnsi"/>
          <w:noProof/>
        </w:rPr>
        <w:drawing>
          <wp:inline distT="0" distB="0" distL="0" distR="0" wp14:anchorId="6CAC2509" wp14:editId="29164FBB">
            <wp:extent cx="2862470" cy="2418583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85" cy="242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358">
        <w:rPr>
          <w:rFonts w:asciiTheme="minorHAnsi" w:hAnsiTheme="minorHAnsi" w:cstheme="minorHAnsi"/>
          <w:noProof/>
        </w:rPr>
        <w:drawing>
          <wp:inline distT="0" distB="0" distL="0" distR="0" wp14:anchorId="5E2DB09E" wp14:editId="63BE1242">
            <wp:extent cx="2639833" cy="2041515"/>
            <wp:effectExtent l="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96" cy="2050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371A">
        <w:rPr>
          <w:rFonts w:asciiTheme="minorHAnsi" w:hAnsiTheme="minorHAnsi" w:cstheme="minorHAnsi"/>
          <w:noProof/>
        </w:rPr>
        <w:drawing>
          <wp:inline distT="0" distB="0" distL="0" distR="0" wp14:anchorId="2F8102C9" wp14:editId="461AB4A6">
            <wp:extent cx="2639695" cy="2037542"/>
            <wp:effectExtent l="0" t="0" r="8255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82" cy="2040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6B395DDF" w14:textId="6F7E93FB" w:rsidR="0051395B" w:rsidRPr="000F22E7" w:rsidRDefault="0051395B" w:rsidP="00633A21">
      <w:pPr>
        <w:rPr>
          <w:rFonts w:asciiTheme="minorHAnsi" w:hAnsiTheme="minorHAnsi" w:cstheme="minorHAnsi"/>
        </w:rPr>
      </w:pPr>
    </w:p>
    <w:sectPr w:rsidR="0051395B" w:rsidRPr="000F22E7" w:rsidSect="007E71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ADA2" w14:textId="77777777" w:rsidR="007E71F5" w:rsidRDefault="007E71F5" w:rsidP="00A07306">
      <w:r>
        <w:separator/>
      </w:r>
    </w:p>
  </w:endnote>
  <w:endnote w:type="continuationSeparator" w:id="0">
    <w:p w14:paraId="6D138DCD" w14:textId="77777777" w:rsidR="007E71F5" w:rsidRDefault="007E71F5" w:rsidP="00A0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22FE" w14:textId="77777777" w:rsidR="00180429" w:rsidRDefault="00180429" w:rsidP="00180429">
    <w:pPr>
      <w:pStyle w:val="Footer"/>
      <w:tabs>
        <w:tab w:val="left" w:pos="250"/>
        <w:tab w:val="right" w:pos="9354"/>
      </w:tabs>
      <w:rPr>
        <w:rFonts w:cs="Arial"/>
        <w:sz w:val="11"/>
        <w:szCs w:val="11"/>
      </w:rPr>
    </w:pPr>
    <w:r>
      <w:rPr>
        <w:rFonts w:cs="Arial"/>
        <w:sz w:val="11"/>
        <w:szCs w:val="11"/>
      </w:rPr>
      <w:tab/>
    </w:r>
  </w:p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9C4BD4" w:rsidRPr="00713B78" w14:paraId="23C2270B" w14:textId="77777777" w:rsidTr="000D5673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10CDF1CD" w14:textId="77777777" w:rsidR="009C4BD4" w:rsidRDefault="009C4BD4" w:rsidP="009C4BD4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47C210C7" w14:textId="77777777" w:rsidR="009C4BD4" w:rsidRPr="002B598A" w:rsidRDefault="009C4BD4" w:rsidP="009C4BD4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7B0A6AD2" w14:textId="77777777" w:rsidR="009C4BD4" w:rsidRPr="002B598A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59B0F3E5" w14:textId="77777777" w:rsidR="009C4BD4" w:rsidRPr="002B598A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748990E6" w14:textId="77777777" w:rsidR="009C4BD4" w:rsidRDefault="009C4BD4" w:rsidP="009C4BD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5C88B94B" w14:textId="77777777" w:rsidR="009C4BD4" w:rsidRPr="00B871AD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04396843" w14:textId="77777777" w:rsidR="009C4BD4" w:rsidRPr="002B598A" w:rsidRDefault="009C4BD4" w:rsidP="009C4BD4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961890A" w14:textId="77777777" w:rsidR="009C4BD4" w:rsidRDefault="009C4BD4" w:rsidP="009C4BD4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1DD30F0A" w14:textId="77777777" w:rsidR="009C4BD4" w:rsidRPr="00713B78" w:rsidRDefault="009C4BD4" w:rsidP="009C4BD4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4F4B445" w14:textId="77777777" w:rsidR="009C4BD4" w:rsidRPr="00713B78" w:rsidRDefault="009C4BD4" w:rsidP="009C4BD4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7AB49966" w14:textId="77777777" w:rsidR="009C4BD4" w:rsidRPr="00713B78" w:rsidRDefault="009C4BD4" w:rsidP="009C4BD4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D6DD231" w14:textId="77777777" w:rsidR="009C4BD4" w:rsidRPr="00713B78" w:rsidRDefault="009C4BD4" w:rsidP="009C4BD4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7925909E" w14:textId="77777777" w:rsidR="009C4BD4" w:rsidRPr="00713B78" w:rsidRDefault="009C4BD4" w:rsidP="009C4BD4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129F01D" w14:textId="77777777" w:rsidR="009C4BD4" w:rsidRPr="00713B78" w:rsidRDefault="009C4BD4" w:rsidP="009C4BD4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0ED65F9" w14:textId="77777777" w:rsidR="009C4BD4" w:rsidRPr="00713B78" w:rsidRDefault="009C4BD4" w:rsidP="009C4BD4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1E6DC857" w14:textId="77777777" w:rsidR="009C4BD4" w:rsidRPr="00713B78" w:rsidRDefault="009C4BD4" w:rsidP="009C4BD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74AB84FF" w14:textId="77777777" w:rsidR="009C4BD4" w:rsidRPr="00713B78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731A3135" w14:textId="77777777" w:rsidR="009C4BD4" w:rsidRPr="00713B78" w:rsidRDefault="009C4BD4" w:rsidP="009C4BD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4EDEA0C9" w14:textId="77777777" w:rsidR="009C4BD4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4DCB1377" w14:textId="77777777" w:rsidR="009C4BD4" w:rsidRPr="00713B78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02B68AE9" w14:textId="77777777" w:rsidR="009C4BD4" w:rsidRPr="00713B78" w:rsidRDefault="009C4BD4" w:rsidP="009C4BD4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2FFBB57B" w14:textId="77777777" w:rsidR="009C4BD4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666E094C" w14:textId="77777777" w:rsidR="009C4BD4" w:rsidRPr="00713B78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667A2BF" w14:textId="77777777" w:rsidR="009C4BD4" w:rsidRPr="00713B78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70DB2FB5" w14:textId="77777777" w:rsidR="009C4BD4" w:rsidRPr="00713B78" w:rsidRDefault="009C4BD4" w:rsidP="009C4BD4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9C4BD4" w:rsidRPr="002B598A" w14:paraId="1EA73095" w14:textId="77777777" w:rsidTr="000D5673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6A60A73C" w14:textId="77777777" w:rsidR="009C4BD4" w:rsidRPr="002B598A" w:rsidRDefault="009C4BD4" w:rsidP="009C4BD4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8FCABA0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3050D226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279AB80D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75937FB2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3696B99D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4F5B8FE1" w14:textId="77777777" w:rsidR="009C4BD4" w:rsidRDefault="009C4BD4" w:rsidP="009C4BD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06AB8E66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7E82827E" w14:textId="77777777" w:rsidR="009C4BD4" w:rsidRDefault="009C4BD4" w:rsidP="009C4BD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6FD518C0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D237D0D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5814CF1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3C717EA3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6913F8D2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3E3D86AD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59647463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DD1D620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7610737F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702BC24D" w14:textId="77777777" w:rsidR="009C4BD4" w:rsidRPr="00713B78" w:rsidRDefault="009C4BD4" w:rsidP="009C4BD4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9C9E4DB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315D7A27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6A2406C7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0324ED9E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3ABC7A66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6BB07724" w14:textId="77777777" w:rsidR="009C4BD4" w:rsidRDefault="009C4BD4" w:rsidP="009C4BD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6BD799FC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93B46C4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16AE8A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3B3295BC" w14:textId="77777777" w:rsidR="009C4BD4" w:rsidRPr="002B598A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9C4BD4" w:rsidRPr="002B598A" w14:paraId="10DCF8C6" w14:textId="77777777" w:rsidTr="000D5673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EFF8219" w14:textId="77777777" w:rsidR="009C4BD4" w:rsidRPr="002B598A" w:rsidRDefault="009C4BD4" w:rsidP="009C4BD4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B2EB4DF" w14:textId="77777777" w:rsidR="009C4BD4" w:rsidRPr="002B598A" w:rsidRDefault="009C4BD4" w:rsidP="009C4BD4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r w:rsidRPr="00BD786D">
            <w:rPr>
              <w:sz w:val="11"/>
              <w:szCs w:val="11"/>
            </w:rPr>
            <w:t>Károly Hazuga</w:t>
          </w:r>
          <w:r w:rsidRPr="00847E16">
            <w:rPr>
              <w:sz w:val="11"/>
              <w:szCs w:val="11"/>
            </w:rPr>
            <w:t>, Miroslav Skalicki, Hrvoje Šimović, Marin Zovko</w:t>
          </w:r>
        </w:p>
        <w:p w14:paraId="49DDCD44" w14:textId="77777777" w:rsidR="009C4BD4" w:rsidRPr="002B598A" w:rsidRDefault="009C4BD4" w:rsidP="009C4BD4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D188617" w14:textId="77777777" w:rsidR="009C4BD4" w:rsidRPr="002B598A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9C4BD4" w:rsidRPr="002B598A" w14:paraId="1E813ABA" w14:textId="77777777" w:rsidTr="000D5673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840844C" w14:textId="77777777" w:rsidR="009C4BD4" w:rsidRDefault="009C4BD4" w:rsidP="009C4BD4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200C36" w14:textId="77777777" w:rsidR="009C4BD4" w:rsidRPr="002B598A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2B9BBC19" w14:textId="5D7531EC" w:rsidR="003E20D9" w:rsidRPr="00095236" w:rsidRDefault="00180429" w:rsidP="00180429">
    <w:pPr>
      <w:pStyle w:val="Footer"/>
      <w:tabs>
        <w:tab w:val="left" w:pos="250"/>
        <w:tab w:val="right" w:pos="9354"/>
      </w:tabs>
    </w:pPr>
    <w:r>
      <w:rPr>
        <w:rFonts w:cs="Arial"/>
        <w:sz w:val="11"/>
        <w:szCs w:val="11"/>
      </w:rPr>
      <w:tab/>
    </w:r>
    <w:r w:rsidR="003E20D9">
      <w:rPr>
        <w:rFonts w:cs="Arial"/>
        <w:sz w:val="11"/>
        <w:szCs w:val="11"/>
      </w:rPr>
      <w:tab/>
    </w:r>
    <w:r w:rsidR="003E20D9" w:rsidRPr="003F5049">
      <w:rPr>
        <w:rFonts w:cs="Arial"/>
        <w:sz w:val="11"/>
        <w:szCs w:val="11"/>
      </w:rPr>
      <w:t xml:space="preserve">str. - </w:t>
    </w:r>
    <w:r w:rsidR="003E20D9" w:rsidRPr="003F5049">
      <w:rPr>
        <w:rFonts w:cs="Arial"/>
        <w:i/>
        <w:sz w:val="11"/>
        <w:szCs w:val="11"/>
      </w:rPr>
      <w:t>page</w:t>
    </w:r>
    <w:r w:rsidR="003E20D9" w:rsidRPr="003F5049">
      <w:rPr>
        <w:rFonts w:cs="Arial"/>
        <w:sz w:val="11"/>
        <w:szCs w:val="11"/>
      </w:rPr>
      <w:t xml:space="preserve"> </w:t>
    </w:r>
    <w:r w:rsidR="003E20D9" w:rsidRPr="003F5049">
      <w:rPr>
        <w:rFonts w:cs="Arial"/>
        <w:sz w:val="11"/>
        <w:szCs w:val="11"/>
      </w:rPr>
      <w:fldChar w:fldCharType="begin"/>
    </w:r>
    <w:r w:rsidR="003E20D9" w:rsidRPr="003F5049">
      <w:rPr>
        <w:rFonts w:cs="Arial"/>
        <w:sz w:val="11"/>
        <w:szCs w:val="11"/>
      </w:rPr>
      <w:instrText xml:space="preserve"> PAGE   \* MERGEFORMAT </w:instrText>
    </w:r>
    <w:r w:rsidR="003E20D9" w:rsidRPr="003F5049">
      <w:rPr>
        <w:rFonts w:cs="Arial"/>
        <w:sz w:val="11"/>
        <w:szCs w:val="11"/>
      </w:rPr>
      <w:fldChar w:fldCharType="separate"/>
    </w:r>
    <w:r w:rsidR="003E20D9">
      <w:rPr>
        <w:rFonts w:cs="Arial"/>
        <w:sz w:val="11"/>
        <w:szCs w:val="11"/>
      </w:rPr>
      <w:t>1</w:t>
    </w:r>
    <w:r w:rsidR="003E20D9" w:rsidRPr="003F5049">
      <w:rPr>
        <w:rFonts w:cs="Arial"/>
        <w:sz w:val="11"/>
        <w:szCs w:val="11"/>
      </w:rPr>
      <w:fldChar w:fldCharType="end"/>
    </w:r>
    <w:r w:rsidR="003E20D9" w:rsidRPr="003F5049">
      <w:rPr>
        <w:rFonts w:cs="Arial"/>
        <w:sz w:val="11"/>
        <w:szCs w:val="11"/>
      </w:rPr>
      <w:t>/</w:t>
    </w:r>
    <w:r w:rsidR="003E20D9" w:rsidRPr="003F5049">
      <w:rPr>
        <w:rFonts w:cs="Arial"/>
        <w:sz w:val="11"/>
        <w:szCs w:val="11"/>
      </w:rPr>
      <w:fldChar w:fldCharType="begin"/>
    </w:r>
    <w:r w:rsidR="003E20D9" w:rsidRPr="003F5049">
      <w:rPr>
        <w:rFonts w:cs="Arial"/>
        <w:sz w:val="11"/>
        <w:szCs w:val="11"/>
      </w:rPr>
      <w:instrText xml:space="preserve"> NUMPAGES   \* MERGEFORMAT </w:instrText>
    </w:r>
    <w:r w:rsidR="003E20D9" w:rsidRPr="003F5049">
      <w:rPr>
        <w:rFonts w:cs="Arial"/>
        <w:sz w:val="11"/>
        <w:szCs w:val="11"/>
      </w:rPr>
      <w:fldChar w:fldCharType="separate"/>
    </w:r>
    <w:r w:rsidR="003E20D9">
      <w:rPr>
        <w:rFonts w:cs="Arial"/>
        <w:sz w:val="11"/>
        <w:szCs w:val="11"/>
      </w:rPr>
      <w:t>1</w:t>
    </w:r>
    <w:r w:rsidR="003E20D9" w:rsidRPr="003F5049">
      <w:rPr>
        <w:rFonts w:cs="Arial"/>
        <w:sz w:val="11"/>
        <w:szCs w:val="11"/>
      </w:rPr>
      <w:fldChar w:fldCharType="end"/>
    </w:r>
  </w:p>
  <w:p w14:paraId="108BD60D" w14:textId="77777777" w:rsidR="003E20D9" w:rsidRDefault="003E20D9" w:rsidP="003E20D9"/>
  <w:p w14:paraId="6C8E22B2" w14:textId="77777777" w:rsidR="00C0068C" w:rsidRPr="003E20D9" w:rsidRDefault="00C0068C" w:rsidP="003E2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41B0" w14:textId="77777777" w:rsidR="00A07306" w:rsidRDefault="00A07306">
    <w:pPr>
      <w:pStyle w:val="Footer"/>
    </w:pPr>
  </w:p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9C4BD4" w:rsidRPr="00713B78" w14:paraId="7D8C17F7" w14:textId="77777777" w:rsidTr="000D5673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24CCD36D" w14:textId="77777777" w:rsidR="009C4BD4" w:rsidRDefault="009C4BD4" w:rsidP="009C4BD4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60D7C4C0" w14:textId="77777777" w:rsidR="009C4BD4" w:rsidRPr="002B598A" w:rsidRDefault="009C4BD4" w:rsidP="009C4BD4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50A3F6E1" w14:textId="77777777" w:rsidR="009C4BD4" w:rsidRPr="002B598A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D42FC9E" w14:textId="77777777" w:rsidR="009C4BD4" w:rsidRPr="002B598A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DE1FBEF" w14:textId="77777777" w:rsidR="009C4BD4" w:rsidRDefault="009C4BD4" w:rsidP="009C4BD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718AE50D" w14:textId="77777777" w:rsidR="009C4BD4" w:rsidRPr="00B871AD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78820CC5" w14:textId="77777777" w:rsidR="009C4BD4" w:rsidRPr="002B598A" w:rsidRDefault="009C4BD4" w:rsidP="009C4BD4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030D4E2" w14:textId="77777777" w:rsidR="009C4BD4" w:rsidRDefault="009C4BD4" w:rsidP="009C4BD4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5C63AA8E" w14:textId="77777777" w:rsidR="009C4BD4" w:rsidRPr="00713B78" w:rsidRDefault="009C4BD4" w:rsidP="009C4BD4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692FC39" w14:textId="77777777" w:rsidR="009C4BD4" w:rsidRPr="00713B78" w:rsidRDefault="009C4BD4" w:rsidP="009C4BD4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7FE31376" w14:textId="77777777" w:rsidR="009C4BD4" w:rsidRPr="00713B78" w:rsidRDefault="009C4BD4" w:rsidP="009C4BD4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56E8057" w14:textId="77777777" w:rsidR="009C4BD4" w:rsidRPr="00713B78" w:rsidRDefault="009C4BD4" w:rsidP="009C4BD4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3B3E67CA" w14:textId="77777777" w:rsidR="009C4BD4" w:rsidRPr="00713B78" w:rsidRDefault="009C4BD4" w:rsidP="009C4BD4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64209695" w14:textId="77777777" w:rsidR="009C4BD4" w:rsidRPr="00713B78" w:rsidRDefault="009C4BD4" w:rsidP="009C4BD4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13DC90A" w14:textId="77777777" w:rsidR="009C4BD4" w:rsidRPr="00713B78" w:rsidRDefault="009C4BD4" w:rsidP="009C4BD4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4A566896" w14:textId="77777777" w:rsidR="009C4BD4" w:rsidRPr="00713B78" w:rsidRDefault="009C4BD4" w:rsidP="009C4BD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FF7282B" w14:textId="77777777" w:rsidR="009C4BD4" w:rsidRPr="00713B78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77CCE61D" w14:textId="77777777" w:rsidR="009C4BD4" w:rsidRPr="00713B78" w:rsidRDefault="009C4BD4" w:rsidP="009C4BD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0AA4E757" w14:textId="77777777" w:rsidR="009C4BD4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734BB15F" w14:textId="77777777" w:rsidR="009C4BD4" w:rsidRPr="00713B78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39E06F44" w14:textId="77777777" w:rsidR="009C4BD4" w:rsidRPr="00713B78" w:rsidRDefault="009C4BD4" w:rsidP="009C4BD4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721950F4" w14:textId="77777777" w:rsidR="009C4BD4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504384E5" w14:textId="77777777" w:rsidR="009C4BD4" w:rsidRPr="00713B78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494E2087" w14:textId="77777777" w:rsidR="009C4BD4" w:rsidRPr="00713B78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5542C4FE" w14:textId="77777777" w:rsidR="009C4BD4" w:rsidRPr="00713B78" w:rsidRDefault="009C4BD4" w:rsidP="009C4BD4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9C4BD4" w:rsidRPr="002B598A" w14:paraId="37D4A5BD" w14:textId="77777777" w:rsidTr="000D5673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02805AD1" w14:textId="77777777" w:rsidR="009C4BD4" w:rsidRPr="002B598A" w:rsidRDefault="009C4BD4" w:rsidP="009C4BD4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128AF9D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60E5C98A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6A71AA1E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5982BD3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59D5F8D8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0B86358" w14:textId="77777777" w:rsidR="009C4BD4" w:rsidRDefault="009C4BD4" w:rsidP="009C4BD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3CC7D786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59A3FE21" w14:textId="77777777" w:rsidR="009C4BD4" w:rsidRDefault="009C4BD4" w:rsidP="009C4BD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359241D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DCB2423" w14:textId="77777777" w:rsidR="009C4BD4" w:rsidRPr="00713B78" w:rsidRDefault="009C4BD4" w:rsidP="009C4BD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4535FDA6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4350A637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08056ED1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5378EB71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60ED2BA2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05AFE10A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4758E16C" w14:textId="77777777" w:rsidR="009C4BD4" w:rsidRPr="00713B78" w:rsidRDefault="009C4BD4" w:rsidP="009C4BD4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37CCCD31" w14:textId="77777777" w:rsidR="009C4BD4" w:rsidRPr="00713B78" w:rsidRDefault="009C4BD4" w:rsidP="009C4BD4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46E8AC4A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67266467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46E6B53C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1BC39544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39421CB5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38541EC6" w14:textId="77777777" w:rsidR="009C4BD4" w:rsidRDefault="009C4BD4" w:rsidP="009C4BD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0E2D75AA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107A52C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1D58351F" w14:textId="77777777" w:rsidR="009C4BD4" w:rsidRPr="00713B78" w:rsidRDefault="009C4BD4" w:rsidP="009C4BD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5BFA9936" w14:textId="77777777" w:rsidR="009C4BD4" w:rsidRPr="002B598A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9C4BD4" w:rsidRPr="002B598A" w14:paraId="3CBD4E56" w14:textId="77777777" w:rsidTr="000D5673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3E72238" w14:textId="77777777" w:rsidR="009C4BD4" w:rsidRPr="002B598A" w:rsidRDefault="009C4BD4" w:rsidP="009C4BD4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518A107" w14:textId="77777777" w:rsidR="009C4BD4" w:rsidRPr="002B598A" w:rsidRDefault="009C4BD4" w:rsidP="009C4BD4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r w:rsidRPr="00BD786D">
            <w:rPr>
              <w:sz w:val="11"/>
              <w:szCs w:val="11"/>
            </w:rPr>
            <w:t>Károly Hazuga</w:t>
          </w:r>
          <w:r w:rsidRPr="00847E16">
            <w:rPr>
              <w:sz w:val="11"/>
              <w:szCs w:val="11"/>
            </w:rPr>
            <w:t>, Miroslav Skalicki, Hrvoje Šimović, Marin Zovko</w:t>
          </w:r>
        </w:p>
        <w:p w14:paraId="1CE64590" w14:textId="77777777" w:rsidR="009C4BD4" w:rsidRPr="002B598A" w:rsidRDefault="009C4BD4" w:rsidP="009C4BD4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49076BBF" w14:textId="77777777" w:rsidR="009C4BD4" w:rsidRPr="002B598A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9C4BD4" w:rsidRPr="002B598A" w14:paraId="2F41E9F8" w14:textId="77777777" w:rsidTr="000D5673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5730BD0" w14:textId="77777777" w:rsidR="009C4BD4" w:rsidRDefault="009C4BD4" w:rsidP="009C4BD4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990AD8" w14:textId="77777777" w:rsidR="009C4BD4" w:rsidRPr="002B598A" w:rsidRDefault="009C4BD4" w:rsidP="009C4BD4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2C4EDC5" w14:textId="77777777" w:rsidR="00A07306" w:rsidRPr="00095236" w:rsidRDefault="00A07306" w:rsidP="00A07306">
    <w:pPr>
      <w:pStyle w:val="Footer"/>
      <w:jc w:val="right"/>
    </w:pPr>
    <w:r>
      <w:rPr>
        <w:rFonts w:cs="Arial"/>
        <w:sz w:val="11"/>
        <w:szCs w:val="11"/>
      </w:rPr>
      <w:tab/>
    </w:r>
    <w:r w:rsidRPr="003F5049">
      <w:rPr>
        <w:rFonts w:cs="Arial"/>
        <w:sz w:val="11"/>
        <w:szCs w:val="11"/>
      </w:rPr>
      <w:t xml:space="preserve">str. - </w:t>
    </w:r>
    <w:r w:rsidRPr="003F5049">
      <w:rPr>
        <w:rFonts w:cs="Arial"/>
        <w:i/>
        <w:sz w:val="11"/>
        <w:szCs w:val="11"/>
      </w:rPr>
      <w:t>page</w:t>
    </w:r>
    <w:r w:rsidRPr="003F5049">
      <w:rPr>
        <w:rFonts w:cs="Arial"/>
        <w:sz w:val="11"/>
        <w:szCs w:val="11"/>
      </w:rPr>
      <w:t xml:space="preserve"> 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PAGE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  <w:r w:rsidRPr="003F5049">
      <w:rPr>
        <w:rFonts w:cs="Arial"/>
        <w:sz w:val="11"/>
        <w:szCs w:val="11"/>
      </w:rPr>
      <w:t>/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NUMPAGES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6C6B" w14:textId="77777777" w:rsidR="007E71F5" w:rsidRDefault="007E71F5" w:rsidP="00A07306">
      <w:r>
        <w:separator/>
      </w:r>
    </w:p>
  </w:footnote>
  <w:footnote w:type="continuationSeparator" w:id="0">
    <w:p w14:paraId="6F3135A8" w14:textId="77777777" w:rsidR="007E71F5" w:rsidRDefault="007E71F5" w:rsidP="00A0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F0A0" w14:textId="44462D8B" w:rsidR="00C0068C" w:rsidRDefault="0013372E">
    <w:pPr>
      <w:pStyle w:val="Header"/>
    </w:pPr>
    <w:r>
      <w:rPr>
        <w:noProof/>
      </w:rPr>
      <w:drawing>
        <wp:inline distT="0" distB="0" distL="0" distR="0" wp14:anchorId="534E0B01" wp14:editId="74091993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D10B4" w14:textId="77777777" w:rsidR="00C0068C" w:rsidRDefault="00C0068C"/>
  <w:p w14:paraId="2086966B" w14:textId="77777777" w:rsidR="00C0068C" w:rsidRDefault="00C006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14B0" w14:textId="77777777" w:rsidR="00A07306" w:rsidRPr="00A07306" w:rsidRDefault="00A07306" w:rsidP="00A07306">
    <w:pPr>
      <w:tabs>
        <w:tab w:val="center" w:pos="4536"/>
        <w:tab w:val="right" w:pos="9072"/>
      </w:tabs>
      <w:rPr>
        <w:rFonts w:ascii="Calibri" w:eastAsia="Calibri" w:hAnsi="Calibri" w:cs="Arial"/>
      </w:rPr>
    </w:pPr>
    <w:r w:rsidRPr="00A07306">
      <w:rPr>
        <w:rFonts w:ascii="Calibri" w:eastAsia="Calibri" w:hAnsi="Calibri" w:cs="Arial"/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6F01097" wp14:editId="12B937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E98D4" w14:textId="77777777" w:rsidR="00A07306" w:rsidRPr="00A07306" w:rsidRDefault="00A07306" w:rsidP="00A07306">
    <w:pPr>
      <w:rPr>
        <w:rFonts w:ascii="Calibri" w:eastAsia="Calibri" w:hAnsi="Calibri" w:cs="Arial"/>
      </w:rPr>
    </w:pPr>
  </w:p>
  <w:p w14:paraId="1E69BE48" w14:textId="77777777" w:rsidR="00A07306" w:rsidRDefault="00A07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29"/>
    <w:multiLevelType w:val="hybridMultilevel"/>
    <w:tmpl w:val="3CD40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1F8"/>
    <w:multiLevelType w:val="hybridMultilevel"/>
    <w:tmpl w:val="A33E1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172B"/>
    <w:multiLevelType w:val="hybridMultilevel"/>
    <w:tmpl w:val="38987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578"/>
    <w:multiLevelType w:val="hybridMultilevel"/>
    <w:tmpl w:val="32EAA3E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7F3FEA"/>
    <w:multiLevelType w:val="hybridMultilevel"/>
    <w:tmpl w:val="4AB45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7D85"/>
    <w:multiLevelType w:val="hybridMultilevel"/>
    <w:tmpl w:val="70606FC2"/>
    <w:lvl w:ilvl="0" w:tplc="CE9A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1296"/>
    <w:multiLevelType w:val="hybridMultilevel"/>
    <w:tmpl w:val="39D86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A09F0"/>
    <w:multiLevelType w:val="hybridMultilevel"/>
    <w:tmpl w:val="FE361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F7768"/>
    <w:multiLevelType w:val="hybridMultilevel"/>
    <w:tmpl w:val="6646E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55CB8"/>
    <w:multiLevelType w:val="hybridMultilevel"/>
    <w:tmpl w:val="8D5A1A48"/>
    <w:lvl w:ilvl="0" w:tplc="041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8863076"/>
    <w:multiLevelType w:val="hybridMultilevel"/>
    <w:tmpl w:val="7AE07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A7A72"/>
    <w:multiLevelType w:val="hybridMultilevel"/>
    <w:tmpl w:val="898E8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47A59"/>
    <w:multiLevelType w:val="hybridMultilevel"/>
    <w:tmpl w:val="E1063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422FC"/>
    <w:multiLevelType w:val="hybridMultilevel"/>
    <w:tmpl w:val="685C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3025">
    <w:abstractNumId w:val="9"/>
  </w:num>
  <w:num w:numId="2" w16cid:durableId="1403287241">
    <w:abstractNumId w:val="4"/>
  </w:num>
  <w:num w:numId="3" w16cid:durableId="264315604">
    <w:abstractNumId w:val="3"/>
  </w:num>
  <w:num w:numId="4" w16cid:durableId="875003299">
    <w:abstractNumId w:val="5"/>
  </w:num>
  <w:num w:numId="5" w16cid:durableId="1564292082">
    <w:abstractNumId w:val="0"/>
  </w:num>
  <w:num w:numId="6" w16cid:durableId="1233151919">
    <w:abstractNumId w:val="10"/>
  </w:num>
  <w:num w:numId="7" w16cid:durableId="1146430015">
    <w:abstractNumId w:val="8"/>
  </w:num>
  <w:num w:numId="8" w16cid:durableId="1213616684">
    <w:abstractNumId w:val="7"/>
  </w:num>
  <w:num w:numId="9" w16cid:durableId="73288306">
    <w:abstractNumId w:val="12"/>
  </w:num>
  <w:num w:numId="10" w16cid:durableId="61023671">
    <w:abstractNumId w:val="1"/>
  </w:num>
  <w:num w:numId="11" w16cid:durableId="707072946">
    <w:abstractNumId w:val="6"/>
  </w:num>
  <w:num w:numId="12" w16cid:durableId="2045864109">
    <w:abstractNumId w:val="2"/>
  </w:num>
  <w:num w:numId="13" w16cid:durableId="479031996">
    <w:abstractNumId w:val="13"/>
  </w:num>
  <w:num w:numId="14" w16cid:durableId="37488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06"/>
    <w:rsid w:val="00002A40"/>
    <w:rsid w:val="000038FF"/>
    <w:rsid w:val="000050B0"/>
    <w:rsid w:val="000063B9"/>
    <w:rsid w:val="00006E81"/>
    <w:rsid w:val="00013155"/>
    <w:rsid w:val="000133B6"/>
    <w:rsid w:val="000133D2"/>
    <w:rsid w:val="00015028"/>
    <w:rsid w:val="00020961"/>
    <w:rsid w:val="0002784A"/>
    <w:rsid w:val="00033B41"/>
    <w:rsid w:val="000342C7"/>
    <w:rsid w:val="000377F6"/>
    <w:rsid w:val="00046E7F"/>
    <w:rsid w:val="00053C7A"/>
    <w:rsid w:val="00056079"/>
    <w:rsid w:val="00056C94"/>
    <w:rsid w:val="000650D0"/>
    <w:rsid w:val="0007126D"/>
    <w:rsid w:val="00077B63"/>
    <w:rsid w:val="00080534"/>
    <w:rsid w:val="00090D4B"/>
    <w:rsid w:val="000A23F8"/>
    <w:rsid w:val="000A4619"/>
    <w:rsid w:val="000A4AF2"/>
    <w:rsid w:val="000B0FA6"/>
    <w:rsid w:val="000B1739"/>
    <w:rsid w:val="000B23EC"/>
    <w:rsid w:val="000B4616"/>
    <w:rsid w:val="000B4B2F"/>
    <w:rsid w:val="000B55F3"/>
    <w:rsid w:val="000C07C4"/>
    <w:rsid w:val="000C1E53"/>
    <w:rsid w:val="000C45DD"/>
    <w:rsid w:val="000C64F5"/>
    <w:rsid w:val="000D0E27"/>
    <w:rsid w:val="000D18DF"/>
    <w:rsid w:val="000D1D97"/>
    <w:rsid w:val="000D260B"/>
    <w:rsid w:val="000D3B90"/>
    <w:rsid w:val="000D4F03"/>
    <w:rsid w:val="000D6447"/>
    <w:rsid w:val="000F0BD0"/>
    <w:rsid w:val="000F22E7"/>
    <w:rsid w:val="000F7BEB"/>
    <w:rsid w:val="0010463D"/>
    <w:rsid w:val="00106B08"/>
    <w:rsid w:val="0011001B"/>
    <w:rsid w:val="0011446D"/>
    <w:rsid w:val="00123656"/>
    <w:rsid w:val="001246B7"/>
    <w:rsid w:val="00130434"/>
    <w:rsid w:val="00130DEA"/>
    <w:rsid w:val="0013261A"/>
    <w:rsid w:val="001332BB"/>
    <w:rsid w:val="0013372E"/>
    <w:rsid w:val="0013483A"/>
    <w:rsid w:val="00136293"/>
    <w:rsid w:val="001362A0"/>
    <w:rsid w:val="0014130E"/>
    <w:rsid w:val="00142E5B"/>
    <w:rsid w:val="00143592"/>
    <w:rsid w:val="001442AC"/>
    <w:rsid w:val="00146E49"/>
    <w:rsid w:val="00151BC7"/>
    <w:rsid w:val="00153675"/>
    <w:rsid w:val="00155099"/>
    <w:rsid w:val="00155781"/>
    <w:rsid w:val="00166F62"/>
    <w:rsid w:val="00177372"/>
    <w:rsid w:val="00180429"/>
    <w:rsid w:val="001852F8"/>
    <w:rsid w:val="00186BEB"/>
    <w:rsid w:val="001971A9"/>
    <w:rsid w:val="0019763F"/>
    <w:rsid w:val="001A170A"/>
    <w:rsid w:val="001A239C"/>
    <w:rsid w:val="001A2DAF"/>
    <w:rsid w:val="001A7280"/>
    <w:rsid w:val="001A7A21"/>
    <w:rsid w:val="001A7AB3"/>
    <w:rsid w:val="001B3B73"/>
    <w:rsid w:val="001B7CDD"/>
    <w:rsid w:val="001C1648"/>
    <w:rsid w:val="001C5502"/>
    <w:rsid w:val="001D44E7"/>
    <w:rsid w:val="001D66A1"/>
    <w:rsid w:val="001E14D9"/>
    <w:rsid w:val="001E3CA9"/>
    <w:rsid w:val="001E3DD0"/>
    <w:rsid w:val="001E6CF5"/>
    <w:rsid w:val="001F18DA"/>
    <w:rsid w:val="001F7AF9"/>
    <w:rsid w:val="002013F2"/>
    <w:rsid w:val="002030E3"/>
    <w:rsid w:val="00210979"/>
    <w:rsid w:val="00211910"/>
    <w:rsid w:val="00211BDE"/>
    <w:rsid w:val="00213E81"/>
    <w:rsid w:val="00215588"/>
    <w:rsid w:val="00224197"/>
    <w:rsid w:val="002251EF"/>
    <w:rsid w:val="00233D9B"/>
    <w:rsid w:val="00241F44"/>
    <w:rsid w:val="00242079"/>
    <w:rsid w:val="00247548"/>
    <w:rsid w:val="002504DB"/>
    <w:rsid w:val="00251C6A"/>
    <w:rsid w:val="002552FC"/>
    <w:rsid w:val="00255829"/>
    <w:rsid w:val="00255FAC"/>
    <w:rsid w:val="00257C78"/>
    <w:rsid w:val="00260049"/>
    <w:rsid w:val="00275190"/>
    <w:rsid w:val="0027681D"/>
    <w:rsid w:val="00281C18"/>
    <w:rsid w:val="00281CD2"/>
    <w:rsid w:val="00284F13"/>
    <w:rsid w:val="0028546A"/>
    <w:rsid w:val="0028614C"/>
    <w:rsid w:val="002863F0"/>
    <w:rsid w:val="00286848"/>
    <w:rsid w:val="00295683"/>
    <w:rsid w:val="002956FD"/>
    <w:rsid w:val="00297E52"/>
    <w:rsid w:val="002A195C"/>
    <w:rsid w:val="002A501B"/>
    <w:rsid w:val="002A5F97"/>
    <w:rsid w:val="002B318E"/>
    <w:rsid w:val="002B51C0"/>
    <w:rsid w:val="002C0805"/>
    <w:rsid w:val="002C08C0"/>
    <w:rsid w:val="002D182C"/>
    <w:rsid w:val="002D6798"/>
    <w:rsid w:val="002D78B1"/>
    <w:rsid w:val="002E7274"/>
    <w:rsid w:val="002E7872"/>
    <w:rsid w:val="002F5C25"/>
    <w:rsid w:val="00303000"/>
    <w:rsid w:val="00306F07"/>
    <w:rsid w:val="003139DA"/>
    <w:rsid w:val="00322007"/>
    <w:rsid w:val="00323641"/>
    <w:rsid w:val="003237E3"/>
    <w:rsid w:val="00325E61"/>
    <w:rsid w:val="00326D06"/>
    <w:rsid w:val="0033024F"/>
    <w:rsid w:val="00335EC2"/>
    <w:rsid w:val="00337D1C"/>
    <w:rsid w:val="0034205C"/>
    <w:rsid w:val="00345FE9"/>
    <w:rsid w:val="003462DF"/>
    <w:rsid w:val="003541F5"/>
    <w:rsid w:val="003601E7"/>
    <w:rsid w:val="003624DD"/>
    <w:rsid w:val="00370457"/>
    <w:rsid w:val="003709D6"/>
    <w:rsid w:val="00374B1B"/>
    <w:rsid w:val="0037692E"/>
    <w:rsid w:val="00377692"/>
    <w:rsid w:val="00377C00"/>
    <w:rsid w:val="00381112"/>
    <w:rsid w:val="003816EE"/>
    <w:rsid w:val="0038285C"/>
    <w:rsid w:val="0038479A"/>
    <w:rsid w:val="003868E8"/>
    <w:rsid w:val="00386DE4"/>
    <w:rsid w:val="00393EAA"/>
    <w:rsid w:val="00396C71"/>
    <w:rsid w:val="003A421B"/>
    <w:rsid w:val="003A613E"/>
    <w:rsid w:val="003A6C33"/>
    <w:rsid w:val="003A78DB"/>
    <w:rsid w:val="003A7C73"/>
    <w:rsid w:val="003B3169"/>
    <w:rsid w:val="003C0074"/>
    <w:rsid w:val="003C53F4"/>
    <w:rsid w:val="003D1643"/>
    <w:rsid w:val="003D1715"/>
    <w:rsid w:val="003E06B6"/>
    <w:rsid w:val="003E0A2F"/>
    <w:rsid w:val="003E20D9"/>
    <w:rsid w:val="003E57F0"/>
    <w:rsid w:val="003F1190"/>
    <w:rsid w:val="003F4E80"/>
    <w:rsid w:val="00403708"/>
    <w:rsid w:val="00404954"/>
    <w:rsid w:val="00404FCB"/>
    <w:rsid w:val="0040504A"/>
    <w:rsid w:val="00406CA8"/>
    <w:rsid w:val="004151D9"/>
    <w:rsid w:val="00415444"/>
    <w:rsid w:val="00415533"/>
    <w:rsid w:val="0041696C"/>
    <w:rsid w:val="0042153C"/>
    <w:rsid w:val="00426D55"/>
    <w:rsid w:val="00426EC7"/>
    <w:rsid w:val="00427095"/>
    <w:rsid w:val="00430E83"/>
    <w:rsid w:val="00431052"/>
    <w:rsid w:val="00432BA2"/>
    <w:rsid w:val="00433D66"/>
    <w:rsid w:val="00436285"/>
    <w:rsid w:val="00436313"/>
    <w:rsid w:val="0044150E"/>
    <w:rsid w:val="00442645"/>
    <w:rsid w:val="00445DD8"/>
    <w:rsid w:val="004518AA"/>
    <w:rsid w:val="00453AA6"/>
    <w:rsid w:val="004570D8"/>
    <w:rsid w:val="00460579"/>
    <w:rsid w:val="00461720"/>
    <w:rsid w:val="004621E0"/>
    <w:rsid w:val="004623F9"/>
    <w:rsid w:val="004628D3"/>
    <w:rsid w:val="00462E4D"/>
    <w:rsid w:val="004630D6"/>
    <w:rsid w:val="00467C83"/>
    <w:rsid w:val="00474D14"/>
    <w:rsid w:val="00483FFD"/>
    <w:rsid w:val="0048490E"/>
    <w:rsid w:val="00484B0F"/>
    <w:rsid w:val="0049064C"/>
    <w:rsid w:val="00491F45"/>
    <w:rsid w:val="004A180B"/>
    <w:rsid w:val="004A3A03"/>
    <w:rsid w:val="004B02CF"/>
    <w:rsid w:val="004B0E75"/>
    <w:rsid w:val="004B5284"/>
    <w:rsid w:val="004B6416"/>
    <w:rsid w:val="004C4C8E"/>
    <w:rsid w:val="004D034D"/>
    <w:rsid w:val="004D08BA"/>
    <w:rsid w:val="004E2358"/>
    <w:rsid w:val="004E5808"/>
    <w:rsid w:val="004F012E"/>
    <w:rsid w:val="004F0B94"/>
    <w:rsid w:val="004F240D"/>
    <w:rsid w:val="004F6756"/>
    <w:rsid w:val="0050011D"/>
    <w:rsid w:val="00510CC9"/>
    <w:rsid w:val="005137CB"/>
    <w:rsid w:val="0051395B"/>
    <w:rsid w:val="0051433C"/>
    <w:rsid w:val="00515D1E"/>
    <w:rsid w:val="00517FDF"/>
    <w:rsid w:val="00522D26"/>
    <w:rsid w:val="00522D28"/>
    <w:rsid w:val="00526B69"/>
    <w:rsid w:val="00531824"/>
    <w:rsid w:val="005326DA"/>
    <w:rsid w:val="00532A73"/>
    <w:rsid w:val="0053395D"/>
    <w:rsid w:val="00534665"/>
    <w:rsid w:val="005359BD"/>
    <w:rsid w:val="00541913"/>
    <w:rsid w:val="00546BB0"/>
    <w:rsid w:val="005516F0"/>
    <w:rsid w:val="00552DEC"/>
    <w:rsid w:val="00560A00"/>
    <w:rsid w:val="00565775"/>
    <w:rsid w:val="00565C51"/>
    <w:rsid w:val="00565CF5"/>
    <w:rsid w:val="005756D5"/>
    <w:rsid w:val="00576F4A"/>
    <w:rsid w:val="00580CD7"/>
    <w:rsid w:val="00583D23"/>
    <w:rsid w:val="00587046"/>
    <w:rsid w:val="005904D4"/>
    <w:rsid w:val="005961E2"/>
    <w:rsid w:val="00596333"/>
    <w:rsid w:val="00597DDB"/>
    <w:rsid w:val="005A26EF"/>
    <w:rsid w:val="005B1EFD"/>
    <w:rsid w:val="005B1F93"/>
    <w:rsid w:val="005B3C95"/>
    <w:rsid w:val="005B4B12"/>
    <w:rsid w:val="005B5E79"/>
    <w:rsid w:val="005B69A7"/>
    <w:rsid w:val="005C01E8"/>
    <w:rsid w:val="005C02B3"/>
    <w:rsid w:val="005C054B"/>
    <w:rsid w:val="005D4E66"/>
    <w:rsid w:val="005E098D"/>
    <w:rsid w:val="005F4E3E"/>
    <w:rsid w:val="005F521F"/>
    <w:rsid w:val="005F6034"/>
    <w:rsid w:val="005F7E9A"/>
    <w:rsid w:val="00600748"/>
    <w:rsid w:val="006007BD"/>
    <w:rsid w:val="00601C32"/>
    <w:rsid w:val="00612F40"/>
    <w:rsid w:val="006131C1"/>
    <w:rsid w:val="006152B2"/>
    <w:rsid w:val="006215E4"/>
    <w:rsid w:val="00621EAF"/>
    <w:rsid w:val="006276DA"/>
    <w:rsid w:val="006277CA"/>
    <w:rsid w:val="006305DF"/>
    <w:rsid w:val="00633A21"/>
    <w:rsid w:val="0063609D"/>
    <w:rsid w:val="00641BF4"/>
    <w:rsid w:val="006424D1"/>
    <w:rsid w:val="00643A4F"/>
    <w:rsid w:val="00653CEC"/>
    <w:rsid w:val="00656ECA"/>
    <w:rsid w:val="00657BEF"/>
    <w:rsid w:val="00657D42"/>
    <w:rsid w:val="00660CCF"/>
    <w:rsid w:val="006657BC"/>
    <w:rsid w:val="006661C9"/>
    <w:rsid w:val="00672D8E"/>
    <w:rsid w:val="006736AE"/>
    <w:rsid w:val="00673DC2"/>
    <w:rsid w:val="00673F89"/>
    <w:rsid w:val="00677952"/>
    <w:rsid w:val="006802C8"/>
    <w:rsid w:val="00680FC4"/>
    <w:rsid w:val="0068119F"/>
    <w:rsid w:val="00683097"/>
    <w:rsid w:val="0068470D"/>
    <w:rsid w:val="0068709E"/>
    <w:rsid w:val="00687F22"/>
    <w:rsid w:val="006900BF"/>
    <w:rsid w:val="00692C7D"/>
    <w:rsid w:val="00693673"/>
    <w:rsid w:val="00693C6F"/>
    <w:rsid w:val="006957B9"/>
    <w:rsid w:val="006A4331"/>
    <w:rsid w:val="006A5EF5"/>
    <w:rsid w:val="006A6577"/>
    <w:rsid w:val="006A6D32"/>
    <w:rsid w:val="006B1AA3"/>
    <w:rsid w:val="006B25B3"/>
    <w:rsid w:val="006B3DBB"/>
    <w:rsid w:val="006B42ED"/>
    <w:rsid w:val="006B457D"/>
    <w:rsid w:val="006B4BE5"/>
    <w:rsid w:val="006B6DC9"/>
    <w:rsid w:val="006D1601"/>
    <w:rsid w:val="006D62BF"/>
    <w:rsid w:val="006E4972"/>
    <w:rsid w:val="006E7C4D"/>
    <w:rsid w:val="006F14E0"/>
    <w:rsid w:val="006F27EA"/>
    <w:rsid w:val="006F313B"/>
    <w:rsid w:val="006F3506"/>
    <w:rsid w:val="006F402E"/>
    <w:rsid w:val="006F6090"/>
    <w:rsid w:val="007057EB"/>
    <w:rsid w:val="00707041"/>
    <w:rsid w:val="00710AD7"/>
    <w:rsid w:val="00714838"/>
    <w:rsid w:val="0071669B"/>
    <w:rsid w:val="00721B51"/>
    <w:rsid w:val="00723A4B"/>
    <w:rsid w:val="00725C3A"/>
    <w:rsid w:val="007310F8"/>
    <w:rsid w:val="007476E5"/>
    <w:rsid w:val="00756EF3"/>
    <w:rsid w:val="007579C7"/>
    <w:rsid w:val="00766E95"/>
    <w:rsid w:val="007711E3"/>
    <w:rsid w:val="00771313"/>
    <w:rsid w:val="00775160"/>
    <w:rsid w:val="00781374"/>
    <w:rsid w:val="007875EB"/>
    <w:rsid w:val="00787EB8"/>
    <w:rsid w:val="00791A27"/>
    <w:rsid w:val="00794C57"/>
    <w:rsid w:val="007A1369"/>
    <w:rsid w:val="007A1E63"/>
    <w:rsid w:val="007B1294"/>
    <w:rsid w:val="007B5E9E"/>
    <w:rsid w:val="007C4493"/>
    <w:rsid w:val="007C53A0"/>
    <w:rsid w:val="007D66C5"/>
    <w:rsid w:val="007E0400"/>
    <w:rsid w:val="007E42F7"/>
    <w:rsid w:val="007E4644"/>
    <w:rsid w:val="007E5FAA"/>
    <w:rsid w:val="007E71F5"/>
    <w:rsid w:val="007E76D7"/>
    <w:rsid w:val="007F01ED"/>
    <w:rsid w:val="007F4ACA"/>
    <w:rsid w:val="00804C7D"/>
    <w:rsid w:val="00805E3D"/>
    <w:rsid w:val="0080652F"/>
    <w:rsid w:val="00807532"/>
    <w:rsid w:val="0081017E"/>
    <w:rsid w:val="008109C8"/>
    <w:rsid w:val="0081162E"/>
    <w:rsid w:val="00817C0A"/>
    <w:rsid w:val="00820ED8"/>
    <w:rsid w:val="00822615"/>
    <w:rsid w:val="008301A3"/>
    <w:rsid w:val="00830CEF"/>
    <w:rsid w:val="00831162"/>
    <w:rsid w:val="00834B24"/>
    <w:rsid w:val="00842255"/>
    <w:rsid w:val="00843029"/>
    <w:rsid w:val="00847347"/>
    <w:rsid w:val="00847BCE"/>
    <w:rsid w:val="0085055B"/>
    <w:rsid w:val="00851BBC"/>
    <w:rsid w:val="00852724"/>
    <w:rsid w:val="008631C3"/>
    <w:rsid w:val="0088007E"/>
    <w:rsid w:val="00881BCD"/>
    <w:rsid w:val="00881BD3"/>
    <w:rsid w:val="0088242C"/>
    <w:rsid w:val="008840AD"/>
    <w:rsid w:val="0088659E"/>
    <w:rsid w:val="00886BC9"/>
    <w:rsid w:val="00891960"/>
    <w:rsid w:val="008A24AE"/>
    <w:rsid w:val="008A52E8"/>
    <w:rsid w:val="008A6078"/>
    <w:rsid w:val="008B13EE"/>
    <w:rsid w:val="008B7B05"/>
    <w:rsid w:val="008C1447"/>
    <w:rsid w:val="008C5A11"/>
    <w:rsid w:val="008C693D"/>
    <w:rsid w:val="008C6D6F"/>
    <w:rsid w:val="008D5236"/>
    <w:rsid w:val="008E0E2D"/>
    <w:rsid w:val="008E299C"/>
    <w:rsid w:val="008E2A75"/>
    <w:rsid w:val="008E40A7"/>
    <w:rsid w:val="008E7941"/>
    <w:rsid w:val="008F2611"/>
    <w:rsid w:val="008F2696"/>
    <w:rsid w:val="008F4A07"/>
    <w:rsid w:val="008F5C56"/>
    <w:rsid w:val="00900453"/>
    <w:rsid w:val="00901CFC"/>
    <w:rsid w:val="0090340A"/>
    <w:rsid w:val="00905F4A"/>
    <w:rsid w:val="00906323"/>
    <w:rsid w:val="00906B86"/>
    <w:rsid w:val="0090739B"/>
    <w:rsid w:val="00917254"/>
    <w:rsid w:val="00917C24"/>
    <w:rsid w:val="00920F33"/>
    <w:rsid w:val="00922AE7"/>
    <w:rsid w:val="009301F7"/>
    <w:rsid w:val="009346E6"/>
    <w:rsid w:val="00935C9F"/>
    <w:rsid w:val="00936918"/>
    <w:rsid w:val="00942E3B"/>
    <w:rsid w:val="00946206"/>
    <w:rsid w:val="00967926"/>
    <w:rsid w:val="00972D29"/>
    <w:rsid w:val="00972DCF"/>
    <w:rsid w:val="00974362"/>
    <w:rsid w:val="00974E20"/>
    <w:rsid w:val="00975881"/>
    <w:rsid w:val="009864AD"/>
    <w:rsid w:val="00986572"/>
    <w:rsid w:val="0098703D"/>
    <w:rsid w:val="009936D3"/>
    <w:rsid w:val="009A38DA"/>
    <w:rsid w:val="009A6D79"/>
    <w:rsid w:val="009B09EC"/>
    <w:rsid w:val="009B0FA5"/>
    <w:rsid w:val="009B1CD9"/>
    <w:rsid w:val="009B2111"/>
    <w:rsid w:val="009B340B"/>
    <w:rsid w:val="009B4C66"/>
    <w:rsid w:val="009B571F"/>
    <w:rsid w:val="009B6B97"/>
    <w:rsid w:val="009B6EF1"/>
    <w:rsid w:val="009C37EC"/>
    <w:rsid w:val="009C3815"/>
    <w:rsid w:val="009C4BD4"/>
    <w:rsid w:val="009D0351"/>
    <w:rsid w:val="009E34B2"/>
    <w:rsid w:val="009E4660"/>
    <w:rsid w:val="009E5361"/>
    <w:rsid w:val="009E69BB"/>
    <w:rsid w:val="009F1B60"/>
    <w:rsid w:val="009F6714"/>
    <w:rsid w:val="00A0382F"/>
    <w:rsid w:val="00A045DA"/>
    <w:rsid w:val="00A07306"/>
    <w:rsid w:val="00A116DA"/>
    <w:rsid w:val="00A13F71"/>
    <w:rsid w:val="00A17332"/>
    <w:rsid w:val="00A223F1"/>
    <w:rsid w:val="00A22F22"/>
    <w:rsid w:val="00A24D91"/>
    <w:rsid w:val="00A25D3E"/>
    <w:rsid w:val="00A31E2E"/>
    <w:rsid w:val="00A32000"/>
    <w:rsid w:val="00A3253D"/>
    <w:rsid w:val="00A333E0"/>
    <w:rsid w:val="00A36A27"/>
    <w:rsid w:val="00A37E41"/>
    <w:rsid w:val="00A37F75"/>
    <w:rsid w:val="00A4045E"/>
    <w:rsid w:val="00A440A7"/>
    <w:rsid w:val="00A52265"/>
    <w:rsid w:val="00A55262"/>
    <w:rsid w:val="00A64523"/>
    <w:rsid w:val="00A72DAC"/>
    <w:rsid w:val="00A738E1"/>
    <w:rsid w:val="00A74024"/>
    <w:rsid w:val="00A74A6A"/>
    <w:rsid w:val="00A82493"/>
    <w:rsid w:val="00A83BE9"/>
    <w:rsid w:val="00A86066"/>
    <w:rsid w:val="00A87B9F"/>
    <w:rsid w:val="00A94556"/>
    <w:rsid w:val="00AA1EFF"/>
    <w:rsid w:val="00AB2D56"/>
    <w:rsid w:val="00AB5EC9"/>
    <w:rsid w:val="00AC1D42"/>
    <w:rsid w:val="00AC6405"/>
    <w:rsid w:val="00AD0302"/>
    <w:rsid w:val="00AD3DC7"/>
    <w:rsid w:val="00AD6297"/>
    <w:rsid w:val="00AD6E1B"/>
    <w:rsid w:val="00AE6DA4"/>
    <w:rsid w:val="00AF0FE3"/>
    <w:rsid w:val="00AF326E"/>
    <w:rsid w:val="00B03583"/>
    <w:rsid w:val="00B044EC"/>
    <w:rsid w:val="00B05CB1"/>
    <w:rsid w:val="00B05CD0"/>
    <w:rsid w:val="00B103EE"/>
    <w:rsid w:val="00B1068D"/>
    <w:rsid w:val="00B143E6"/>
    <w:rsid w:val="00B15EC6"/>
    <w:rsid w:val="00B167D5"/>
    <w:rsid w:val="00B20E20"/>
    <w:rsid w:val="00B21E71"/>
    <w:rsid w:val="00B3034A"/>
    <w:rsid w:val="00B35605"/>
    <w:rsid w:val="00B42C3D"/>
    <w:rsid w:val="00B46113"/>
    <w:rsid w:val="00B55726"/>
    <w:rsid w:val="00B57D01"/>
    <w:rsid w:val="00B61DB1"/>
    <w:rsid w:val="00B6326C"/>
    <w:rsid w:val="00B642D2"/>
    <w:rsid w:val="00B71D91"/>
    <w:rsid w:val="00B71E9D"/>
    <w:rsid w:val="00B75445"/>
    <w:rsid w:val="00B77016"/>
    <w:rsid w:val="00B81375"/>
    <w:rsid w:val="00B909C7"/>
    <w:rsid w:val="00B909DF"/>
    <w:rsid w:val="00B91963"/>
    <w:rsid w:val="00BA371A"/>
    <w:rsid w:val="00BA7A5F"/>
    <w:rsid w:val="00BB3CF4"/>
    <w:rsid w:val="00BB3DC8"/>
    <w:rsid w:val="00BB6AC9"/>
    <w:rsid w:val="00BC2CA6"/>
    <w:rsid w:val="00BC39F8"/>
    <w:rsid w:val="00BC4CF6"/>
    <w:rsid w:val="00BC616F"/>
    <w:rsid w:val="00BC6246"/>
    <w:rsid w:val="00BC7CEF"/>
    <w:rsid w:val="00BD0D11"/>
    <w:rsid w:val="00BD6224"/>
    <w:rsid w:val="00BD6403"/>
    <w:rsid w:val="00BE0699"/>
    <w:rsid w:val="00BE29ED"/>
    <w:rsid w:val="00BE2CC1"/>
    <w:rsid w:val="00BE6D6C"/>
    <w:rsid w:val="00BF06AD"/>
    <w:rsid w:val="00BF24BF"/>
    <w:rsid w:val="00C0068C"/>
    <w:rsid w:val="00C027E1"/>
    <w:rsid w:val="00C04ED3"/>
    <w:rsid w:val="00C0601C"/>
    <w:rsid w:val="00C11194"/>
    <w:rsid w:val="00C11534"/>
    <w:rsid w:val="00C1231D"/>
    <w:rsid w:val="00C12C08"/>
    <w:rsid w:val="00C14AFF"/>
    <w:rsid w:val="00C152FB"/>
    <w:rsid w:val="00C15454"/>
    <w:rsid w:val="00C159C5"/>
    <w:rsid w:val="00C17025"/>
    <w:rsid w:val="00C23532"/>
    <w:rsid w:val="00C237C5"/>
    <w:rsid w:val="00C24F05"/>
    <w:rsid w:val="00C24FB8"/>
    <w:rsid w:val="00C25445"/>
    <w:rsid w:val="00C25C17"/>
    <w:rsid w:val="00C349C3"/>
    <w:rsid w:val="00C34BDC"/>
    <w:rsid w:val="00C35631"/>
    <w:rsid w:val="00C42C3E"/>
    <w:rsid w:val="00C44347"/>
    <w:rsid w:val="00C47B49"/>
    <w:rsid w:val="00C534C3"/>
    <w:rsid w:val="00C543DB"/>
    <w:rsid w:val="00C57483"/>
    <w:rsid w:val="00C57659"/>
    <w:rsid w:val="00C57F34"/>
    <w:rsid w:val="00C619F3"/>
    <w:rsid w:val="00C639B3"/>
    <w:rsid w:val="00C75B59"/>
    <w:rsid w:val="00C8142B"/>
    <w:rsid w:val="00C87009"/>
    <w:rsid w:val="00C91BBD"/>
    <w:rsid w:val="00C95700"/>
    <w:rsid w:val="00C95B25"/>
    <w:rsid w:val="00CA0D42"/>
    <w:rsid w:val="00CA2045"/>
    <w:rsid w:val="00CA2803"/>
    <w:rsid w:val="00CA4C8A"/>
    <w:rsid w:val="00CA5002"/>
    <w:rsid w:val="00CA67A6"/>
    <w:rsid w:val="00CA7C03"/>
    <w:rsid w:val="00CC0320"/>
    <w:rsid w:val="00CC3B08"/>
    <w:rsid w:val="00CC5716"/>
    <w:rsid w:val="00CC7A1E"/>
    <w:rsid w:val="00CD0BE2"/>
    <w:rsid w:val="00CD52C4"/>
    <w:rsid w:val="00CD6145"/>
    <w:rsid w:val="00CD697A"/>
    <w:rsid w:val="00CE088C"/>
    <w:rsid w:val="00CE1E6A"/>
    <w:rsid w:val="00CE6C07"/>
    <w:rsid w:val="00CE76AF"/>
    <w:rsid w:val="00CF1D06"/>
    <w:rsid w:val="00CF7FC1"/>
    <w:rsid w:val="00D067D9"/>
    <w:rsid w:val="00D27D63"/>
    <w:rsid w:val="00D30047"/>
    <w:rsid w:val="00D323C2"/>
    <w:rsid w:val="00D35B8C"/>
    <w:rsid w:val="00D374E5"/>
    <w:rsid w:val="00D4305D"/>
    <w:rsid w:val="00D443DC"/>
    <w:rsid w:val="00D458B6"/>
    <w:rsid w:val="00D45CFD"/>
    <w:rsid w:val="00D4664D"/>
    <w:rsid w:val="00D46695"/>
    <w:rsid w:val="00D63401"/>
    <w:rsid w:val="00D63F00"/>
    <w:rsid w:val="00D666B0"/>
    <w:rsid w:val="00D74ABD"/>
    <w:rsid w:val="00D77C98"/>
    <w:rsid w:val="00D80DB1"/>
    <w:rsid w:val="00D82CA9"/>
    <w:rsid w:val="00D841A5"/>
    <w:rsid w:val="00D9254A"/>
    <w:rsid w:val="00D946BC"/>
    <w:rsid w:val="00D9723B"/>
    <w:rsid w:val="00DA2CCE"/>
    <w:rsid w:val="00DA3A5A"/>
    <w:rsid w:val="00DB1E8A"/>
    <w:rsid w:val="00DB2CEC"/>
    <w:rsid w:val="00DB3EC3"/>
    <w:rsid w:val="00DC3F4B"/>
    <w:rsid w:val="00DC5BEF"/>
    <w:rsid w:val="00DC676C"/>
    <w:rsid w:val="00DC6E09"/>
    <w:rsid w:val="00DD0260"/>
    <w:rsid w:val="00DD2235"/>
    <w:rsid w:val="00DD584B"/>
    <w:rsid w:val="00DD7D8F"/>
    <w:rsid w:val="00DE25D5"/>
    <w:rsid w:val="00DE5854"/>
    <w:rsid w:val="00DE5C19"/>
    <w:rsid w:val="00DE61CC"/>
    <w:rsid w:val="00DE71B5"/>
    <w:rsid w:val="00DE7779"/>
    <w:rsid w:val="00DF4E76"/>
    <w:rsid w:val="00DF5003"/>
    <w:rsid w:val="00DF6F5C"/>
    <w:rsid w:val="00E0713F"/>
    <w:rsid w:val="00E12DF3"/>
    <w:rsid w:val="00E15F4E"/>
    <w:rsid w:val="00E17464"/>
    <w:rsid w:val="00E21399"/>
    <w:rsid w:val="00E25474"/>
    <w:rsid w:val="00E27430"/>
    <w:rsid w:val="00E278C1"/>
    <w:rsid w:val="00E34E11"/>
    <w:rsid w:val="00E361DB"/>
    <w:rsid w:val="00E37B1D"/>
    <w:rsid w:val="00E41120"/>
    <w:rsid w:val="00E55AED"/>
    <w:rsid w:val="00E6038A"/>
    <w:rsid w:val="00E61424"/>
    <w:rsid w:val="00E70ECF"/>
    <w:rsid w:val="00E827F2"/>
    <w:rsid w:val="00E82B37"/>
    <w:rsid w:val="00E8560F"/>
    <w:rsid w:val="00E921F9"/>
    <w:rsid w:val="00EA0B90"/>
    <w:rsid w:val="00EA64ED"/>
    <w:rsid w:val="00EB429C"/>
    <w:rsid w:val="00EB6B9B"/>
    <w:rsid w:val="00EC1908"/>
    <w:rsid w:val="00EC3A2C"/>
    <w:rsid w:val="00EC3D8C"/>
    <w:rsid w:val="00ED1C60"/>
    <w:rsid w:val="00ED34D1"/>
    <w:rsid w:val="00EE1BE5"/>
    <w:rsid w:val="00EE2EE3"/>
    <w:rsid w:val="00EE4723"/>
    <w:rsid w:val="00EE60D0"/>
    <w:rsid w:val="00EF0CA0"/>
    <w:rsid w:val="00EF1228"/>
    <w:rsid w:val="00EF1309"/>
    <w:rsid w:val="00EF187B"/>
    <w:rsid w:val="00EF300B"/>
    <w:rsid w:val="00EF33DE"/>
    <w:rsid w:val="00EF3972"/>
    <w:rsid w:val="00EF44DB"/>
    <w:rsid w:val="00EF5462"/>
    <w:rsid w:val="00F02807"/>
    <w:rsid w:val="00F031C1"/>
    <w:rsid w:val="00F0349D"/>
    <w:rsid w:val="00F03800"/>
    <w:rsid w:val="00F0462D"/>
    <w:rsid w:val="00F12590"/>
    <w:rsid w:val="00F14A7C"/>
    <w:rsid w:val="00F16A9A"/>
    <w:rsid w:val="00F245A3"/>
    <w:rsid w:val="00F267F7"/>
    <w:rsid w:val="00F27909"/>
    <w:rsid w:val="00F328E2"/>
    <w:rsid w:val="00F34818"/>
    <w:rsid w:val="00F3544C"/>
    <w:rsid w:val="00F372DC"/>
    <w:rsid w:val="00F40DBC"/>
    <w:rsid w:val="00F43346"/>
    <w:rsid w:val="00F5178E"/>
    <w:rsid w:val="00F545CC"/>
    <w:rsid w:val="00F57147"/>
    <w:rsid w:val="00F621CD"/>
    <w:rsid w:val="00F6770C"/>
    <w:rsid w:val="00F7085C"/>
    <w:rsid w:val="00F72140"/>
    <w:rsid w:val="00F80843"/>
    <w:rsid w:val="00F8459A"/>
    <w:rsid w:val="00F848DD"/>
    <w:rsid w:val="00F84D2B"/>
    <w:rsid w:val="00F90AA4"/>
    <w:rsid w:val="00F91097"/>
    <w:rsid w:val="00F92756"/>
    <w:rsid w:val="00F953F1"/>
    <w:rsid w:val="00F964E2"/>
    <w:rsid w:val="00FA0928"/>
    <w:rsid w:val="00FA14BD"/>
    <w:rsid w:val="00FA5D51"/>
    <w:rsid w:val="00FB0626"/>
    <w:rsid w:val="00FB1710"/>
    <w:rsid w:val="00FB52EC"/>
    <w:rsid w:val="00FB5D4E"/>
    <w:rsid w:val="00FC022A"/>
    <w:rsid w:val="00FD289F"/>
    <w:rsid w:val="00FD2D90"/>
    <w:rsid w:val="00FD30F0"/>
    <w:rsid w:val="00FD577C"/>
    <w:rsid w:val="00FD76A7"/>
    <w:rsid w:val="00FE3EA2"/>
    <w:rsid w:val="00FE58DB"/>
    <w:rsid w:val="00FE6E38"/>
    <w:rsid w:val="00FF057D"/>
    <w:rsid w:val="00FF05F8"/>
    <w:rsid w:val="00FF0C7C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33D48"/>
  <w15:chartTrackingRefBased/>
  <w15:docId w15:val="{34C3D77B-0838-430E-A0CD-D317D75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9C7"/>
    <w:pPr>
      <w:keepNext/>
      <w:keepLines/>
      <w:spacing w:before="200" w:after="200"/>
      <w:jc w:val="both"/>
      <w:outlineLvl w:val="1"/>
    </w:pPr>
    <w:rPr>
      <w:rFonts w:ascii="Arial" w:eastAsiaTheme="majorEastAsia" w:hAnsi="Arial" w:cstheme="majorBidi"/>
      <w:b/>
      <w:color w:val="004676"/>
      <w:sz w:val="22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0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7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07306"/>
  </w:style>
  <w:style w:type="paragraph" w:styleId="Footer">
    <w:name w:val="footer"/>
    <w:basedOn w:val="Normal"/>
    <w:link w:val="FooterChar"/>
    <w:unhideWhenUsed/>
    <w:rsid w:val="00A07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07306"/>
  </w:style>
  <w:style w:type="character" w:styleId="Hyperlink">
    <w:name w:val="Hyperlink"/>
    <w:rsid w:val="00C0068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006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068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liases w:val="Normal_FR"/>
    <w:uiPriority w:val="1"/>
    <w:qFormat/>
    <w:rsid w:val="00C0068C"/>
    <w:pPr>
      <w:spacing w:before="120" w:after="120" w:line="240" w:lineRule="auto"/>
      <w:jc w:val="both"/>
    </w:pPr>
    <w:rPr>
      <w:rFonts w:ascii="Arial" w:hAnsi="Arial"/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3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9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9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579C7"/>
    <w:rPr>
      <w:rFonts w:ascii="Arial" w:eastAsiaTheme="majorEastAsia" w:hAnsi="Arial" w:cstheme="majorBidi"/>
      <w:b/>
      <w:color w:val="004676"/>
      <w:szCs w:val="2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38F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38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04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30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59C5"/>
    <w:rPr>
      <w:color w:val="605E5C"/>
      <w:shd w:val="clear" w:color="auto" w:fill="E1DFDD"/>
    </w:rPr>
  </w:style>
  <w:style w:type="paragraph" w:customStyle="1" w:styleId="Default">
    <w:name w:val="Default"/>
    <w:rsid w:val="005B1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na.hr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2FDB-8E9C-4EB2-B42B-0CC4F201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Đolo Sandra</dc:creator>
  <cp:keywords/>
  <dc:description/>
  <cp:lastModifiedBy>Majić Crnković Marina (INA d.d.)</cp:lastModifiedBy>
  <cp:revision>166</cp:revision>
  <cp:lastPrinted>2021-07-29T11:14:00Z</cp:lastPrinted>
  <dcterms:created xsi:type="dcterms:W3CDTF">2023-04-27T10:05:00Z</dcterms:created>
  <dcterms:modified xsi:type="dcterms:W3CDTF">2024-04-25T09:35:00Z</dcterms:modified>
</cp:coreProperties>
</file>