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6D28" w14:textId="77777777" w:rsidR="00C82CA0" w:rsidRPr="0024158E" w:rsidRDefault="00C82CA0">
      <w:pPr>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6"/>
        <w:gridCol w:w="3220"/>
      </w:tblGrid>
      <w:tr w:rsidR="002D57DE" w:rsidRPr="0024158E" w14:paraId="4E168526" w14:textId="77777777" w:rsidTr="00A91876">
        <w:trPr>
          <w:jc w:val="center"/>
        </w:trPr>
        <w:tc>
          <w:tcPr>
            <w:tcW w:w="5796" w:type="dxa"/>
          </w:tcPr>
          <w:p w14:paraId="3B05A4AF" w14:textId="039BDCAC" w:rsidR="00295C1D" w:rsidRPr="0024158E" w:rsidRDefault="0069020F" w:rsidP="00295C1D">
            <w:pPr>
              <w:rPr>
                <w:lang w:val="en-GB"/>
              </w:rPr>
            </w:pPr>
            <w:r w:rsidRPr="0024158E">
              <w:rPr>
                <w:lang w:val="en-GB"/>
              </w:rPr>
              <w:t xml:space="preserve">INA </w:t>
            </w:r>
            <w:r w:rsidRPr="0024158E">
              <w:rPr>
                <w:rFonts w:ascii="Calibri" w:hAnsi="Calibri" w:cs="Calibri"/>
                <w:lang w:val="en-GB"/>
              </w:rPr>
              <w:t>–</w:t>
            </w:r>
            <w:r w:rsidRPr="0024158E">
              <w:rPr>
                <w:lang w:val="en-GB"/>
              </w:rPr>
              <w:t xml:space="preserve"> Industrija nafte, d.d.</w:t>
            </w:r>
            <w:r w:rsidRPr="0024158E">
              <w:rPr>
                <w:lang w:val="en-GB"/>
              </w:rPr>
              <w:br/>
            </w:r>
            <w:r w:rsidR="00295C1D" w:rsidRPr="0024158E">
              <w:rPr>
                <w:lang w:val="en-GB"/>
              </w:rPr>
              <w:br/>
              <w:t>Corporate Communications &amp; Marketing</w:t>
            </w:r>
          </w:p>
          <w:p w14:paraId="3B26866F" w14:textId="77777777" w:rsidR="00295C1D" w:rsidRPr="0024158E" w:rsidRDefault="00295C1D" w:rsidP="0069020F">
            <w:pPr>
              <w:rPr>
                <w:lang w:val="en-GB"/>
              </w:rPr>
            </w:pPr>
          </w:p>
          <w:p w14:paraId="2E2320FA" w14:textId="0D6D74CD" w:rsidR="0069020F" w:rsidRPr="0024158E" w:rsidRDefault="0069020F" w:rsidP="0069020F">
            <w:pPr>
              <w:rPr>
                <w:lang w:val="en-GB"/>
              </w:rPr>
            </w:pPr>
            <w:r w:rsidRPr="0024158E">
              <w:rPr>
                <w:lang w:val="en-GB"/>
              </w:rPr>
              <w:t>Avenija Većeslava Holjevca 10</w:t>
            </w:r>
          </w:p>
          <w:p w14:paraId="6A42574D" w14:textId="5AF7B708" w:rsidR="00D94B14" w:rsidRPr="0024158E" w:rsidRDefault="0069020F" w:rsidP="00D742AF">
            <w:pPr>
              <w:rPr>
                <w:lang w:val="en-GB"/>
              </w:rPr>
            </w:pPr>
            <w:r w:rsidRPr="0024158E">
              <w:rPr>
                <w:lang w:val="en-GB"/>
              </w:rPr>
              <w:t>Zagreb 10020</w:t>
            </w:r>
          </w:p>
        </w:tc>
        <w:tc>
          <w:tcPr>
            <w:tcW w:w="3220" w:type="dxa"/>
          </w:tcPr>
          <w:p w14:paraId="0E1C1C30" w14:textId="77777777" w:rsidR="002D57DE" w:rsidRPr="0024158E" w:rsidRDefault="002D57DE" w:rsidP="00D94B14">
            <w:pPr>
              <w:rPr>
                <w:lang w:val="en-GB"/>
              </w:rPr>
            </w:pPr>
          </w:p>
        </w:tc>
      </w:tr>
      <w:tr w:rsidR="00D94B14" w:rsidRPr="0024158E" w14:paraId="1D69A766" w14:textId="77777777" w:rsidTr="00A91876">
        <w:trPr>
          <w:jc w:val="center"/>
        </w:trPr>
        <w:tc>
          <w:tcPr>
            <w:tcW w:w="5796" w:type="dxa"/>
          </w:tcPr>
          <w:p w14:paraId="4DDF0E53" w14:textId="48474B9E" w:rsidR="00D94B14" w:rsidRPr="0024158E" w:rsidRDefault="00D94B14" w:rsidP="00675B2D">
            <w:pPr>
              <w:jc w:val="right"/>
              <w:rPr>
                <w:lang w:val="en-GB"/>
              </w:rPr>
            </w:pPr>
          </w:p>
        </w:tc>
        <w:tc>
          <w:tcPr>
            <w:tcW w:w="3220" w:type="dxa"/>
          </w:tcPr>
          <w:p w14:paraId="013565FD" w14:textId="23D8F5EE" w:rsidR="00ED2335" w:rsidRPr="0024158E" w:rsidRDefault="00D94B14" w:rsidP="00675B2D">
            <w:pPr>
              <w:jc w:val="right"/>
              <w:rPr>
                <w:lang w:val="en-GB"/>
              </w:rPr>
            </w:pPr>
            <w:r w:rsidRPr="0024158E">
              <w:rPr>
                <w:lang w:val="en-GB"/>
              </w:rPr>
              <w:br/>
              <w:t xml:space="preserve"> </w:t>
            </w:r>
          </w:p>
          <w:p w14:paraId="78965A99" w14:textId="458E1B43" w:rsidR="00D94B14" w:rsidRPr="0024158E" w:rsidRDefault="006413A7" w:rsidP="00675B2D">
            <w:pPr>
              <w:jc w:val="right"/>
              <w:rPr>
                <w:b/>
                <w:bCs/>
                <w:lang w:val="en-GB"/>
              </w:rPr>
            </w:pPr>
            <w:r w:rsidRPr="0024158E">
              <w:rPr>
                <w:b/>
                <w:bCs/>
                <w:lang w:val="en-GB"/>
              </w:rPr>
              <w:t>PRESS RELEASE</w:t>
            </w:r>
            <w:r w:rsidR="00D94B14" w:rsidRPr="0024158E">
              <w:rPr>
                <w:b/>
                <w:bCs/>
                <w:lang w:val="en-GB"/>
              </w:rPr>
              <w:br/>
            </w:r>
          </w:p>
        </w:tc>
      </w:tr>
    </w:tbl>
    <w:p w14:paraId="1C6C38C3" w14:textId="02C7B61B" w:rsidR="00815653" w:rsidRPr="00061CF6" w:rsidRDefault="00815653" w:rsidP="00815653">
      <w:pPr>
        <w:pStyle w:val="PlainText"/>
        <w:tabs>
          <w:tab w:val="left" w:pos="3465"/>
        </w:tabs>
        <w:jc w:val="both"/>
        <w:rPr>
          <w:rFonts w:ascii="Calibri" w:eastAsia="Times New Roman" w:hAnsi="Calibri" w:cs="Calibri"/>
          <w:b/>
          <w:color w:val="005A9C"/>
          <w:sz w:val="32"/>
          <w:szCs w:val="32"/>
          <w:lang w:val="en-GB" w:eastAsia="hr-HR"/>
        </w:rPr>
      </w:pPr>
      <w:r w:rsidRPr="00061CF6">
        <w:rPr>
          <w:rFonts w:ascii="Calibri" w:eastAsia="Times New Roman" w:hAnsi="Calibri" w:cs="Calibri"/>
          <w:b/>
          <w:color w:val="005A9C"/>
          <w:sz w:val="32"/>
          <w:szCs w:val="32"/>
          <w:lang w:val="en-GB" w:eastAsia="hr-HR"/>
        </w:rPr>
        <w:t xml:space="preserve">INA’s support for the Croatian handball team enters a new decade  </w:t>
      </w:r>
    </w:p>
    <w:p w14:paraId="4E2111CE" w14:textId="77777777" w:rsidR="00815653" w:rsidRPr="00061CF6" w:rsidRDefault="00815653" w:rsidP="00765282">
      <w:pPr>
        <w:jc w:val="both"/>
        <w:rPr>
          <w:rFonts w:cstheme="minorHAnsi"/>
          <w:b/>
          <w:lang w:val="en-GB"/>
        </w:rPr>
      </w:pPr>
    </w:p>
    <w:p w14:paraId="59C431A6" w14:textId="36B8BCCD" w:rsidR="00765282" w:rsidRPr="00061CF6" w:rsidRDefault="00E92ED7" w:rsidP="00765282">
      <w:pPr>
        <w:jc w:val="both"/>
        <w:rPr>
          <w:rFonts w:cstheme="minorHAnsi"/>
          <w:b/>
          <w:bCs/>
          <w:lang w:val="en-GB"/>
        </w:rPr>
      </w:pPr>
      <w:r w:rsidRPr="00061CF6">
        <w:rPr>
          <w:rFonts w:cstheme="minorHAnsi"/>
          <w:b/>
          <w:lang w:val="en-GB"/>
        </w:rPr>
        <w:t xml:space="preserve">Zagreb, </w:t>
      </w:r>
      <w:r w:rsidR="00A36435" w:rsidRPr="00061CF6">
        <w:rPr>
          <w:rFonts w:cstheme="minorHAnsi"/>
          <w:b/>
          <w:lang w:val="en-GB"/>
        </w:rPr>
        <w:t>19</w:t>
      </w:r>
      <w:r w:rsidR="00765282" w:rsidRPr="00061CF6">
        <w:rPr>
          <w:rFonts w:cstheme="minorHAnsi"/>
          <w:b/>
          <w:lang w:val="en-GB"/>
        </w:rPr>
        <w:t xml:space="preserve"> </w:t>
      </w:r>
      <w:r w:rsidR="00A36435" w:rsidRPr="00061CF6">
        <w:rPr>
          <w:rFonts w:cstheme="minorHAnsi"/>
          <w:b/>
          <w:lang w:val="en-GB"/>
        </w:rPr>
        <w:t>December</w:t>
      </w:r>
      <w:r w:rsidRPr="00061CF6">
        <w:rPr>
          <w:rFonts w:cstheme="minorHAnsi"/>
          <w:b/>
          <w:lang w:val="en-GB"/>
        </w:rPr>
        <w:t xml:space="preserve"> 2025 –</w:t>
      </w:r>
      <w:r w:rsidR="00A36435" w:rsidRPr="00061CF6">
        <w:rPr>
          <w:rFonts w:cstheme="minorHAnsi"/>
          <w:b/>
          <w:lang w:val="en-GB"/>
        </w:rPr>
        <w:t xml:space="preserve"> </w:t>
      </w:r>
      <w:r w:rsidR="00A36435" w:rsidRPr="00061CF6">
        <w:rPr>
          <w:rFonts w:cstheme="minorHAnsi"/>
          <w:b/>
          <w:bCs/>
          <w:lang w:val="en-GB"/>
        </w:rPr>
        <w:t xml:space="preserve">INA and the Croatian Handball Federation today extended their long-standing and successful partnership for an additional three years. Croatia’s top handball </w:t>
      </w:r>
      <w:r w:rsidR="006A0DDE" w:rsidRPr="00061CF6">
        <w:rPr>
          <w:rFonts w:ascii="Calibri" w:hAnsi="Calibri" w:cs="Calibri"/>
          <w:b/>
          <w:bCs/>
          <w:lang w:val="en-GB"/>
        </w:rPr>
        <w:t xml:space="preserve">players start their </w:t>
      </w:r>
      <w:r w:rsidR="003F1947" w:rsidRPr="00061CF6">
        <w:rPr>
          <w:rFonts w:cstheme="minorHAnsi"/>
          <w:b/>
          <w:bCs/>
          <w:lang w:val="en-GB"/>
        </w:rPr>
        <w:t>pursuit</w:t>
      </w:r>
      <w:r w:rsidR="003F1947" w:rsidRPr="00061CF6">
        <w:rPr>
          <w:rFonts w:cstheme="minorHAnsi"/>
          <w:i/>
          <w:iCs/>
          <w:lang w:val="en-GB"/>
        </w:rPr>
        <w:t xml:space="preserve"> </w:t>
      </w:r>
      <w:r w:rsidR="006A0DDE" w:rsidRPr="00061CF6">
        <w:rPr>
          <w:rFonts w:ascii="Calibri" w:hAnsi="Calibri" w:cs="Calibri"/>
          <w:b/>
          <w:bCs/>
          <w:lang w:val="en-GB"/>
        </w:rPr>
        <w:t>for a new European medal with INA as the general partner of the Croatian men's handball team.</w:t>
      </w:r>
    </w:p>
    <w:p w14:paraId="33C78442" w14:textId="7515D70A" w:rsidR="009F74E6" w:rsidRPr="00A36435" w:rsidRDefault="009F74E6" w:rsidP="009F74E6">
      <w:pPr>
        <w:jc w:val="both"/>
        <w:rPr>
          <w:rFonts w:cstheme="minorHAnsi"/>
          <w:bCs/>
          <w:lang w:val="en-GB"/>
        </w:rPr>
      </w:pPr>
    </w:p>
    <w:p w14:paraId="2F0EAD27" w14:textId="6E7A0AA8" w:rsidR="00A36435" w:rsidRPr="00A36435" w:rsidRDefault="00A36435" w:rsidP="00A36435">
      <w:pPr>
        <w:pStyle w:val="P68B1DB1-Normal9"/>
        <w:spacing w:line="276" w:lineRule="auto"/>
        <w:jc w:val="both"/>
        <w:rPr>
          <w:rFonts w:asciiTheme="minorHAnsi" w:hAnsiTheme="minorHAnsi" w:cstheme="minorHAnsi"/>
          <w:b w:val="0"/>
          <w:sz w:val="22"/>
          <w:szCs w:val="22"/>
          <w:lang w:val="en-GB" w:eastAsia="en-US"/>
        </w:rPr>
      </w:pPr>
      <w:r w:rsidRPr="00A36435">
        <w:rPr>
          <w:rFonts w:asciiTheme="minorHAnsi" w:hAnsiTheme="minorHAnsi" w:cstheme="minorHAnsi"/>
          <w:b w:val="0"/>
          <w:sz w:val="22"/>
          <w:szCs w:val="22"/>
          <w:lang w:val="en-GB" w:eastAsia="en-US"/>
        </w:rPr>
        <w:t xml:space="preserve">The sponsorship agreement was signed by Zsuzsanna Ortutay, President of the Management Board of INA, and Damir Poljak, Secretary General of the Croatian Handball Federation. The signing ceremony took place at INA’s </w:t>
      </w:r>
      <w:r w:rsidR="006A0DDE">
        <w:rPr>
          <w:rFonts w:asciiTheme="minorHAnsi" w:hAnsiTheme="minorHAnsi" w:cstheme="minorHAnsi"/>
          <w:b w:val="0"/>
          <w:sz w:val="22"/>
          <w:szCs w:val="22"/>
          <w:lang w:val="en-GB" w:eastAsia="en-US"/>
        </w:rPr>
        <w:t>HQ</w:t>
      </w:r>
      <w:r w:rsidRPr="00A36435">
        <w:rPr>
          <w:rFonts w:asciiTheme="minorHAnsi" w:hAnsiTheme="minorHAnsi" w:cstheme="minorHAnsi"/>
          <w:b w:val="0"/>
          <w:sz w:val="22"/>
          <w:szCs w:val="22"/>
          <w:lang w:val="en-GB" w:eastAsia="en-US"/>
        </w:rPr>
        <w:t>. “</w:t>
      </w:r>
      <w:r w:rsidRPr="006A0DDE">
        <w:rPr>
          <w:rFonts w:asciiTheme="minorHAnsi" w:hAnsiTheme="minorHAnsi" w:cstheme="minorHAnsi"/>
          <w:b w:val="0"/>
          <w:i/>
          <w:iCs/>
          <w:sz w:val="22"/>
          <w:szCs w:val="22"/>
          <w:lang w:val="en-GB" w:eastAsia="en-US"/>
        </w:rPr>
        <w:t xml:space="preserve">INA strives for excellence in everything we do. That is precisely why we are proud to continue our partnership with the Croatian national handball team, one of the most successful sporting symbols of </w:t>
      </w:r>
      <w:r w:rsidR="00815653">
        <w:rPr>
          <w:rFonts w:asciiTheme="minorHAnsi" w:hAnsiTheme="minorHAnsi" w:cstheme="minorHAnsi"/>
          <w:b w:val="0"/>
          <w:i/>
          <w:iCs/>
          <w:sz w:val="22"/>
          <w:szCs w:val="22"/>
          <w:lang w:val="en-GB" w:eastAsia="en-US"/>
        </w:rPr>
        <w:t>Croatia</w:t>
      </w:r>
      <w:r w:rsidRPr="006A0DDE">
        <w:rPr>
          <w:rFonts w:asciiTheme="minorHAnsi" w:hAnsiTheme="minorHAnsi" w:cstheme="minorHAnsi"/>
          <w:b w:val="0"/>
          <w:i/>
          <w:iCs/>
          <w:sz w:val="22"/>
          <w:szCs w:val="22"/>
          <w:lang w:val="en-GB" w:eastAsia="en-US"/>
        </w:rPr>
        <w:t>. Their dedication, discipline and top-level results reflect the values we share — responsibility, teamwork and a constant drive for progress. We wish the team every success in their pursuit of a new European medal, and at INA they will continue to have their most loyal supporters</w:t>
      </w:r>
      <w:r w:rsidRPr="00A36435">
        <w:rPr>
          <w:rFonts w:asciiTheme="minorHAnsi" w:hAnsiTheme="minorHAnsi" w:cstheme="minorHAnsi"/>
          <w:b w:val="0"/>
          <w:sz w:val="22"/>
          <w:szCs w:val="22"/>
          <w:lang w:val="en-GB" w:eastAsia="en-US"/>
        </w:rPr>
        <w:t xml:space="preserve">,” said Zsuzsanna Ortutay, </w:t>
      </w:r>
      <w:r w:rsidR="006A0DDE" w:rsidRPr="00A36435">
        <w:rPr>
          <w:rFonts w:asciiTheme="minorHAnsi" w:hAnsiTheme="minorHAnsi" w:cstheme="minorHAnsi"/>
          <w:b w:val="0"/>
          <w:sz w:val="22"/>
          <w:szCs w:val="22"/>
          <w:lang w:val="en-GB" w:eastAsia="en-US"/>
        </w:rPr>
        <w:t>President of the Management Board of INA</w:t>
      </w:r>
      <w:r w:rsidRPr="00A36435">
        <w:rPr>
          <w:rFonts w:asciiTheme="minorHAnsi" w:hAnsiTheme="minorHAnsi" w:cstheme="minorHAnsi"/>
          <w:b w:val="0"/>
          <w:sz w:val="22"/>
          <w:szCs w:val="22"/>
          <w:lang w:val="en-GB" w:eastAsia="en-US"/>
        </w:rPr>
        <w:t>.</w:t>
      </w:r>
    </w:p>
    <w:p w14:paraId="61157EDE" w14:textId="77777777" w:rsidR="00A36435" w:rsidRPr="00A36435" w:rsidRDefault="00A36435" w:rsidP="00A36435">
      <w:pPr>
        <w:pStyle w:val="P68B1DB1-Normal9"/>
        <w:spacing w:line="276" w:lineRule="auto"/>
        <w:jc w:val="both"/>
        <w:rPr>
          <w:rFonts w:asciiTheme="minorHAnsi" w:hAnsiTheme="minorHAnsi" w:cstheme="minorHAnsi"/>
          <w:b w:val="0"/>
          <w:sz w:val="22"/>
          <w:szCs w:val="22"/>
          <w:lang w:val="en-GB" w:eastAsia="en-US"/>
        </w:rPr>
      </w:pPr>
    </w:p>
    <w:p w14:paraId="6F4E2927" w14:textId="2EA6783E" w:rsidR="00A36435" w:rsidRPr="00A36435" w:rsidRDefault="00A36435" w:rsidP="00A36435">
      <w:pPr>
        <w:pStyle w:val="P68B1DB1-Normal9"/>
        <w:spacing w:line="276" w:lineRule="auto"/>
        <w:jc w:val="both"/>
        <w:rPr>
          <w:rFonts w:asciiTheme="minorHAnsi" w:hAnsiTheme="minorHAnsi" w:cstheme="minorHAnsi"/>
          <w:b w:val="0"/>
          <w:sz w:val="22"/>
          <w:szCs w:val="22"/>
          <w:lang w:val="en-GB" w:eastAsia="en-US"/>
        </w:rPr>
      </w:pPr>
      <w:r w:rsidRPr="00A36435">
        <w:rPr>
          <w:rFonts w:asciiTheme="minorHAnsi" w:hAnsiTheme="minorHAnsi" w:cstheme="minorHAnsi"/>
          <w:b w:val="0"/>
          <w:sz w:val="22"/>
          <w:szCs w:val="22"/>
          <w:lang w:val="en-GB" w:eastAsia="en-US"/>
        </w:rPr>
        <w:t>Addressing those present on behalf of the Croatian Handball Federation, Secretary General Damir Poljak emphasized:</w:t>
      </w:r>
      <w:r w:rsidR="006A0DDE">
        <w:rPr>
          <w:rFonts w:asciiTheme="minorHAnsi" w:hAnsiTheme="minorHAnsi" w:cstheme="minorHAnsi"/>
          <w:b w:val="0"/>
          <w:sz w:val="22"/>
          <w:szCs w:val="22"/>
          <w:lang w:val="en-GB" w:eastAsia="en-US"/>
        </w:rPr>
        <w:t xml:space="preserve"> </w:t>
      </w:r>
      <w:r w:rsidRPr="00A36435">
        <w:rPr>
          <w:rFonts w:asciiTheme="minorHAnsi" w:hAnsiTheme="minorHAnsi" w:cstheme="minorHAnsi"/>
          <w:b w:val="0"/>
          <w:sz w:val="22"/>
          <w:szCs w:val="22"/>
          <w:lang w:val="en-GB" w:eastAsia="en-US"/>
        </w:rPr>
        <w:t>“</w:t>
      </w:r>
      <w:r w:rsidRPr="006A0DDE">
        <w:rPr>
          <w:rFonts w:asciiTheme="minorHAnsi" w:hAnsiTheme="minorHAnsi" w:cstheme="minorHAnsi"/>
          <w:b w:val="0"/>
          <w:i/>
          <w:iCs/>
          <w:sz w:val="22"/>
          <w:szCs w:val="22"/>
          <w:lang w:val="en-GB" w:eastAsia="en-US"/>
        </w:rPr>
        <w:t>The cooperation between INA and the Croatian Handball Federation is one of the finest examples of a long-term and stable partnership. We greatly appreciate the fact that INA recognizes the value of Croatian handball and continuously supports our projects and ambitions. We look forward to continuing our cooperation and believe that together we will celebrate both INA’s business achievements and the sporting successes of Croatian handball</w:t>
      </w:r>
      <w:r w:rsidRPr="00A36435">
        <w:rPr>
          <w:rFonts w:asciiTheme="minorHAnsi" w:hAnsiTheme="minorHAnsi" w:cstheme="minorHAnsi"/>
          <w:b w:val="0"/>
          <w:sz w:val="22"/>
          <w:szCs w:val="22"/>
          <w:lang w:val="en-GB" w:eastAsia="en-US"/>
        </w:rPr>
        <w:t>.”</w:t>
      </w:r>
    </w:p>
    <w:p w14:paraId="248DC1CB" w14:textId="77777777" w:rsidR="00A36435" w:rsidRPr="00A36435" w:rsidRDefault="00A36435" w:rsidP="00A36435">
      <w:pPr>
        <w:pStyle w:val="P68B1DB1-Normal9"/>
        <w:spacing w:line="276" w:lineRule="auto"/>
        <w:jc w:val="both"/>
        <w:rPr>
          <w:rFonts w:asciiTheme="minorHAnsi" w:hAnsiTheme="minorHAnsi" w:cstheme="minorHAnsi"/>
          <w:b w:val="0"/>
          <w:sz w:val="22"/>
          <w:szCs w:val="22"/>
          <w:lang w:val="en-GB" w:eastAsia="en-US"/>
        </w:rPr>
      </w:pPr>
    </w:p>
    <w:p w14:paraId="3D0E86C1" w14:textId="4A7F50D2" w:rsidR="00A36435" w:rsidRPr="00A36435" w:rsidRDefault="00A36435" w:rsidP="00A36435">
      <w:pPr>
        <w:pStyle w:val="P68B1DB1-Normal9"/>
        <w:spacing w:line="276" w:lineRule="auto"/>
        <w:jc w:val="both"/>
        <w:rPr>
          <w:rFonts w:asciiTheme="minorHAnsi" w:hAnsiTheme="minorHAnsi" w:cstheme="minorHAnsi"/>
          <w:b w:val="0"/>
          <w:sz w:val="22"/>
          <w:szCs w:val="22"/>
          <w:lang w:val="en-GB" w:eastAsia="en-US"/>
        </w:rPr>
      </w:pPr>
      <w:r w:rsidRPr="00A36435">
        <w:rPr>
          <w:rFonts w:asciiTheme="minorHAnsi" w:hAnsiTheme="minorHAnsi" w:cstheme="minorHAnsi"/>
          <w:b w:val="0"/>
          <w:sz w:val="22"/>
          <w:szCs w:val="22"/>
          <w:lang w:val="en-GB" w:eastAsia="en-US"/>
        </w:rPr>
        <w:t>The signing of the sponsorship agreement was also attended by the coaching staff and players of the Croatian men’s national handball team. On behalf of the team, national team player Luka Lovre Klarica addressed the audience, stating:</w:t>
      </w:r>
      <w:r w:rsidR="006A0DDE">
        <w:rPr>
          <w:rFonts w:asciiTheme="minorHAnsi" w:hAnsiTheme="minorHAnsi" w:cstheme="minorHAnsi"/>
          <w:b w:val="0"/>
          <w:sz w:val="22"/>
          <w:szCs w:val="22"/>
          <w:lang w:val="en-GB" w:eastAsia="en-US"/>
        </w:rPr>
        <w:t xml:space="preserve"> </w:t>
      </w:r>
      <w:r w:rsidRPr="00A36435">
        <w:rPr>
          <w:rFonts w:asciiTheme="minorHAnsi" w:hAnsiTheme="minorHAnsi" w:cstheme="minorHAnsi"/>
          <w:b w:val="0"/>
          <w:sz w:val="22"/>
          <w:szCs w:val="22"/>
          <w:lang w:val="en-GB" w:eastAsia="en-US"/>
        </w:rPr>
        <w:t>“</w:t>
      </w:r>
      <w:r w:rsidRPr="006A0DDE">
        <w:rPr>
          <w:rFonts w:asciiTheme="minorHAnsi" w:hAnsiTheme="minorHAnsi" w:cstheme="minorHAnsi"/>
          <w:b w:val="0"/>
          <w:i/>
          <w:iCs/>
          <w:sz w:val="22"/>
          <w:szCs w:val="22"/>
          <w:lang w:val="en-GB" w:eastAsia="en-US"/>
        </w:rPr>
        <w:t xml:space="preserve">It is a great honour to have INA by our side at the most important moments. This support gives us additional motivation and confidence to always give our very best. A </w:t>
      </w:r>
      <w:r w:rsidRPr="006A0DDE">
        <w:rPr>
          <w:rFonts w:asciiTheme="minorHAnsi" w:hAnsiTheme="minorHAnsi" w:cstheme="minorHAnsi"/>
          <w:b w:val="0"/>
          <w:i/>
          <w:iCs/>
          <w:sz w:val="22"/>
          <w:szCs w:val="22"/>
          <w:lang w:val="en-GB" w:eastAsia="en-US"/>
        </w:rPr>
        <w:lastRenderedPageBreak/>
        <w:t>challenging year lies ahead of us, starting with the European Championship, and I believe that with partners like this we can take another step forward and delight our fans with new successes</w:t>
      </w:r>
      <w:r w:rsidRPr="00A36435">
        <w:rPr>
          <w:rFonts w:asciiTheme="minorHAnsi" w:hAnsiTheme="minorHAnsi" w:cstheme="minorHAnsi"/>
          <w:b w:val="0"/>
          <w:sz w:val="22"/>
          <w:szCs w:val="22"/>
          <w:lang w:val="en-GB" w:eastAsia="en-US"/>
        </w:rPr>
        <w:t>.”</w:t>
      </w:r>
    </w:p>
    <w:p w14:paraId="71547659" w14:textId="77777777" w:rsidR="00A36435" w:rsidRPr="00A36435" w:rsidRDefault="00A36435" w:rsidP="00A36435">
      <w:pPr>
        <w:pStyle w:val="P68B1DB1-Normal9"/>
        <w:spacing w:line="276" w:lineRule="auto"/>
        <w:jc w:val="both"/>
        <w:rPr>
          <w:rFonts w:asciiTheme="minorHAnsi" w:hAnsiTheme="minorHAnsi" w:cstheme="minorHAnsi"/>
          <w:b w:val="0"/>
          <w:sz w:val="22"/>
          <w:szCs w:val="22"/>
          <w:lang w:val="en-GB" w:eastAsia="en-US"/>
        </w:rPr>
      </w:pPr>
    </w:p>
    <w:p w14:paraId="7315E598" w14:textId="77777777" w:rsidR="00A36435" w:rsidRPr="00A36435" w:rsidRDefault="00A36435" w:rsidP="00A36435">
      <w:pPr>
        <w:pStyle w:val="P68B1DB1-Normal9"/>
        <w:spacing w:line="276" w:lineRule="auto"/>
        <w:jc w:val="both"/>
        <w:rPr>
          <w:rFonts w:asciiTheme="minorHAnsi" w:hAnsiTheme="minorHAnsi" w:cstheme="minorHAnsi"/>
          <w:b w:val="0"/>
          <w:sz w:val="22"/>
          <w:szCs w:val="22"/>
          <w:lang w:val="en-GB" w:eastAsia="en-US"/>
        </w:rPr>
      </w:pPr>
      <w:r w:rsidRPr="00A36435">
        <w:rPr>
          <w:rFonts w:asciiTheme="minorHAnsi" w:hAnsiTheme="minorHAnsi" w:cstheme="minorHAnsi"/>
          <w:b w:val="0"/>
          <w:sz w:val="22"/>
          <w:szCs w:val="22"/>
          <w:lang w:val="en-GB" w:eastAsia="en-US"/>
        </w:rPr>
        <w:t>As a socially responsible company, INA has long been a committed supporter of Croatian sport, proudly backing both professional and amateur athletes with the aim of promoting sporting spirit, excellence and a healthy lifestyle. The cooperation with the Croatian Handball Federation has spanned an entire decade and is founded on shared values and a joint commitment to achieving top-level results.</w:t>
      </w:r>
    </w:p>
    <w:p w14:paraId="24EB7B62" w14:textId="77777777" w:rsidR="00A36435" w:rsidRPr="00A36435" w:rsidRDefault="00A36435" w:rsidP="00A36435">
      <w:pPr>
        <w:pStyle w:val="P68B1DB1-Normal9"/>
        <w:spacing w:line="276" w:lineRule="auto"/>
        <w:jc w:val="both"/>
        <w:rPr>
          <w:rFonts w:asciiTheme="minorHAnsi" w:hAnsiTheme="minorHAnsi" w:cstheme="minorHAnsi"/>
          <w:b w:val="0"/>
          <w:sz w:val="22"/>
          <w:szCs w:val="22"/>
          <w:lang w:val="en-GB" w:eastAsia="en-US"/>
        </w:rPr>
      </w:pPr>
    </w:p>
    <w:p w14:paraId="740F6407" w14:textId="2A15E47E" w:rsidR="001C0B30" w:rsidRPr="00A36435" w:rsidRDefault="001C0B30" w:rsidP="00A36435">
      <w:pPr>
        <w:pStyle w:val="P68B1DB1-Normal9"/>
        <w:spacing w:line="276" w:lineRule="auto"/>
        <w:jc w:val="both"/>
        <w:rPr>
          <w:lang w:val="en-GB"/>
        </w:rPr>
      </w:pPr>
      <w:r w:rsidRPr="00A36435">
        <w:rPr>
          <w:lang w:val="en-GB"/>
        </w:rPr>
        <w:t xml:space="preserve">About INA Group </w:t>
      </w:r>
    </w:p>
    <w:p w14:paraId="0D7D512A" w14:textId="77777777" w:rsidR="001C0B30" w:rsidRPr="00A36435" w:rsidRDefault="001C0B30" w:rsidP="001C0B30">
      <w:pPr>
        <w:pStyle w:val="P68B1DB1-Normal10"/>
        <w:jc w:val="both"/>
        <w:rPr>
          <w:lang w:val="en-GB"/>
        </w:rPr>
      </w:pPr>
      <w:r w:rsidRPr="00A36435">
        <w:rPr>
          <w:lang w:val="en-GB"/>
        </w:rPr>
        <w:t>INA Group plays a leading role in oil operations in Croatia and a significant role in the region in oil and gas exploration and production, oil refining and distribution of oil and petroleum products. INA Group comprises several subsidiaries fully or partial owned by INA, d.d. The Group's seat is in Zagreb, Croatia. Apart from Croatia, INA also has upstream operations in Egypt. Oil refining takes place at the Rijeka Refinery, while sustainable alternative businesses are being developed at the Sisak industrial site. INA’s regional retail network consists of more than 500 retail sites in Croatia and neighbouring countries. INA Group is a member of MOL Group.</w:t>
      </w:r>
    </w:p>
    <w:p w14:paraId="7082FE48" w14:textId="77777777" w:rsidR="00FE150C" w:rsidRPr="00A36435" w:rsidRDefault="00FE150C" w:rsidP="00FE150C">
      <w:pPr>
        <w:spacing w:before="100" w:beforeAutospacing="1" w:after="100" w:afterAutospacing="1"/>
        <w:rPr>
          <w:rFonts w:eastAsia="Times New Roman" w:cstheme="minorHAnsi"/>
          <w:sz w:val="20"/>
          <w:szCs w:val="20"/>
          <w:lang w:val="en-GB" w:eastAsia="hr-HR"/>
        </w:rPr>
      </w:pPr>
      <w:r w:rsidRPr="00A36435">
        <w:rPr>
          <w:rFonts w:eastAsia="Times New Roman" w:cstheme="minorHAnsi"/>
          <w:b/>
          <w:bCs/>
          <w:sz w:val="20"/>
          <w:szCs w:val="20"/>
          <w:lang w:val="en-GB" w:eastAsia="hr-HR"/>
        </w:rPr>
        <w:t>PR contact</w:t>
      </w:r>
      <w:r w:rsidRPr="00A36435">
        <w:rPr>
          <w:rFonts w:eastAsia="Times New Roman" w:cstheme="minorHAnsi"/>
          <w:sz w:val="20"/>
          <w:szCs w:val="20"/>
          <w:lang w:val="en-GB" w:eastAsia="hr-HR"/>
        </w:rPr>
        <w:br/>
        <w:t>Avenija Većeslava Holjevca 10, Zagreb</w:t>
      </w:r>
      <w:r w:rsidRPr="00A36435">
        <w:rPr>
          <w:rFonts w:eastAsia="Times New Roman" w:cstheme="minorHAnsi"/>
          <w:sz w:val="20"/>
          <w:szCs w:val="20"/>
          <w:lang w:val="en-GB" w:eastAsia="hr-HR"/>
        </w:rPr>
        <w:br/>
        <w:t xml:space="preserve">Phone: +385 1 6450 552 | Email: </w:t>
      </w:r>
      <w:hyperlink r:id="rId10" w:history="1">
        <w:r w:rsidRPr="00A36435">
          <w:rPr>
            <w:rStyle w:val="Hyperlink"/>
            <w:rFonts w:eastAsia="Times New Roman" w:cstheme="minorHAnsi"/>
            <w:sz w:val="20"/>
            <w:szCs w:val="20"/>
            <w:lang w:val="en-GB" w:eastAsia="hr-HR"/>
          </w:rPr>
          <w:t>pr@ina.hr</w:t>
        </w:r>
      </w:hyperlink>
    </w:p>
    <w:p w14:paraId="6F186F74" w14:textId="0C484DF6" w:rsidR="0069020F" w:rsidRPr="0024158E" w:rsidRDefault="0069020F" w:rsidP="00FE150C">
      <w:pPr>
        <w:jc w:val="both"/>
        <w:rPr>
          <w:lang w:val="en-GB"/>
        </w:rPr>
      </w:pPr>
    </w:p>
    <w:sectPr w:rsidR="0069020F" w:rsidRPr="0024158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244F" w14:textId="77777777" w:rsidR="00845DBA" w:rsidRDefault="00845DBA">
      <w:r>
        <w:separator/>
      </w:r>
    </w:p>
    <w:p w14:paraId="555ED924" w14:textId="77777777" w:rsidR="00845DBA" w:rsidRDefault="00845DBA"/>
  </w:endnote>
  <w:endnote w:type="continuationSeparator" w:id="0">
    <w:p w14:paraId="1EF07F29" w14:textId="77777777" w:rsidR="00845DBA" w:rsidRDefault="00845DBA">
      <w:r>
        <w:continuationSeparator/>
      </w:r>
    </w:p>
    <w:p w14:paraId="0B4B0A0F" w14:textId="77777777" w:rsidR="00845DBA" w:rsidRDefault="0084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A929" w14:textId="77777777" w:rsidR="005733DA" w:rsidRDefault="005733DA">
    <w:pPr>
      <w:pStyle w:val="Footer"/>
    </w:pPr>
  </w:p>
  <w:p w14:paraId="30583F9F" w14:textId="77777777" w:rsidR="000872E7" w:rsidRDefault="000872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84EE" w14:textId="77777777" w:rsidR="00192583" w:rsidRDefault="00192583" w:rsidP="00192583"/>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701"/>
      <w:gridCol w:w="1985"/>
      <w:gridCol w:w="2126"/>
      <w:gridCol w:w="2126"/>
    </w:tblGrid>
    <w:tr w:rsidR="00192583" w:rsidRPr="00713B78" w14:paraId="337E8803" w14:textId="77777777">
      <w:trPr>
        <w:cantSplit/>
        <w:trHeight w:val="181"/>
      </w:trPr>
      <w:tc>
        <w:tcPr>
          <w:tcW w:w="1701" w:type="dxa"/>
          <w:vMerge w:val="restart"/>
          <w:tcBorders>
            <w:top w:val="single" w:sz="4" w:space="0" w:color="auto"/>
            <w:left w:val="nil"/>
            <w:right w:val="nil"/>
          </w:tcBorders>
        </w:tcPr>
        <w:p w14:paraId="48ED8304" w14:textId="77777777" w:rsidR="00192583" w:rsidRDefault="00192583" w:rsidP="00192583">
          <w:pPr>
            <w:pStyle w:val="Footer"/>
            <w:spacing w:before="20" w:after="20"/>
            <w:rPr>
              <w:rFonts w:cs="Arial"/>
              <w:b/>
              <w:bCs/>
              <w:sz w:val="14"/>
              <w:szCs w:val="14"/>
            </w:rPr>
          </w:pPr>
        </w:p>
        <w:p w14:paraId="5AC80126" w14:textId="77777777" w:rsidR="00192583" w:rsidRPr="002B598A" w:rsidRDefault="00192583" w:rsidP="00192583">
          <w:pPr>
            <w:pStyle w:val="Footer"/>
            <w:spacing w:before="20" w:after="20"/>
            <w:rPr>
              <w:rFonts w:cs="Arial"/>
              <w:b/>
              <w:bCs/>
              <w:sz w:val="14"/>
              <w:szCs w:val="14"/>
            </w:rPr>
          </w:pPr>
          <w:r w:rsidRPr="002B598A">
            <w:rPr>
              <w:rFonts w:cs="Arial"/>
              <w:b/>
              <w:bCs/>
              <w:sz w:val="14"/>
              <w:szCs w:val="14"/>
            </w:rPr>
            <w:t>INA, d.d.</w:t>
          </w:r>
        </w:p>
        <w:p w14:paraId="45E100B2" w14:textId="77777777" w:rsidR="00192583" w:rsidRPr="002B598A" w:rsidRDefault="00192583" w:rsidP="00192583">
          <w:pPr>
            <w:pStyle w:val="Footer"/>
            <w:rPr>
              <w:rFonts w:cs="Arial"/>
              <w:sz w:val="11"/>
              <w:szCs w:val="11"/>
            </w:rPr>
          </w:pPr>
          <w:r w:rsidRPr="002B598A">
            <w:rPr>
              <w:rFonts w:cs="Arial"/>
              <w:sz w:val="11"/>
              <w:szCs w:val="11"/>
            </w:rPr>
            <w:t xml:space="preserve">Avenija Većeslava Holjevca 10 </w:t>
          </w:r>
        </w:p>
        <w:p w14:paraId="63E48A19" w14:textId="77777777" w:rsidR="00192583" w:rsidRPr="002B598A" w:rsidRDefault="00192583" w:rsidP="00192583">
          <w:pPr>
            <w:pStyle w:val="Footer"/>
            <w:rPr>
              <w:rFonts w:cs="Arial"/>
              <w:sz w:val="11"/>
              <w:szCs w:val="11"/>
            </w:rPr>
          </w:pPr>
          <w:r w:rsidRPr="002B598A">
            <w:rPr>
              <w:rFonts w:cs="Arial"/>
              <w:sz w:val="11"/>
              <w:szCs w:val="11"/>
            </w:rPr>
            <w:t>10 002 Zagreb    p.p. 555</w:t>
          </w:r>
        </w:p>
        <w:p w14:paraId="5192CE54" w14:textId="77777777" w:rsidR="00192583" w:rsidRDefault="00192583" w:rsidP="00192583">
          <w:pPr>
            <w:pStyle w:val="Footer"/>
            <w:rPr>
              <w:rFonts w:cs="Arial"/>
              <w:i/>
              <w:iCs/>
              <w:sz w:val="11"/>
              <w:szCs w:val="11"/>
            </w:rPr>
          </w:pPr>
          <w:r w:rsidRPr="002B598A">
            <w:rPr>
              <w:rFonts w:cs="Arial"/>
              <w:sz w:val="11"/>
              <w:szCs w:val="11"/>
            </w:rPr>
            <w:t xml:space="preserve">Hrvatska </w:t>
          </w:r>
          <w:r>
            <w:rPr>
              <w:rFonts w:cs="Arial"/>
              <w:sz w:val="11"/>
              <w:szCs w:val="11"/>
            </w:rPr>
            <w:t>–</w:t>
          </w:r>
          <w:r w:rsidRPr="002B598A">
            <w:rPr>
              <w:rFonts w:cs="Arial"/>
              <w:sz w:val="11"/>
              <w:szCs w:val="11"/>
            </w:rPr>
            <w:t xml:space="preserve"> </w:t>
          </w:r>
          <w:r w:rsidRPr="002B598A">
            <w:rPr>
              <w:rFonts w:cs="Arial"/>
              <w:i/>
              <w:iCs/>
              <w:sz w:val="11"/>
              <w:szCs w:val="11"/>
            </w:rPr>
            <w:t>Croatia</w:t>
          </w:r>
        </w:p>
        <w:p w14:paraId="08023FEA" w14:textId="77777777" w:rsidR="00192583" w:rsidRPr="00B871AD" w:rsidRDefault="00192583" w:rsidP="00192583">
          <w:pPr>
            <w:pStyle w:val="Footer"/>
            <w:rPr>
              <w:rFonts w:cs="Arial"/>
              <w:sz w:val="11"/>
              <w:szCs w:val="11"/>
            </w:rPr>
          </w:pPr>
          <w:r w:rsidRPr="00B871AD">
            <w:rPr>
              <w:sz w:val="11"/>
              <w:szCs w:val="11"/>
            </w:rPr>
            <w:t>BIC (SWIFT): INAHHR22</w:t>
          </w:r>
        </w:p>
        <w:p w14:paraId="595AADDA" w14:textId="77777777" w:rsidR="00192583" w:rsidRPr="002B598A" w:rsidRDefault="00192583" w:rsidP="00192583">
          <w:pPr>
            <w:pStyle w:val="Footer"/>
            <w:rPr>
              <w:sz w:val="11"/>
              <w:szCs w:val="11"/>
            </w:rPr>
          </w:pPr>
          <w:r w:rsidRPr="002B598A">
            <w:rPr>
              <w:rFonts w:cs="Arial"/>
              <w:sz w:val="11"/>
              <w:szCs w:val="11"/>
            </w:rPr>
            <w:t xml:space="preserve">Telefon </w:t>
          </w:r>
          <w:r>
            <w:rPr>
              <w:rFonts w:cs="Arial"/>
              <w:sz w:val="11"/>
              <w:szCs w:val="11"/>
            </w:rPr>
            <w:t>–</w:t>
          </w:r>
          <w:r w:rsidRPr="002B598A">
            <w:rPr>
              <w:rFonts w:cs="Arial"/>
              <w:sz w:val="11"/>
              <w:szCs w:val="11"/>
            </w:rPr>
            <w:t xml:space="preserve"> </w:t>
          </w:r>
          <w:proofErr w:type="spellStart"/>
          <w:r w:rsidRPr="002B598A">
            <w:rPr>
              <w:rFonts w:cs="Arial"/>
              <w:i/>
              <w:iCs/>
              <w:sz w:val="11"/>
              <w:szCs w:val="11"/>
            </w:rPr>
            <w:t>Telephone</w:t>
          </w:r>
          <w:proofErr w:type="spellEnd"/>
          <w:r>
            <w:rPr>
              <w:rFonts w:cs="Arial"/>
              <w:i/>
              <w:iCs/>
              <w:sz w:val="11"/>
              <w:szCs w:val="11"/>
            </w:rPr>
            <w:t>:</w:t>
          </w:r>
          <w:r w:rsidRPr="002B598A">
            <w:rPr>
              <w:rFonts w:cs="Arial"/>
              <w:sz w:val="11"/>
              <w:szCs w:val="11"/>
            </w:rPr>
            <w:t xml:space="preserve"> </w:t>
          </w:r>
          <w:r>
            <w:rPr>
              <w:rFonts w:cs="Arial"/>
              <w:sz w:val="11"/>
              <w:szCs w:val="11"/>
            </w:rPr>
            <w:t>08001112</w:t>
          </w:r>
        </w:p>
      </w:tc>
      <w:tc>
        <w:tcPr>
          <w:tcW w:w="1701" w:type="dxa"/>
          <w:tcBorders>
            <w:top w:val="single" w:sz="4" w:space="0" w:color="auto"/>
            <w:left w:val="nil"/>
            <w:bottom w:val="nil"/>
            <w:right w:val="nil"/>
          </w:tcBorders>
          <w:vAlign w:val="center"/>
        </w:tcPr>
        <w:p w14:paraId="06CC66BB" w14:textId="77777777" w:rsidR="00192583" w:rsidRDefault="00192583" w:rsidP="00192583">
          <w:pPr>
            <w:pStyle w:val="Footer"/>
            <w:ind w:left="-108"/>
            <w:rPr>
              <w:rFonts w:cs="Arial"/>
              <w:sz w:val="11"/>
              <w:szCs w:val="11"/>
            </w:rPr>
          </w:pPr>
        </w:p>
        <w:p w14:paraId="6A8DC1F0" w14:textId="77777777" w:rsidR="00192583" w:rsidRPr="00713B78" w:rsidRDefault="00192583" w:rsidP="00192583">
          <w:pPr>
            <w:pStyle w:val="Footer"/>
            <w:ind w:left="-108"/>
            <w:rPr>
              <w:sz w:val="11"/>
              <w:szCs w:val="11"/>
            </w:rPr>
          </w:pPr>
          <w:r w:rsidRPr="00713B78">
            <w:rPr>
              <w:rFonts w:cs="Arial"/>
              <w:sz w:val="11"/>
              <w:szCs w:val="11"/>
            </w:rPr>
            <w:t xml:space="preserve">Banka - </w:t>
          </w:r>
          <w:r w:rsidRPr="00713B78">
            <w:rPr>
              <w:rFonts w:cs="Arial"/>
              <w:i/>
              <w:iCs/>
              <w:sz w:val="11"/>
              <w:szCs w:val="11"/>
            </w:rPr>
            <w:t>Bank</w:t>
          </w:r>
        </w:p>
      </w:tc>
      <w:tc>
        <w:tcPr>
          <w:tcW w:w="1985" w:type="dxa"/>
          <w:tcBorders>
            <w:top w:val="single" w:sz="4" w:space="0" w:color="auto"/>
            <w:left w:val="nil"/>
            <w:bottom w:val="nil"/>
            <w:right w:val="nil"/>
          </w:tcBorders>
          <w:vAlign w:val="center"/>
        </w:tcPr>
        <w:p w14:paraId="5B560241" w14:textId="77777777" w:rsidR="00192583" w:rsidRPr="00713B78" w:rsidRDefault="00192583" w:rsidP="00192583">
          <w:pPr>
            <w:pStyle w:val="Footer"/>
            <w:ind w:left="-108"/>
            <w:rPr>
              <w:rFonts w:cs="Arial"/>
              <w:sz w:val="11"/>
              <w:szCs w:val="11"/>
            </w:rPr>
          </w:pPr>
        </w:p>
        <w:p w14:paraId="0DA1714D" w14:textId="77777777" w:rsidR="00192583" w:rsidRPr="00713B78" w:rsidRDefault="00192583" w:rsidP="00192583">
          <w:pPr>
            <w:pStyle w:val="Footer"/>
            <w:ind w:left="-108"/>
            <w:rPr>
              <w:rFonts w:cs="Arial"/>
              <w:sz w:val="11"/>
              <w:szCs w:val="11"/>
            </w:rPr>
          </w:pPr>
          <w:r w:rsidRPr="00713B78">
            <w:rPr>
              <w:rFonts w:cs="Arial"/>
              <w:sz w:val="11"/>
              <w:szCs w:val="11"/>
            </w:rPr>
            <w:t xml:space="preserve">Adresa - </w:t>
          </w:r>
          <w:r w:rsidRPr="00713B78">
            <w:rPr>
              <w:rFonts w:cs="Arial"/>
              <w:i/>
              <w:iCs/>
              <w:sz w:val="11"/>
              <w:szCs w:val="11"/>
              <w:lang w:val="en-GB"/>
            </w:rPr>
            <w:t>Address</w:t>
          </w:r>
        </w:p>
      </w:tc>
      <w:tc>
        <w:tcPr>
          <w:tcW w:w="2126" w:type="dxa"/>
          <w:tcBorders>
            <w:top w:val="single" w:sz="4" w:space="0" w:color="auto"/>
            <w:left w:val="nil"/>
            <w:bottom w:val="nil"/>
            <w:right w:val="nil"/>
          </w:tcBorders>
          <w:vAlign w:val="center"/>
        </w:tcPr>
        <w:p w14:paraId="058449DA" w14:textId="77777777" w:rsidR="00192583" w:rsidRPr="00713B78" w:rsidRDefault="00192583" w:rsidP="00192583">
          <w:pPr>
            <w:pStyle w:val="Footer"/>
            <w:ind w:left="-108" w:right="-108"/>
            <w:rPr>
              <w:rFonts w:cs="Arial"/>
              <w:sz w:val="11"/>
              <w:szCs w:val="11"/>
            </w:rPr>
          </w:pPr>
        </w:p>
        <w:p w14:paraId="3F11F07C" w14:textId="77777777" w:rsidR="00192583" w:rsidRPr="00713B78" w:rsidRDefault="00192583" w:rsidP="00192583">
          <w:pPr>
            <w:pStyle w:val="Footer"/>
            <w:ind w:left="-108" w:right="-108"/>
            <w:rPr>
              <w:rFonts w:cs="Arial"/>
              <w:sz w:val="11"/>
              <w:szCs w:val="11"/>
            </w:rPr>
          </w:pPr>
          <w:r w:rsidRPr="00713B78">
            <w:rPr>
              <w:rFonts w:cs="Arial"/>
              <w:sz w:val="11"/>
              <w:szCs w:val="11"/>
            </w:rPr>
            <w:t xml:space="preserve">IBAN broj - </w:t>
          </w:r>
          <w:r w:rsidRPr="00713B78">
            <w:rPr>
              <w:rFonts w:cs="Arial"/>
              <w:i/>
              <w:iCs/>
              <w:sz w:val="11"/>
              <w:szCs w:val="11"/>
            </w:rPr>
            <w:t xml:space="preserve">IBAN </w:t>
          </w:r>
          <w:r w:rsidRPr="00713B78">
            <w:rPr>
              <w:rFonts w:cs="Arial"/>
              <w:i/>
              <w:iCs/>
              <w:sz w:val="11"/>
              <w:szCs w:val="11"/>
              <w:lang w:val="en-GB"/>
            </w:rPr>
            <w:t>Number</w:t>
          </w:r>
          <w:r w:rsidRPr="00713B78">
            <w:rPr>
              <w:rFonts w:cs="Arial"/>
              <w:i/>
              <w:iCs/>
              <w:sz w:val="11"/>
              <w:szCs w:val="11"/>
            </w:rPr>
            <w:t xml:space="preserve">, </w:t>
          </w:r>
        </w:p>
      </w:tc>
      <w:tc>
        <w:tcPr>
          <w:tcW w:w="2126" w:type="dxa"/>
          <w:vMerge w:val="restart"/>
          <w:tcBorders>
            <w:top w:val="single" w:sz="4" w:space="0" w:color="auto"/>
            <w:left w:val="nil"/>
            <w:right w:val="nil"/>
          </w:tcBorders>
          <w:tcMar>
            <w:left w:w="57" w:type="dxa"/>
            <w:right w:w="57" w:type="dxa"/>
          </w:tcMar>
        </w:tcPr>
        <w:p w14:paraId="2E43990B" w14:textId="77777777" w:rsidR="00192583" w:rsidRPr="00713B78" w:rsidRDefault="00192583" w:rsidP="00192583">
          <w:pPr>
            <w:pStyle w:val="Footer"/>
            <w:spacing w:before="40"/>
            <w:rPr>
              <w:rFonts w:cs="Arial"/>
              <w:sz w:val="11"/>
              <w:szCs w:val="11"/>
            </w:rPr>
          </w:pPr>
        </w:p>
        <w:p w14:paraId="72530639" w14:textId="77777777" w:rsidR="00192583" w:rsidRPr="00713B78" w:rsidRDefault="00192583" w:rsidP="00192583">
          <w:pPr>
            <w:pStyle w:val="Footer"/>
            <w:spacing w:before="40"/>
            <w:rPr>
              <w:rFonts w:cs="Arial"/>
              <w:sz w:val="11"/>
              <w:szCs w:val="11"/>
            </w:rPr>
          </w:pPr>
          <w:r w:rsidRPr="00713B78">
            <w:rPr>
              <w:rFonts w:cs="Arial"/>
              <w:sz w:val="11"/>
              <w:szCs w:val="11"/>
            </w:rPr>
            <w:t>Trgovački sud u Zagrebu</w:t>
          </w:r>
        </w:p>
        <w:p w14:paraId="7622A0A1" w14:textId="77777777" w:rsidR="00192583" w:rsidRPr="00713B78" w:rsidRDefault="00192583" w:rsidP="00192583">
          <w:pPr>
            <w:pStyle w:val="Footer"/>
            <w:rPr>
              <w:rFonts w:cs="Arial"/>
              <w:i/>
              <w:iCs/>
              <w:sz w:val="11"/>
              <w:szCs w:val="11"/>
            </w:rPr>
          </w:pPr>
          <w:proofErr w:type="spellStart"/>
          <w:r w:rsidRPr="00A35292">
            <w:rPr>
              <w:rFonts w:cs="Arial"/>
              <w:i/>
              <w:iCs/>
              <w:sz w:val="11"/>
              <w:szCs w:val="11"/>
            </w:rPr>
            <w:t>Commercial</w:t>
          </w:r>
          <w:proofErr w:type="spellEnd"/>
          <w:r w:rsidRPr="00713B78">
            <w:rPr>
              <w:rFonts w:cs="Arial"/>
              <w:i/>
              <w:iCs/>
              <w:sz w:val="11"/>
              <w:szCs w:val="11"/>
            </w:rPr>
            <w:t xml:space="preserve"> </w:t>
          </w:r>
          <w:r w:rsidRPr="00A35292">
            <w:rPr>
              <w:rFonts w:cs="Arial"/>
              <w:i/>
              <w:iCs/>
              <w:sz w:val="11"/>
              <w:szCs w:val="11"/>
            </w:rPr>
            <w:t>Court</w:t>
          </w:r>
          <w:r w:rsidRPr="00713B78">
            <w:rPr>
              <w:rFonts w:cs="Arial"/>
              <w:i/>
              <w:iCs/>
              <w:sz w:val="11"/>
              <w:szCs w:val="11"/>
            </w:rPr>
            <w:t xml:space="preserve"> </w:t>
          </w:r>
          <w:proofErr w:type="spellStart"/>
          <w:r w:rsidRPr="00A35292">
            <w:rPr>
              <w:rFonts w:cs="Arial"/>
              <w:i/>
              <w:iCs/>
              <w:sz w:val="11"/>
              <w:szCs w:val="11"/>
            </w:rPr>
            <w:t>in</w:t>
          </w:r>
          <w:proofErr w:type="spellEnd"/>
          <w:r w:rsidRPr="00713B78">
            <w:rPr>
              <w:rFonts w:cs="Arial"/>
              <w:i/>
              <w:iCs/>
              <w:sz w:val="11"/>
              <w:szCs w:val="11"/>
            </w:rPr>
            <w:t xml:space="preserve"> </w:t>
          </w:r>
          <w:r w:rsidRPr="00A35292">
            <w:rPr>
              <w:rFonts w:cs="Arial"/>
              <w:i/>
              <w:iCs/>
              <w:sz w:val="11"/>
              <w:szCs w:val="11"/>
            </w:rPr>
            <w:t>Zagreb</w:t>
          </w:r>
        </w:p>
        <w:p w14:paraId="29793E4B" w14:textId="77777777" w:rsidR="00192583" w:rsidRPr="00713B78" w:rsidRDefault="00192583" w:rsidP="00192583">
          <w:pPr>
            <w:pStyle w:val="Footer"/>
            <w:rPr>
              <w:rFonts w:cs="Arial"/>
              <w:sz w:val="11"/>
              <w:szCs w:val="11"/>
            </w:rPr>
          </w:pPr>
          <w:r w:rsidRPr="00713B78">
            <w:rPr>
              <w:rFonts w:cs="Arial"/>
              <w:sz w:val="11"/>
              <w:szCs w:val="11"/>
            </w:rPr>
            <w:t>MBS: 080000604</w:t>
          </w:r>
        </w:p>
        <w:p w14:paraId="2B579C30" w14:textId="77777777" w:rsidR="00192583" w:rsidRPr="00713B78" w:rsidRDefault="00192583" w:rsidP="00192583">
          <w:pPr>
            <w:pStyle w:val="Footer"/>
            <w:rPr>
              <w:rFonts w:cs="Arial"/>
              <w:i/>
              <w:iCs/>
              <w:sz w:val="11"/>
              <w:szCs w:val="11"/>
            </w:rPr>
          </w:pPr>
          <w:r w:rsidRPr="00713B78">
            <w:rPr>
              <w:rFonts w:cs="Arial"/>
              <w:sz w:val="11"/>
              <w:szCs w:val="11"/>
            </w:rPr>
            <w:t xml:space="preserve">Uplaćen temeljni kapital – </w:t>
          </w:r>
          <w:proofErr w:type="spellStart"/>
          <w:r w:rsidRPr="00A35292">
            <w:rPr>
              <w:rFonts w:cs="Arial"/>
              <w:i/>
              <w:iCs/>
              <w:sz w:val="11"/>
              <w:szCs w:val="11"/>
            </w:rPr>
            <w:t>Paid</w:t>
          </w:r>
          <w:proofErr w:type="spellEnd"/>
          <w:r w:rsidRPr="00713B78">
            <w:rPr>
              <w:rFonts w:cs="Arial"/>
              <w:sz w:val="11"/>
              <w:szCs w:val="11"/>
            </w:rPr>
            <w:t xml:space="preserve"> </w:t>
          </w:r>
          <w:proofErr w:type="spellStart"/>
          <w:r w:rsidRPr="00A35292">
            <w:rPr>
              <w:rFonts w:cs="Arial"/>
              <w:sz w:val="11"/>
              <w:szCs w:val="11"/>
            </w:rPr>
            <w:t>c</w:t>
          </w:r>
          <w:r w:rsidRPr="00A35292">
            <w:rPr>
              <w:rFonts w:cs="Arial"/>
              <w:i/>
              <w:iCs/>
              <w:sz w:val="11"/>
              <w:szCs w:val="11"/>
            </w:rPr>
            <w:t>apital</w:t>
          </w:r>
          <w:proofErr w:type="spellEnd"/>
          <w:r w:rsidRPr="00713B78">
            <w:rPr>
              <w:rFonts w:cs="Arial"/>
              <w:i/>
              <w:iCs/>
              <w:sz w:val="11"/>
              <w:szCs w:val="11"/>
            </w:rPr>
            <w:t xml:space="preserve"> </w:t>
          </w:r>
          <w:proofErr w:type="spellStart"/>
          <w:r w:rsidRPr="00A35292">
            <w:rPr>
              <w:rFonts w:cs="Arial"/>
              <w:i/>
              <w:iCs/>
              <w:sz w:val="11"/>
              <w:szCs w:val="11"/>
            </w:rPr>
            <w:t>stock</w:t>
          </w:r>
          <w:proofErr w:type="spellEnd"/>
        </w:p>
        <w:p w14:paraId="5B0FA837" w14:textId="77777777" w:rsidR="00192583" w:rsidRDefault="00192583" w:rsidP="00192583">
          <w:pPr>
            <w:pStyle w:val="Footer"/>
            <w:rPr>
              <w:rFonts w:cs="Arial"/>
              <w:sz w:val="11"/>
              <w:szCs w:val="11"/>
            </w:rPr>
          </w:pPr>
          <w:r w:rsidRPr="0040367C">
            <w:rPr>
              <w:rFonts w:cs="Arial"/>
              <w:sz w:val="11"/>
              <w:szCs w:val="11"/>
            </w:rPr>
            <w:t>1.200.000.000,00  EUR</w:t>
          </w:r>
        </w:p>
        <w:p w14:paraId="02B52A77" w14:textId="77777777" w:rsidR="00192583" w:rsidRPr="00713B78" w:rsidRDefault="00192583" w:rsidP="00192583">
          <w:pPr>
            <w:pStyle w:val="Footer"/>
            <w:rPr>
              <w:rFonts w:cs="Arial"/>
              <w:sz w:val="11"/>
              <w:szCs w:val="11"/>
            </w:rPr>
          </w:pPr>
          <w:r w:rsidRPr="00713B78">
            <w:rPr>
              <w:rFonts w:cs="Arial"/>
              <w:sz w:val="11"/>
              <w:szCs w:val="11"/>
            </w:rPr>
            <w:t>Broj izdanih dionica / Nominalna vrijednost</w:t>
          </w:r>
        </w:p>
        <w:p w14:paraId="7B2ABA98" w14:textId="77777777" w:rsidR="00192583" w:rsidRPr="00713B78" w:rsidRDefault="00192583" w:rsidP="00192583">
          <w:pPr>
            <w:pStyle w:val="Footer"/>
            <w:rPr>
              <w:rFonts w:cs="Arial"/>
              <w:i/>
              <w:iCs/>
              <w:sz w:val="11"/>
              <w:szCs w:val="11"/>
              <w:lang w:val="en-US"/>
            </w:rPr>
          </w:pPr>
          <w:r w:rsidRPr="00713B78">
            <w:rPr>
              <w:rFonts w:cs="Arial"/>
              <w:i/>
              <w:iCs/>
              <w:sz w:val="11"/>
              <w:szCs w:val="11"/>
              <w:lang w:val="en-US"/>
            </w:rPr>
            <w:t>No. of issued shares / Nominal value</w:t>
          </w:r>
        </w:p>
        <w:p w14:paraId="31454F3C" w14:textId="77777777" w:rsidR="00192583" w:rsidRDefault="00192583" w:rsidP="00192583">
          <w:pPr>
            <w:pStyle w:val="Footer"/>
            <w:rPr>
              <w:rFonts w:cs="Arial"/>
              <w:sz w:val="11"/>
              <w:szCs w:val="11"/>
            </w:rPr>
          </w:pPr>
          <w:r w:rsidRPr="0040367C">
            <w:rPr>
              <w:rFonts w:cs="Arial"/>
              <w:sz w:val="11"/>
              <w:szCs w:val="11"/>
            </w:rPr>
            <w:t>10.000.000 / 120,00 EUR</w:t>
          </w:r>
        </w:p>
        <w:p w14:paraId="4AFD7E7F" w14:textId="77777777" w:rsidR="00192583" w:rsidRPr="00713B78" w:rsidRDefault="00192583" w:rsidP="00192583">
          <w:pPr>
            <w:pStyle w:val="Footer"/>
            <w:rPr>
              <w:rFonts w:cs="Arial"/>
              <w:sz w:val="11"/>
              <w:szCs w:val="11"/>
            </w:rPr>
          </w:pPr>
          <w:r w:rsidRPr="00713B78">
            <w:rPr>
              <w:rFonts w:cs="Arial"/>
              <w:sz w:val="11"/>
              <w:szCs w:val="11"/>
            </w:rPr>
            <w:t xml:space="preserve">Matični broj – </w:t>
          </w:r>
          <w:r w:rsidRPr="00713B78">
            <w:rPr>
              <w:rFonts w:cs="Arial"/>
              <w:i/>
              <w:iCs/>
              <w:sz w:val="11"/>
              <w:szCs w:val="11"/>
              <w:lang w:val="nl-NL"/>
            </w:rPr>
            <w:t>Reg. No</w:t>
          </w:r>
          <w:r w:rsidRPr="00713B78">
            <w:rPr>
              <w:rFonts w:cs="Arial"/>
              <w:i/>
              <w:iCs/>
              <w:sz w:val="11"/>
              <w:szCs w:val="11"/>
            </w:rPr>
            <w:t>.</w:t>
          </w:r>
          <w:r w:rsidRPr="00713B78">
            <w:rPr>
              <w:rFonts w:cs="Arial"/>
              <w:sz w:val="11"/>
              <w:szCs w:val="11"/>
            </w:rPr>
            <w:t xml:space="preserve"> 3586243</w:t>
          </w:r>
        </w:p>
        <w:p w14:paraId="79EAB5D6" w14:textId="77777777" w:rsidR="00192583" w:rsidRPr="00713B78" w:rsidRDefault="00192583" w:rsidP="00192583">
          <w:pPr>
            <w:pStyle w:val="Footer"/>
            <w:rPr>
              <w:rFonts w:cs="Arial"/>
              <w:sz w:val="11"/>
              <w:szCs w:val="11"/>
            </w:rPr>
          </w:pPr>
          <w:r w:rsidRPr="00713B78">
            <w:rPr>
              <w:rFonts w:cs="Arial"/>
              <w:sz w:val="11"/>
              <w:szCs w:val="11"/>
            </w:rPr>
            <w:t>OIB – 27759560625</w:t>
          </w:r>
        </w:p>
        <w:p w14:paraId="3C4EBB91" w14:textId="77777777" w:rsidR="00192583" w:rsidRPr="00713B78" w:rsidRDefault="00192583" w:rsidP="00192583">
          <w:pPr>
            <w:pStyle w:val="Footer"/>
            <w:rPr>
              <w:sz w:val="11"/>
              <w:szCs w:val="11"/>
            </w:rPr>
          </w:pPr>
          <w:r w:rsidRPr="00713B78">
            <w:rPr>
              <w:rFonts w:cs="Arial"/>
              <w:sz w:val="11"/>
              <w:szCs w:val="11"/>
            </w:rPr>
            <w:t xml:space="preserve">PDV identifikacijski broj / </w:t>
          </w:r>
          <w:r w:rsidRPr="00713B78">
            <w:rPr>
              <w:rFonts w:cs="Arial"/>
              <w:i/>
              <w:iCs/>
              <w:sz w:val="11"/>
              <w:szCs w:val="11"/>
            </w:rPr>
            <w:t xml:space="preserve">VAT </w:t>
          </w:r>
          <w:r w:rsidRPr="00713B78">
            <w:rPr>
              <w:rFonts w:cs="Arial"/>
              <w:i/>
              <w:iCs/>
              <w:sz w:val="11"/>
              <w:szCs w:val="11"/>
              <w:lang w:val="en-US"/>
            </w:rPr>
            <w:t>identification number</w:t>
          </w:r>
          <w:r w:rsidRPr="00713B78">
            <w:rPr>
              <w:rFonts w:cs="Arial"/>
              <w:sz w:val="11"/>
              <w:szCs w:val="11"/>
            </w:rPr>
            <w:t xml:space="preserve"> </w:t>
          </w:r>
          <w:r w:rsidRPr="00713B78">
            <w:rPr>
              <w:sz w:val="11"/>
              <w:szCs w:val="11"/>
            </w:rPr>
            <w:t>HR27759560625</w:t>
          </w:r>
        </w:p>
      </w:tc>
    </w:tr>
    <w:tr w:rsidR="00192583" w:rsidRPr="002B598A" w14:paraId="71AFA810" w14:textId="77777777">
      <w:trPr>
        <w:cantSplit/>
        <w:trHeight w:val="1304"/>
      </w:trPr>
      <w:tc>
        <w:tcPr>
          <w:tcW w:w="1701" w:type="dxa"/>
          <w:vMerge/>
          <w:tcBorders>
            <w:left w:val="nil"/>
            <w:bottom w:val="nil"/>
            <w:right w:val="nil"/>
          </w:tcBorders>
        </w:tcPr>
        <w:p w14:paraId="1834A8DE" w14:textId="77777777" w:rsidR="00192583" w:rsidRPr="002B598A" w:rsidRDefault="00192583" w:rsidP="00192583">
          <w:pPr>
            <w:pStyle w:val="Footer"/>
            <w:rPr>
              <w:rFonts w:cs="Arial"/>
              <w:b/>
              <w:bCs/>
              <w:sz w:val="11"/>
              <w:szCs w:val="11"/>
            </w:rPr>
          </w:pPr>
        </w:p>
      </w:tc>
      <w:tc>
        <w:tcPr>
          <w:tcW w:w="1701" w:type="dxa"/>
          <w:tcBorders>
            <w:top w:val="nil"/>
            <w:left w:val="nil"/>
            <w:bottom w:val="nil"/>
            <w:right w:val="nil"/>
          </w:tcBorders>
        </w:tcPr>
        <w:p w14:paraId="373F14F5" w14:textId="77777777" w:rsidR="00192583" w:rsidRPr="00713B78" w:rsidRDefault="00192583" w:rsidP="00192583">
          <w:pPr>
            <w:pStyle w:val="Footer"/>
            <w:spacing w:line="216" w:lineRule="auto"/>
            <w:ind w:left="-108"/>
            <w:rPr>
              <w:rFonts w:cs="Arial"/>
              <w:sz w:val="11"/>
              <w:szCs w:val="11"/>
            </w:rPr>
          </w:pPr>
          <w:r w:rsidRPr="00713B78">
            <w:rPr>
              <w:rFonts w:cs="Arial"/>
              <w:sz w:val="11"/>
              <w:szCs w:val="11"/>
            </w:rPr>
            <w:t>Privredna banka Zagreb d.d.</w:t>
          </w:r>
        </w:p>
        <w:p w14:paraId="0A13B959" w14:textId="77777777" w:rsidR="00192583" w:rsidRPr="00713B78" w:rsidRDefault="00192583" w:rsidP="00192583">
          <w:pPr>
            <w:pStyle w:val="Footer"/>
            <w:spacing w:line="216" w:lineRule="auto"/>
            <w:ind w:left="-108"/>
            <w:rPr>
              <w:rFonts w:cs="Arial"/>
              <w:sz w:val="11"/>
              <w:szCs w:val="11"/>
            </w:rPr>
          </w:pPr>
          <w:proofErr w:type="spellStart"/>
          <w:r w:rsidRPr="00713B78">
            <w:rPr>
              <w:rFonts w:cs="Arial"/>
              <w:sz w:val="11"/>
              <w:szCs w:val="11"/>
            </w:rPr>
            <w:t>Raiffeisenbank</w:t>
          </w:r>
          <w:proofErr w:type="spellEnd"/>
          <w:r w:rsidRPr="00713B78">
            <w:rPr>
              <w:rFonts w:cs="Arial"/>
              <w:sz w:val="11"/>
              <w:szCs w:val="11"/>
            </w:rPr>
            <w:t xml:space="preserve"> </w:t>
          </w:r>
          <w:proofErr w:type="spellStart"/>
          <w:r w:rsidRPr="00713B78">
            <w:rPr>
              <w:rFonts w:cs="Arial"/>
              <w:sz w:val="11"/>
              <w:szCs w:val="11"/>
            </w:rPr>
            <w:t>Austria</w:t>
          </w:r>
          <w:proofErr w:type="spellEnd"/>
          <w:r w:rsidRPr="00713B78">
            <w:rPr>
              <w:rFonts w:cs="Arial"/>
              <w:sz w:val="11"/>
              <w:szCs w:val="11"/>
            </w:rPr>
            <w:t xml:space="preserve"> d.d. </w:t>
          </w:r>
        </w:p>
        <w:p w14:paraId="31BA439B" w14:textId="77777777" w:rsidR="00192583" w:rsidRPr="00713B78" w:rsidRDefault="00192583" w:rsidP="00192583">
          <w:pPr>
            <w:pStyle w:val="Footer"/>
            <w:spacing w:line="216" w:lineRule="auto"/>
            <w:ind w:left="-108"/>
            <w:rPr>
              <w:rFonts w:cs="Arial"/>
              <w:sz w:val="11"/>
              <w:szCs w:val="11"/>
            </w:rPr>
          </w:pPr>
          <w:r w:rsidRPr="00713B78">
            <w:rPr>
              <w:rFonts w:cs="Arial"/>
              <w:sz w:val="11"/>
              <w:szCs w:val="11"/>
            </w:rPr>
            <w:t>Zagrebačka banka d.d.</w:t>
          </w:r>
        </w:p>
        <w:p w14:paraId="51C05498" w14:textId="77777777" w:rsidR="00192583" w:rsidRPr="00713B78" w:rsidRDefault="00192583" w:rsidP="00192583">
          <w:pPr>
            <w:pStyle w:val="Footer"/>
            <w:spacing w:line="216" w:lineRule="auto"/>
            <w:ind w:left="-108"/>
            <w:rPr>
              <w:rFonts w:cs="Arial"/>
              <w:sz w:val="11"/>
              <w:szCs w:val="11"/>
            </w:rPr>
          </w:pPr>
          <w:r w:rsidRPr="00713B78">
            <w:rPr>
              <w:rFonts w:cs="Arial"/>
              <w:sz w:val="11"/>
              <w:szCs w:val="11"/>
            </w:rPr>
            <w:t>OTP banka d.d.</w:t>
          </w:r>
        </w:p>
        <w:p w14:paraId="5A7A2967" w14:textId="77777777" w:rsidR="00192583" w:rsidRPr="00713B78" w:rsidRDefault="00192583" w:rsidP="00192583">
          <w:pPr>
            <w:pStyle w:val="Footer"/>
            <w:spacing w:line="216" w:lineRule="auto"/>
            <w:ind w:left="-108"/>
            <w:rPr>
              <w:rFonts w:cs="Arial"/>
              <w:sz w:val="11"/>
              <w:szCs w:val="11"/>
            </w:rPr>
          </w:pPr>
          <w:proofErr w:type="spellStart"/>
          <w:r w:rsidRPr="00713B78">
            <w:rPr>
              <w:sz w:val="11"/>
              <w:szCs w:val="11"/>
            </w:rPr>
            <w:t>Erste&amp;Steiermärkische</w:t>
          </w:r>
          <w:proofErr w:type="spellEnd"/>
          <w:r w:rsidRPr="00713B78">
            <w:rPr>
              <w:sz w:val="11"/>
              <w:szCs w:val="11"/>
            </w:rPr>
            <w:t xml:space="preserve"> Bank </w:t>
          </w:r>
          <w:r w:rsidRPr="00713B78">
            <w:rPr>
              <w:rFonts w:cs="Arial"/>
              <w:sz w:val="11"/>
              <w:szCs w:val="11"/>
            </w:rPr>
            <w:t xml:space="preserve">d.d. </w:t>
          </w:r>
        </w:p>
        <w:p w14:paraId="1B933A9F" w14:textId="77777777" w:rsidR="00192583" w:rsidRDefault="00192583" w:rsidP="00192583">
          <w:pPr>
            <w:pStyle w:val="Footer"/>
            <w:spacing w:line="216" w:lineRule="auto"/>
            <w:ind w:left="-108"/>
            <w:rPr>
              <w:sz w:val="11"/>
              <w:szCs w:val="11"/>
              <w:lang w:bidi="ta-IN"/>
            </w:rPr>
          </w:pPr>
          <w:r w:rsidRPr="00C03313">
            <w:rPr>
              <w:sz w:val="11"/>
              <w:szCs w:val="11"/>
              <w:lang w:bidi="ta-IN"/>
            </w:rPr>
            <w:t>Hrvatska poštanska banka, d.</w:t>
          </w:r>
          <w:r>
            <w:rPr>
              <w:sz w:val="11"/>
              <w:szCs w:val="11"/>
              <w:lang w:bidi="ta-IN"/>
            </w:rPr>
            <w:t>d.</w:t>
          </w:r>
        </w:p>
        <w:p w14:paraId="7A3CB64E" w14:textId="77777777" w:rsidR="00192583" w:rsidRPr="00713B78" w:rsidRDefault="00192583" w:rsidP="00192583">
          <w:pPr>
            <w:pStyle w:val="Footer"/>
            <w:spacing w:line="216" w:lineRule="auto"/>
            <w:ind w:left="-108"/>
            <w:rPr>
              <w:sz w:val="11"/>
              <w:szCs w:val="11"/>
              <w:lang w:bidi="ta-IN"/>
            </w:rPr>
          </w:pPr>
          <w:r w:rsidRPr="00713B78">
            <w:rPr>
              <w:sz w:val="11"/>
              <w:szCs w:val="11"/>
              <w:lang w:bidi="ta-IN"/>
            </w:rPr>
            <w:t xml:space="preserve">UniCredit Bank </w:t>
          </w:r>
          <w:proofErr w:type="spellStart"/>
          <w:r w:rsidRPr="00713B78">
            <w:rPr>
              <w:sz w:val="11"/>
              <w:szCs w:val="11"/>
              <w:lang w:bidi="ta-IN"/>
            </w:rPr>
            <w:t>Austria</w:t>
          </w:r>
          <w:proofErr w:type="spellEnd"/>
          <w:r w:rsidRPr="00713B78">
            <w:rPr>
              <w:sz w:val="11"/>
              <w:szCs w:val="11"/>
              <w:lang w:bidi="ta-IN"/>
            </w:rPr>
            <w:t xml:space="preserve"> AG</w:t>
          </w:r>
        </w:p>
        <w:p w14:paraId="062AD8A8" w14:textId="77777777" w:rsidR="00192583" w:rsidRDefault="00192583" w:rsidP="00192583">
          <w:pPr>
            <w:pStyle w:val="Footer"/>
            <w:spacing w:line="216" w:lineRule="auto"/>
            <w:ind w:left="-108"/>
            <w:rPr>
              <w:sz w:val="11"/>
              <w:szCs w:val="11"/>
              <w:lang w:bidi="ta-IN"/>
            </w:rPr>
          </w:pPr>
        </w:p>
        <w:p w14:paraId="34C6647F" w14:textId="77777777" w:rsidR="00192583" w:rsidRPr="00713B78" w:rsidRDefault="00192583" w:rsidP="00192583">
          <w:pPr>
            <w:pStyle w:val="Footer"/>
            <w:spacing w:line="216" w:lineRule="auto"/>
            <w:ind w:left="-108"/>
            <w:rPr>
              <w:sz w:val="11"/>
              <w:szCs w:val="11"/>
              <w:lang w:bidi="ta-IN"/>
            </w:rPr>
          </w:pPr>
        </w:p>
        <w:p w14:paraId="3A0A3035" w14:textId="77777777" w:rsidR="00192583" w:rsidRPr="00713B78" w:rsidRDefault="00192583" w:rsidP="00192583">
          <w:pPr>
            <w:pStyle w:val="Footer"/>
            <w:spacing w:line="216" w:lineRule="auto"/>
            <w:ind w:left="-108"/>
            <w:rPr>
              <w:sz w:val="11"/>
              <w:szCs w:val="11"/>
              <w:lang w:bidi="ta-IN"/>
            </w:rPr>
          </w:pPr>
        </w:p>
      </w:tc>
      <w:tc>
        <w:tcPr>
          <w:tcW w:w="1985" w:type="dxa"/>
          <w:tcBorders>
            <w:top w:val="nil"/>
            <w:left w:val="nil"/>
            <w:bottom w:val="nil"/>
            <w:right w:val="nil"/>
          </w:tcBorders>
        </w:tcPr>
        <w:p w14:paraId="33E83374" w14:textId="77777777" w:rsidR="00192583" w:rsidRPr="00713B78" w:rsidRDefault="00192583" w:rsidP="00192583">
          <w:pPr>
            <w:pStyle w:val="Footer"/>
            <w:spacing w:line="216" w:lineRule="auto"/>
            <w:ind w:left="-108" w:right="-66"/>
            <w:rPr>
              <w:rFonts w:cs="Arial"/>
              <w:sz w:val="11"/>
              <w:szCs w:val="11"/>
            </w:rPr>
          </w:pPr>
          <w:r w:rsidRPr="00713B78">
            <w:rPr>
              <w:rFonts w:cs="Arial"/>
              <w:sz w:val="11"/>
              <w:szCs w:val="11"/>
            </w:rPr>
            <w:t>Radnička cesta 50, 10000 Zagreb</w:t>
          </w:r>
        </w:p>
        <w:p w14:paraId="6E0AA694" w14:textId="77777777" w:rsidR="00192583" w:rsidRPr="00713B78" w:rsidRDefault="00192583" w:rsidP="00192583">
          <w:pPr>
            <w:pStyle w:val="Footer"/>
            <w:spacing w:line="216" w:lineRule="auto"/>
            <w:ind w:left="-108" w:right="-66"/>
            <w:rPr>
              <w:rFonts w:cs="Arial"/>
              <w:sz w:val="11"/>
              <w:szCs w:val="11"/>
            </w:rPr>
          </w:pPr>
          <w:r w:rsidRPr="00713B78">
            <w:rPr>
              <w:rFonts w:cs="Arial"/>
              <w:sz w:val="11"/>
              <w:szCs w:val="11"/>
            </w:rPr>
            <w:t>Magazinska cesta 69, 10000 Zagreb</w:t>
          </w:r>
        </w:p>
        <w:p w14:paraId="29A579DF" w14:textId="77777777" w:rsidR="00192583" w:rsidRPr="00713B78" w:rsidRDefault="00192583" w:rsidP="00192583">
          <w:pPr>
            <w:pStyle w:val="Footer"/>
            <w:spacing w:line="216" w:lineRule="auto"/>
            <w:ind w:left="-108" w:right="-66"/>
            <w:rPr>
              <w:rFonts w:cs="Arial"/>
              <w:sz w:val="11"/>
              <w:szCs w:val="11"/>
            </w:rPr>
          </w:pPr>
          <w:r w:rsidRPr="00713B78">
            <w:rPr>
              <w:rFonts w:cs="Arial"/>
              <w:sz w:val="11"/>
              <w:szCs w:val="11"/>
            </w:rPr>
            <w:t>Trg bana Josipa Jelačića 10, 10000 Zagreb</w:t>
          </w:r>
        </w:p>
        <w:p w14:paraId="4C412E76" w14:textId="77777777" w:rsidR="00192583" w:rsidRPr="00713B78" w:rsidRDefault="00192583" w:rsidP="00192583">
          <w:pPr>
            <w:pStyle w:val="Footer"/>
            <w:spacing w:line="216" w:lineRule="auto"/>
            <w:ind w:left="-108" w:right="-66"/>
            <w:rPr>
              <w:rFonts w:cs="Arial"/>
              <w:sz w:val="11"/>
              <w:szCs w:val="11"/>
            </w:rPr>
          </w:pPr>
          <w:r w:rsidRPr="00713B78">
            <w:rPr>
              <w:rFonts w:cs="Arial"/>
              <w:sz w:val="11"/>
              <w:szCs w:val="11"/>
            </w:rPr>
            <w:t>Domovinskog rata 61, 21000 Split</w:t>
          </w:r>
        </w:p>
        <w:p w14:paraId="7BA04585" w14:textId="77777777" w:rsidR="00192583" w:rsidRPr="00713B78" w:rsidRDefault="00192583" w:rsidP="00192583">
          <w:pPr>
            <w:pStyle w:val="Footer"/>
            <w:spacing w:line="216" w:lineRule="auto"/>
            <w:ind w:left="-108" w:right="-66"/>
            <w:rPr>
              <w:rFonts w:cs="Arial"/>
              <w:sz w:val="11"/>
              <w:szCs w:val="11"/>
            </w:rPr>
          </w:pPr>
          <w:r w:rsidRPr="00713B78">
            <w:rPr>
              <w:rFonts w:cs="Arial"/>
              <w:sz w:val="11"/>
              <w:szCs w:val="11"/>
            </w:rPr>
            <w:t>Jadranski trg 3a, 51000 Rijeka</w:t>
          </w:r>
        </w:p>
        <w:p w14:paraId="4E980BA8" w14:textId="77777777" w:rsidR="00192583" w:rsidRPr="00713B78" w:rsidRDefault="00192583" w:rsidP="00192583">
          <w:pPr>
            <w:pStyle w:val="Footer"/>
            <w:spacing w:line="216" w:lineRule="auto"/>
            <w:ind w:left="-108" w:right="-66"/>
            <w:rPr>
              <w:sz w:val="11"/>
              <w:szCs w:val="11"/>
              <w:lang w:bidi="ta-IN"/>
            </w:rPr>
          </w:pPr>
          <w:proofErr w:type="spellStart"/>
          <w:r w:rsidRPr="00C03313">
            <w:rPr>
              <w:sz w:val="11"/>
              <w:szCs w:val="11"/>
              <w:lang w:bidi="ta-IN"/>
            </w:rPr>
            <w:t>Jurišićeva</w:t>
          </w:r>
          <w:proofErr w:type="spellEnd"/>
          <w:r w:rsidRPr="00C03313">
            <w:rPr>
              <w:sz w:val="11"/>
              <w:szCs w:val="11"/>
              <w:lang w:bidi="ta-IN"/>
            </w:rPr>
            <w:t xml:space="preserve"> ulica 4, 10000 Zagreb</w:t>
          </w:r>
        </w:p>
        <w:p w14:paraId="3A040E1D" w14:textId="77777777" w:rsidR="00192583" w:rsidRPr="00713B78" w:rsidRDefault="00192583" w:rsidP="00192583">
          <w:pPr>
            <w:pStyle w:val="Footer"/>
            <w:spacing w:line="216" w:lineRule="auto"/>
            <w:ind w:left="-108" w:right="-66"/>
            <w:rPr>
              <w:sz w:val="11"/>
              <w:szCs w:val="11"/>
              <w:lang w:bidi="ta-IN"/>
            </w:rPr>
          </w:pPr>
          <w:proofErr w:type="spellStart"/>
          <w:r w:rsidRPr="004C6E2A">
            <w:rPr>
              <w:sz w:val="11"/>
              <w:szCs w:val="11"/>
              <w:lang w:bidi="ta-IN"/>
            </w:rPr>
            <w:t>Rothschildplatz</w:t>
          </w:r>
          <w:proofErr w:type="spellEnd"/>
          <w:r w:rsidRPr="004C6E2A">
            <w:rPr>
              <w:sz w:val="11"/>
              <w:szCs w:val="11"/>
              <w:lang w:bidi="ta-IN"/>
            </w:rPr>
            <w:t xml:space="preserve"> 1, 1020 </w:t>
          </w:r>
          <w:proofErr w:type="spellStart"/>
          <w:r w:rsidRPr="004C6E2A">
            <w:rPr>
              <w:sz w:val="11"/>
              <w:szCs w:val="11"/>
              <w:lang w:bidi="ta-IN"/>
            </w:rPr>
            <w:t>Vienna</w:t>
          </w:r>
          <w:proofErr w:type="spellEnd"/>
        </w:p>
        <w:p w14:paraId="489E3F75" w14:textId="77777777" w:rsidR="00192583" w:rsidRPr="00713B78" w:rsidRDefault="00192583" w:rsidP="00192583">
          <w:pPr>
            <w:pStyle w:val="Footer"/>
            <w:spacing w:line="216" w:lineRule="auto"/>
            <w:ind w:right="-66"/>
            <w:rPr>
              <w:rFonts w:cs="Arial"/>
              <w:sz w:val="11"/>
              <w:szCs w:val="11"/>
            </w:rPr>
          </w:pPr>
        </w:p>
      </w:tc>
      <w:tc>
        <w:tcPr>
          <w:tcW w:w="2126" w:type="dxa"/>
          <w:tcBorders>
            <w:top w:val="nil"/>
            <w:left w:val="nil"/>
            <w:bottom w:val="nil"/>
            <w:right w:val="nil"/>
          </w:tcBorders>
        </w:tcPr>
        <w:p w14:paraId="79F54BEF" w14:textId="77777777" w:rsidR="00192583" w:rsidRPr="00713B78" w:rsidRDefault="00192583" w:rsidP="00192583">
          <w:pPr>
            <w:pStyle w:val="Footer"/>
            <w:spacing w:line="216" w:lineRule="auto"/>
            <w:ind w:left="-108" w:right="-108"/>
            <w:rPr>
              <w:rFonts w:cs="Arial"/>
              <w:sz w:val="11"/>
              <w:szCs w:val="11"/>
            </w:rPr>
          </w:pPr>
          <w:r w:rsidRPr="00713B78">
            <w:rPr>
              <w:rFonts w:cs="Arial"/>
              <w:sz w:val="11"/>
              <w:szCs w:val="11"/>
            </w:rPr>
            <w:t>HR92 2340 0091 1000 2290 2</w:t>
          </w:r>
        </w:p>
        <w:p w14:paraId="526F0742" w14:textId="77777777" w:rsidR="00192583" w:rsidRPr="00713B78" w:rsidRDefault="00192583" w:rsidP="00192583">
          <w:pPr>
            <w:pStyle w:val="Footer"/>
            <w:spacing w:line="216" w:lineRule="auto"/>
            <w:ind w:left="-108" w:right="-108"/>
            <w:rPr>
              <w:rFonts w:cs="Arial"/>
              <w:sz w:val="11"/>
              <w:szCs w:val="11"/>
            </w:rPr>
          </w:pPr>
          <w:r w:rsidRPr="00713B78">
            <w:rPr>
              <w:rFonts w:cs="Arial"/>
              <w:sz w:val="11"/>
              <w:szCs w:val="11"/>
            </w:rPr>
            <w:t>HR70 2484 0081 1006 1948 3</w:t>
          </w:r>
        </w:p>
        <w:p w14:paraId="08765D80" w14:textId="77777777" w:rsidR="00192583" w:rsidRPr="00713B78" w:rsidRDefault="00192583" w:rsidP="00192583">
          <w:pPr>
            <w:pStyle w:val="Footer"/>
            <w:spacing w:line="216" w:lineRule="auto"/>
            <w:ind w:left="-108" w:right="-108"/>
            <w:rPr>
              <w:rFonts w:cs="Arial"/>
              <w:sz w:val="11"/>
              <w:szCs w:val="11"/>
            </w:rPr>
          </w:pPr>
          <w:r w:rsidRPr="00713B78">
            <w:rPr>
              <w:rFonts w:cs="Arial"/>
              <w:sz w:val="11"/>
              <w:szCs w:val="11"/>
            </w:rPr>
            <w:t>HR62 2360 0001 1013 0359 5</w:t>
          </w:r>
        </w:p>
        <w:p w14:paraId="3FEDA7E7" w14:textId="77777777" w:rsidR="00192583" w:rsidRPr="00713B78" w:rsidRDefault="00192583" w:rsidP="00192583">
          <w:pPr>
            <w:pStyle w:val="Footer"/>
            <w:spacing w:line="216" w:lineRule="auto"/>
            <w:ind w:left="-108" w:right="-108"/>
            <w:rPr>
              <w:rFonts w:cs="Arial"/>
              <w:sz w:val="11"/>
              <w:szCs w:val="11"/>
            </w:rPr>
          </w:pPr>
          <w:r w:rsidRPr="00713B78">
            <w:rPr>
              <w:rFonts w:cs="Arial"/>
              <w:sz w:val="11"/>
              <w:szCs w:val="11"/>
            </w:rPr>
            <w:t xml:space="preserve">HR96 2407 0001 1001 5214 9 </w:t>
          </w:r>
        </w:p>
        <w:p w14:paraId="1B4F2FCC" w14:textId="77777777" w:rsidR="00192583" w:rsidRPr="00713B78" w:rsidRDefault="00192583" w:rsidP="00192583">
          <w:pPr>
            <w:pStyle w:val="Footer"/>
            <w:spacing w:line="216" w:lineRule="auto"/>
            <w:ind w:left="-108" w:right="-108"/>
            <w:rPr>
              <w:rFonts w:cs="Arial"/>
              <w:sz w:val="11"/>
              <w:szCs w:val="11"/>
            </w:rPr>
          </w:pPr>
          <w:r w:rsidRPr="00713B78">
            <w:rPr>
              <w:rFonts w:cs="Arial"/>
              <w:sz w:val="11"/>
              <w:szCs w:val="11"/>
            </w:rPr>
            <w:t xml:space="preserve">HR34 </w:t>
          </w:r>
          <w:r w:rsidRPr="00713B78">
            <w:rPr>
              <w:sz w:val="11"/>
              <w:szCs w:val="11"/>
            </w:rPr>
            <w:t>2402 0061 1006 8111 4</w:t>
          </w:r>
        </w:p>
        <w:p w14:paraId="47E967A5" w14:textId="77777777" w:rsidR="00192583" w:rsidRDefault="00192583" w:rsidP="00192583">
          <w:pPr>
            <w:pStyle w:val="Footer"/>
            <w:spacing w:line="216" w:lineRule="auto"/>
            <w:ind w:left="-108" w:right="-108"/>
            <w:rPr>
              <w:sz w:val="11"/>
              <w:szCs w:val="11"/>
              <w:lang w:bidi="ta-IN"/>
            </w:rPr>
          </w:pPr>
          <w:r w:rsidRPr="00C03313">
            <w:rPr>
              <w:sz w:val="11"/>
              <w:szCs w:val="11"/>
              <w:lang w:bidi="ta-IN"/>
            </w:rPr>
            <w:t>HR54 2390 0011 1013 4019</w:t>
          </w:r>
          <w:r>
            <w:rPr>
              <w:sz w:val="11"/>
              <w:szCs w:val="11"/>
              <w:lang w:bidi="ta-IN"/>
            </w:rPr>
            <w:t xml:space="preserve"> 7</w:t>
          </w:r>
        </w:p>
        <w:p w14:paraId="603A0A2B" w14:textId="77777777" w:rsidR="00192583" w:rsidRPr="00713B78" w:rsidRDefault="00192583" w:rsidP="00192583">
          <w:pPr>
            <w:pStyle w:val="Footer"/>
            <w:spacing w:line="216" w:lineRule="auto"/>
            <w:ind w:left="-108" w:right="-108"/>
            <w:rPr>
              <w:sz w:val="11"/>
              <w:szCs w:val="11"/>
              <w:lang w:bidi="ta-IN"/>
            </w:rPr>
          </w:pPr>
          <w:r w:rsidRPr="00713B78">
            <w:rPr>
              <w:sz w:val="11"/>
              <w:szCs w:val="11"/>
              <w:lang w:bidi="ta-IN"/>
            </w:rPr>
            <w:t xml:space="preserve">AT21 1200 0528 4400 3466     (EUR) </w:t>
          </w:r>
        </w:p>
        <w:p w14:paraId="2DA4FCAC" w14:textId="77777777" w:rsidR="00192583" w:rsidRPr="00713B78" w:rsidRDefault="00192583" w:rsidP="00192583">
          <w:pPr>
            <w:pStyle w:val="Footer"/>
            <w:spacing w:line="216" w:lineRule="auto"/>
            <w:ind w:left="-108" w:right="-108"/>
            <w:rPr>
              <w:sz w:val="11"/>
              <w:szCs w:val="11"/>
              <w:lang w:bidi="ta-IN"/>
            </w:rPr>
          </w:pPr>
          <w:r w:rsidRPr="00713B78">
            <w:rPr>
              <w:sz w:val="11"/>
              <w:szCs w:val="11"/>
              <w:lang w:bidi="ta-IN"/>
            </w:rPr>
            <w:t>AT91 1200 0528 4400 3467     (USD)</w:t>
          </w:r>
        </w:p>
        <w:p w14:paraId="2D7E1F4A" w14:textId="77777777" w:rsidR="00192583" w:rsidRPr="00713B78" w:rsidRDefault="00192583" w:rsidP="00192583">
          <w:pPr>
            <w:pStyle w:val="Footer"/>
            <w:spacing w:line="216" w:lineRule="auto"/>
            <w:ind w:left="-108" w:right="-108"/>
            <w:rPr>
              <w:sz w:val="11"/>
              <w:szCs w:val="11"/>
              <w:lang w:bidi="ta-IN"/>
            </w:rPr>
          </w:pPr>
        </w:p>
      </w:tc>
      <w:tc>
        <w:tcPr>
          <w:tcW w:w="2126" w:type="dxa"/>
          <w:vMerge/>
          <w:tcBorders>
            <w:left w:val="nil"/>
            <w:bottom w:val="nil"/>
            <w:right w:val="nil"/>
          </w:tcBorders>
        </w:tcPr>
        <w:p w14:paraId="5A831453" w14:textId="77777777" w:rsidR="00192583" w:rsidRPr="002B598A" w:rsidRDefault="00192583" w:rsidP="00192583">
          <w:pPr>
            <w:pStyle w:val="Footer"/>
            <w:rPr>
              <w:rFonts w:cs="Arial"/>
              <w:sz w:val="11"/>
              <w:szCs w:val="11"/>
            </w:rPr>
          </w:pPr>
        </w:p>
      </w:tc>
    </w:tr>
    <w:tr w:rsidR="00192583" w:rsidRPr="002B598A" w14:paraId="69AF05E4" w14:textId="77777777">
      <w:trPr>
        <w:cantSplit/>
        <w:trHeight w:val="300"/>
      </w:trPr>
      <w:tc>
        <w:tcPr>
          <w:tcW w:w="7513" w:type="dxa"/>
          <w:gridSpan w:val="4"/>
          <w:tcBorders>
            <w:top w:val="nil"/>
            <w:left w:val="nil"/>
            <w:bottom w:val="single" w:sz="4" w:space="0" w:color="auto"/>
            <w:right w:val="nil"/>
          </w:tcBorders>
          <w:vAlign w:val="bottom"/>
        </w:tcPr>
        <w:p w14:paraId="7ACF6DF0" w14:textId="77777777" w:rsidR="00192583" w:rsidRPr="002B598A" w:rsidRDefault="00192583" w:rsidP="00192583">
          <w:pPr>
            <w:pStyle w:val="Footer"/>
            <w:spacing w:line="216" w:lineRule="auto"/>
            <w:ind w:right="-108"/>
            <w:rPr>
              <w:rFonts w:cs="Arial"/>
              <w:i/>
              <w:sz w:val="11"/>
              <w:szCs w:val="11"/>
            </w:rPr>
          </w:pPr>
          <w:r w:rsidRPr="002B598A">
            <w:rPr>
              <w:rFonts w:cs="Arial"/>
              <w:sz w:val="11"/>
              <w:szCs w:val="11"/>
            </w:rPr>
            <w:t xml:space="preserve">Predsjednik i članovi Uprave / </w:t>
          </w:r>
          <w:r w:rsidRPr="002B598A">
            <w:rPr>
              <w:rFonts w:cs="Arial"/>
              <w:i/>
              <w:iCs/>
              <w:sz w:val="11"/>
              <w:szCs w:val="11"/>
              <w:lang w:val="en-US"/>
            </w:rPr>
            <w:t>President and</w:t>
          </w:r>
          <w:r w:rsidRPr="002B598A">
            <w:rPr>
              <w:rFonts w:cs="Arial"/>
              <w:i/>
              <w:sz w:val="11"/>
              <w:szCs w:val="11"/>
              <w:lang w:val="en-US"/>
            </w:rPr>
            <w:t xml:space="preserve"> m</w:t>
          </w:r>
          <w:r w:rsidRPr="002B598A">
            <w:rPr>
              <w:rFonts w:cs="Arial"/>
              <w:i/>
              <w:iCs/>
              <w:sz w:val="11"/>
              <w:szCs w:val="11"/>
              <w:lang w:val="en-US"/>
            </w:rPr>
            <w:t>embers of the Management Board</w:t>
          </w:r>
          <w:r w:rsidRPr="002B598A">
            <w:rPr>
              <w:rFonts w:cs="Arial"/>
              <w:i/>
              <w:sz w:val="11"/>
              <w:szCs w:val="11"/>
              <w:lang w:val="en-US"/>
            </w:rPr>
            <w:t>:</w:t>
          </w:r>
        </w:p>
        <w:p w14:paraId="490E8CCA" w14:textId="77777777" w:rsidR="005F650C" w:rsidRDefault="005F650C" w:rsidP="00192583">
          <w:pPr>
            <w:pStyle w:val="Footer"/>
            <w:spacing w:line="216" w:lineRule="auto"/>
            <w:ind w:right="-108"/>
            <w:rPr>
              <w:sz w:val="11"/>
              <w:szCs w:val="11"/>
            </w:rPr>
          </w:pPr>
          <w:r w:rsidRPr="005F650C">
            <w:rPr>
              <w:sz w:val="11"/>
              <w:szCs w:val="11"/>
            </w:rPr>
            <w:t xml:space="preserve">Zsuzsanna Éva Ortutay, Zsombor Marton, </w:t>
          </w:r>
          <w:proofErr w:type="spellStart"/>
          <w:r w:rsidRPr="005F650C">
            <w:rPr>
              <w:sz w:val="11"/>
              <w:szCs w:val="11"/>
            </w:rPr>
            <w:t>Károly</w:t>
          </w:r>
          <w:proofErr w:type="spellEnd"/>
          <w:r w:rsidRPr="005F650C">
            <w:rPr>
              <w:sz w:val="11"/>
              <w:szCs w:val="11"/>
            </w:rPr>
            <w:t xml:space="preserve"> </w:t>
          </w:r>
          <w:proofErr w:type="spellStart"/>
          <w:r w:rsidRPr="005F650C">
            <w:rPr>
              <w:sz w:val="11"/>
              <w:szCs w:val="11"/>
            </w:rPr>
            <w:t>Hazuga</w:t>
          </w:r>
          <w:proofErr w:type="spellEnd"/>
          <w:r w:rsidRPr="005F650C">
            <w:rPr>
              <w:sz w:val="11"/>
              <w:szCs w:val="11"/>
            </w:rPr>
            <w:t xml:space="preserve">, Hrvoje Milić, Hrvoje Šimović, Marin Zovko </w:t>
          </w:r>
        </w:p>
        <w:p w14:paraId="21A637F1" w14:textId="614FAF8D" w:rsidR="00192583" w:rsidRPr="002B598A" w:rsidRDefault="00192583" w:rsidP="00192583">
          <w:pPr>
            <w:pStyle w:val="Footer"/>
            <w:spacing w:line="216" w:lineRule="auto"/>
            <w:ind w:right="-108"/>
            <w:rPr>
              <w:rFonts w:cs="Arial"/>
              <w:sz w:val="11"/>
              <w:szCs w:val="11"/>
            </w:rPr>
          </w:pPr>
          <w:r w:rsidRPr="002B598A">
            <w:rPr>
              <w:rFonts w:cs="Arial"/>
              <w:sz w:val="11"/>
              <w:szCs w:val="11"/>
            </w:rPr>
            <w:t xml:space="preserve">Predsjednik Nadzornog odbora / </w:t>
          </w:r>
          <w:r w:rsidRPr="002B598A">
            <w:rPr>
              <w:rFonts w:cs="Arial"/>
              <w:i/>
              <w:iCs/>
              <w:sz w:val="11"/>
              <w:szCs w:val="11"/>
              <w:lang w:val="en-US"/>
            </w:rPr>
            <w:t>President of the Supervisory Board</w:t>
          </w:r>
          <w:r w:rsidRPr="002B598A">
            <w:rPr>
              <w:rFonts w:cs="Arial"/>
              <w:sz w:val="11"/>
              <w:szCs w:val="11"/>
            </w:rPr>
            <w:t xml:space="preserve">: </w:t>
          </w:r>
          <w:r>
            <w:rPr>
              <w:rFonts w:cs="Arial"/>
              <w:sz w:val="11"/>
              <w:szCs w:val="11"/>
            </w:rPr>
            <w:t xml:space="preserve">Damir </w:t>
          </w:r>
          <w:proofErr w:type="spellStart"/>
          <w:r>
            <w:rPr>
              <w:rFonts w:cs="Arial"/>
              <w:sz w:val="11"/>
              <w:szCs w:val="11"/>
            </w:rPr>
            <w:t>Mikuljan</w:t>
          </w:r>
          <w:proofErr w:type="spellEnd"/>
        </w:p>
      </w:tc>
      <w:tc>
        <w:tcPr>
          <w:tcW w:w="2126" w:type="dxa"/>
          <w:vMerge/>
          <w:tcBorders>
            <w:top w:val="nil"/>
            <w:left w:val="nil"/>
            <w:bottom w:val="single" w:sz="4" w:space="0" w:color="auto"/>
            <w:right w:val="nil"/>
          </w:tcBorders>
        </w:tcPr>
        <w:p w14:paraId="00BCE522" w14:textId="77777777" w:rsidR="00192583" w:rsidRPr="002B598A" w:rsidRDefault="00192583" w:rsidP="00192583">
          <w:pPr>
            <w:pStyle w:val="Footer"/>
            <w:rPr>
              <w:rFonts w:cs="Arial"/>
              <w:sz w:val="11"/>
              <w:szCs w:val="11"/>
            </w:rPr>
          </w:pPr>
        </w:p>
      </w:tc>
    </w:tr>
    <w:tr w:rsidR="00192583" w:rsidRPr="002B598A" w14:paraId="7FA3808F" w14:textId="77777777">
      <w:trPr>
        <w:cantSplit/>
        <w:trHeight w:val="170"/>
      </w:trPr>
      <w:tc>
        <w:tcPr>
          <w:tcW w:w="7513" w:type="dxa"/>
          <w:gridSpan w:val="4"/>
          <w:tcBorders>
            <w:top w:val="single" w:sz="4" w:space="0" w:color="auto"/>
            <w:left w:val="nil"/>
            <w:bottom w:val="nil"/>
            <w:right w:val="nil"/>
          </w:tcBorders>
          <w:vAlign w:val="bottom"/>
        </w:tcPr>
        <w:p w14:paraId="7A81F309" w14:textId="77777777" w:rsidR="00192583" w:rsidRDefault="00192583" w:rsidP="00192583">
          <w:pPr>
            <w:pStyle w:val="Footer"/>
            <w:spacing w:line="216" w:lineRule="auto"/>
            <w:ind w:right="-108"/>
            <w:rPr>
              <w:rFonts w:cs="Arial"/>
              <w:sz w:val="11"/>
              <w:szCs w:val="11"/>
            </w:rPr>
          </w:pPr>
          <w:r>
            <w:rPr>
              <w:rFonts w:cs="Arial"/>
              <w:sz w:val="11"/>
              <w:szCs w:val="11"/>
            </w:rPr>
            <w:t xml:space="preserve">  </w:t>
          </w:r>
        </w:p>
      </w:tc>
      <w:tc>
        <w:tcPr>
          <w:tcW w:w="2126" w:type="dxa"/>
          <w:tcBorders>
            <w:top w:val="single" w:sz="4" w:space="0" w:color="auto"/>
            <w:left w:val="nil"/>
            <w:bottom w:val="nil"/>
            <w:right w:val="nil"/>
          </w:tcBorders>
        </w:tcPr>
        <w:p w14:paraId="6655AB8F" w14:textId="77777777" w:rsidR="00192583" w:rsidRPr="002B598A" w:rsidRDefault="00192583" w:rsidP="00192583">
          <w:pPr>
            <w:pStyle w:val="Footer"/>
            <w:rPr>
              <w:rFonts w:cs="Arial"/>
              <w:sz w:val="11"/>
              <w:szCs w:val="11"/>
            </w:rPr>
          </w:pPr>
        </w:p>
      </w:tc>
    </w:tr>
  </w:tbl>
  <w:p w14:paraId="3E87F891" w14:textId="77777777" w:rsidR="00192583" w:rsidRPr="00095236" w:rsidRDefault="00192583" w:rsidP="00192583">
    <w:pPr>
      <w:pStyle w:val="Footer"/>
      <w:jc w:val="right"/>
    </w:pPr>
    <w:r>
      <w:rPr>
        <w:rFonts w:cs="Arial"/>
        <w:sz w:val="11"/>
        <w:szCs w:val="11"/>
      </w:rPr>
      <w:tab/>
    </w:r>
    <w:r w:rsidRPr="003F5049">
      <w:rPr>
        <w:rFonts w:cs="Arial"/>
        <w:sz w:val="11"/>
        <w:szCs w:val="11"/>
      </w:rPr>
      <w:t xml:space="preserve">str. - </w:t>
    </w:r>
    <w:proofErr w:type="spellStart"/>
    <w:r w:rsidRPr="003F5049">
      <w:rPr>
        <w:rFonts w:cs="Arial"/>
        <w:i/>
        <w:sz w:val="11"/>
        <w:szCs w:val="11"/>
      </w:rPr>
      <w:t>page</w:t>
    </w:r>
    <w:proofErr w:type="spellEnd"/>
    <w:r w:rsidRPr="003F5049">
      <w:rPr>
        <w:rFonts w:cs="Arial"/>
        <w:sz w:val="11"/>
        <w:szCs w:val="11"/>
      </w:rPr>
      <w:t xml:space="preserve"> </w:t>
    </w:r>
    <w:r w:rsidRPr="003F5049">
      <w:rPr>
        <w:rFonts w:cs="Arial"/>
        <w:sz w:val="11"/>
        <w:szCs w:val="11"/>
      </w:rPr>
      <w:fldChar w:fldCharType="begin"/>
    </w:r>
    <w:r w:rsidRPr="003F5049">
      <w:rPr>
        <w:rFonts w:cs="Arial"/>
        <w:sz w:val="11"/>
        <w:szCs w:val="11"/>
      </w:rPr>
      <w:instrText xml:space="preserve"> PAGE   \* MERGEFORMAT </w:instrText>
    </w:r>
    <w:r w:rsidRPr="003F5049">
      <w:rPr>
        <w:rFonts w:cs="Arial"/>
        <w:sz w:val="11"/>
        <w:szCs w:val="11"/>
      </w:rPr>
      <w:fldChar w:fldCharType="separate"/>
    </w:r>
    <w:r>
      <w:rPr>
        <w:rFonts w:cs="Arial"/>
        <w:sz w:val="11"/>
        <w:szCs w:val="11"/>
      </w:rPr>
      <w:t>1</w:t>
    </w:r>
    <w:r w:rsidRPr="003F5049">
      <w:rPr>
        <w:rFonts w:cs="Arial"/>
        <w:sz w:val="11"/>
        <w:szCs w:val="11"/>
      </w:rPr>
      <w:fldChar w:fldCharType="end"/>
    </w:r>
    <w:r w:rsidRPr="003F5049">
      <w:rPr>
        <w:rFonts w:cs="Arial"/>
        <w:sz w:val="11"/>
        <w:szCs w:val="11"/>
      </w:rPr>
      <w:t>/</w:t>
    </w:r>
    <w:r w:rsidRPr="003F5049">
      <w:rPr>
        <w:rFonts w:cs="Arial"/>
        <w:sz w:val="11"/>
        <w:szCs w:val="11"/>
      </w:rPr>
      <w:fldChar w:fldCharType="begin"/>
    </w:r>
    <w:r w:rsidRPr="003F5049">
      <w:rPr>
        <w:rFonts w:cs="Arial"/>
        <w:sz w:val="11"/>
        <w:szCs w:val="11"/>
      </w:rPr>
      <w:instrText xml:space="preserve"> NUMPAGES   \* MERGEFORMAT </w:instrText>
    </w:r>
    <w:r w:rsidRPr="003F5049">
      <w:rPr>
        <w:rFonts w:cs="Arial"/>
        <w:sz w:val="11"/>
        <w:szCs w:val="11"/>
      </w:rPr>
      <w:fldChar w:fldCharType="separate"/>
    </w:r>
    <w:r>
      <w:rPr>
        <w:rFonts w:cs="Arial"/>
        <w:sz w:val="11"/>
        <w:szCs w:val="11"/>
      </w:rPr>
      <w:t>1</w:t>
    </w:r>
    <w:r w:rsidRPr="003F5049">
      <w:rPr>
        <w:rFonts w:cs="Arial"/>
        <w:sz w:val="11"/>
        <w:szCs w:val="11"/>
      </w:rPr>
      <w:fldChar w:fldCharType="end"/>
    </w:r>
  </w:p>
  <w:p w14:paraId="0157AE04" w14:textId="77777777" w:rsidR="00192583" w:rsidRDefault="00192583" w:rsidP="00192583"/>
  <w:p w14:paraId="05B49BF3" w14:textId="77777777" w:rsidR="000872E7" w:rsidRPr="00192583" w:rsidRDefault="000872E7" w:rsidP="00192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AC51" w14:textId="77777777" w:rsidR="005F650C" w:rsidRDefault="005F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3147" w14:textId="77777777" w:rsidR="00845DBA" w:rsidRDefault="00845DBA">
      <w:r>
        <w:separator/>
      </w:r>
    </w:p>
    <w:p w14:paraId="277D5D97" w14:textId="77777777" w:rsidR="00845DBA" w:rsidRDefault="00845DBA"/>
  </w:footnote>
  <w:footnote w:type="continuationSeparator" w:id="0">
    <w:p w14:paraId="2BC26669" w14:textId="77777777" w:rsidR="00845DBA" w:rsidRDefault="00845DBA">
      <w:r>
        <w:continuationSeparator/>
      </w:r>
    </w:p>
    <w:p w14:paraId="5BDF8410" w14:textId="77777777" w:rsidR="00845DBA" w:rsidRDefault="00845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F7FD" w14:textId="77777777" w:rsidR="005733DA" w:rsidRDefault="005733DA">
    <w:pPr>
      <w:pStyle w:val="Header"/>
    </w:pPr>
  </w:p>
  <w:p w14:paraId="6992462D" w14:textId="77777777" w:rsidR="000872E7" w:rsidRDefault="000872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F87A" w14:textId="449D09F9" w:rsidR="000872E7" w:rsidRDefault="00DB506D" w:rsidP="00DB506D">
    <w:pPr>
      <w:pStyle w:val="Header"/>
    </w:pPr>
    <w:r w:rsidRPr="00EC67AA">
      <w:rPr>
        <w:noProof/>
      </w:rPr>
      <w:drawing>
        <wp:inline distT="0" distB="0" distL="0" distR="0" wp14:anchorId="77F485E4" wp14:editId="22D911E5">
          <wp:extent cx="1436558" cy="545911"/>
          <wp:effectExtent l="0" t="0" r="0" b="6985"/>
          <wp:docPr id="1801911139"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11139"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321" cy="5484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0DE8" w14:textId="77777777" w:rsidR="005F650C" w:rsidRDefault="005F6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904D2"/>
    <w:multiLevelType w:val="hybridMultilevel"/>
    <w:tmpl w:val="BC3028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BC0543"/>
    <w:multiLevelType w:val="multilevel"/>
    <w:tmpl w:val="0518AD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7434589">
    <w:abstractNumId w:val="0"/>
  </w:num>
  <w:num w:numId="2" w16cid:durableId="39501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58B7"/>
    <w:rsid w:val="00006441"/>
    <w:rsid w:val="00013284"/>
    <w:rsid w:val="00013B01"/>
    <w:rsid w:val="0003218C"/>
    <w:rsid w:val="00032AF7"/>
    <w:rsid w:val="00036C6C"/>
    <w:rsid w:val="0004035F"/>
    <w:rsid w:val="00051201"/>
    <w:rsid w:val="00061CF6"/>
    <w:rsid w:val="00067468"/>
    <w:rsid w:val="0007435B"/>
    <w:rsid w:val="000872E7"/>
    <w:rsid w:val="00092919"/>
    <w:rsid w:val="00093308"/>
    <w:rsid w:val="00095236"/>
    <w:rsid w:val="00095A55"/>
    <w:rsid w:val="000A231C"/>
    <w:rsid w:val="000B4B17"/>
    <w:rsid w:val="000C03DA"/>
    <w:rsid w:val="000C22D0"/>
    <w:rsid w:val="000D5C94"/>
    <w:rsid w:val="000E1598"/>
    <w:rsid w:val="000E2BD1"/>
    <w:rsid w:val="000F1A68"/>
    <w:rsid w:val="001050CD"/>
    <w:rsid w:val="00113833"/>
    <w:rsid w:val="001158D5"/>
    <w:rsid w:val="0011682A"/>
    <w:rsid w:val="00122E4D"/>
    <w:rsid w:val="00142737"/>
    <w:rsid w:val="00144D23"/>
    <w:rsid w:val="0015065F"/>
    <w:rsid w:val="001526BD"/>
    <w:rsid w:val="00155959"/>
    <w:rsid w:val="0015790B"/>
    <w:rsid w:val="001628DA"/>
    <w:rsid w:val="00170E34"/>
    <w:rsid w:val="0017433D"/>
    <w:rsid w:val="00177C38"/>
    <w:rsid w:val="00184140"/>
    <w:rsid w:val="00185517"/>
    <w:rsid w:val="001867DB"/>
    <w:rsid w:val="001915A3"/>
    <w:rsid w:val="0019227E"/>
    <w:rsid w:val="00192583"/>
    <w:rsid w:val="001959DB"/>
    <w:rsid w:val="00197A0E"/>
    <w:rsid w:val="001A0D22"/>
    <w:rsid w:val="001A495A"/>
    <w:rsid w:val="001C0B30"/>
    <w:rsid w:val="001C147F"/>
    <w:rsid w:val="001D403E"/>
    <w:rsid w:val="001D6E71"/>
    <w:rsid w:val="001E4F11"/>
    <w:rsid w:val="001E5EE3"/>
    <w:rsid w:val="001E746C"/>
    <w:rsid w:val="001F57AD"/>
    <w:rsid w:val="002053F3"/>
    <w:rsid w:val="00216874"/>
    <w:rsid w:val="00217F62"/>
    <w:rsid w:val="00234DF9"/>
    <w:rsid w:val="0024158E"/>
    <w:rsid w:val="0024207F"/>
    <w:rsid w:val="00246481"/>
    <w:rsid w:val="00246C32"/>
    <w:rsid w:val="00256FDA"/>
    <w:rsid w:val="0026115B"/>
    <w:rsid w:val="002623A9"/>
    <w:rsid w:val="00266CBA"/>
    <w:rsid w:val="00271B60"/>
    <w:rsid w:val="00271FC9"/>
    <w:rsid w:val="0027324D"/>
    <w:rsid w:val="00275AB0"/>
    <w:rsid w:val="00277C1A"/>
    <w:rsid w:val="0028370C"/>
    <w:rsid w:val="00293D21"/>
    <w:rsid w:val="00295C1D"/>
    <w:rsid w:val="002960C8"/>
    <w:rsid w:val="002975C4"/>
    <w:rsid w:val="002A2801"/>
    <w:rsid w:val="002A67E5"/>
    <w:rsid w:val="002A7C57"/>
    <w:rsid w:val="002B3E97"/>
    <w:rsid w:val="002B417F"/>
    <w:rsid w:val="002B7D43"/>
    <w:rsid w:val="002C6CFA"/>
    <w:rsid w:val="002D5176"/>
    <w:rsid w:val="002D5319"/>
    <w:rsid w:val="002D57DE"/>
    <w:rsid w:val="002D68AC"/>
    <w:rsid w:val="002E6569"/>
    <w:rsid w:val="002E6C18"/>
    <w:rsid w:val="002E76EA"/>
    <w:rsid w:val="002F1898"/>
    <w:rsid w:val="00303DB9"/>
    <w:rsid w:val="00304F49"/>
    <w:rsid w:val="0030567B"/>
    <w:rsid w:val="0032389E"/>
    <w:rsid w:val="00337492"/>
    <w:rsid w:val="00337B07"/>
    <w:rsid w:val="00340E53"/>
    <w:rsid w:val="003421EC"/>
    <w:rsid w:val="0034222B"/>
    <w:rsid w:val="00345208"/>
    <w:rsid w:val="00351CE0"/>
    <w:rsid w:val="00354381"/>
    <w:rsid w:val="0036553C"/>
    <w:rsid w:val="003663B3"/>
    <w:rsid w:val="003703FA"/>
    <w:rsid w:val="00377EF8"/>
    <w:rsid w:val="003858AD"/>
    <w:rsid w:val="00391D04"/>
    <w:rsid w:val="00394674"/>
    <w:rsid w:val="003A11EC"/>
    <w:rsid w:val="003A48AE"/>
    <w:rsid w:val="003B5029"/>
    <w:rsid w:val="003C402D"/>
    <w:rsid w:val="003C5565"/>
    <w:rsid w:val="003D23B1"/>
    <w:rsid w:val="003D796D"/>
    <w:rsid w:val="003E12BE"/>
    <w:rsid w:val="003E7377"/>
    <w:rsid w:val="003F1947"/>
    <w:rsid w:val="0040367C"/>
    <w:rsid w:val="004118CE"/>
    <w:rsid w:val="00413993"/>
    <w:rsid w:val="0042141D"/>
    <w:rsid w:val="00423603"/>
    <w:rsid w:val="00424404"/>
    <w:rsid w:val="004244FF"/>
    <w:rsid w:val="004266E8"/>
    <w:rsid w:val="0042731D"/>
    <w:rsid w:val="00430878"/>
    <w:rsid w:val="004337E2"/>
    <w:rsid w:val="00433BF3"/>
    <w:rsid w:val="00440121"/>
    <w:rsid w:val="004404B8"/>
    <w:rsid w:val="00441B2A"/>
    <w:rsid w:val="004467CA"/>
    <w:rsid w:val="00447C11"/>
    <w:rsid w:val="0045575C"/>
    <w:rsid w:val="00464737"/>
    <w:rsid w:val="004767C2"/>
    <w:rsid w:val="00484F11"/>
    <w:rsid w:val="00484F4C"/>
    <w:rsid w:val="00484F58"/>
    <w:rsid w:val="004870AD"/>
    <w:rsid w:val="00491C7B"/>
    <w:rsid w:val="004A72E8"/>
    <w:rsid w:val="004A76C1"/>
    <w:rsid w:val="004B1E3B"/>
    <w:rsid w:val="004B6488"/>
    <w:rsid w:val="004B6B52"/>
    <w:rsid w:val="004C6E2A"/>
    <w:rsid w:val="004D1B8E"/>
    <w:rsid w:val="004D4A02"/>
    <w:rsid w:val="004E13A0"/>
    <w:rsid w:val="004E4F1D"/>
    <w:rsid w:val="00504F9C"/>
    <w:rsid w:val="0051153B"/>
    <w:rsid w:val="00515F76"/>
    <w:rsid w:val="00526785"/>
    <w:rsid w:val="00535281"/>
    <w:rsid w:val="00541123"/>
    <w:rsid w:val="00542116"/>
    <w:rsid w:val="00542FB9"/>
    <w:rsid w:val="0055134C"/>
    <w:rsid w:val="005514E9"/>
    <w:rsid w:val="00551E81"/>
    <w:rsid w:val="0056477B"/>
    <w:rsid w:val="005733DA"/>
    <w:rsid w:val="00576861"/>
    <w:rsid w:val="005800AE"/>
    <w:rsid w:val="00581484"/>
    <w:rsid w:val="00582E6D"/>
    <w:rsid w:val="0058369C"/>
    <w:rsid w:val="005845E1"/>
    <w:rsid w:val="00591189"/>
    <w:rsid w:val="00594A77"/>
    <w:rsid w:val="005A3384"/>
    <w:rsid w:val="005B2F44"/>
    <w:rsid w:val="005B56D2"/>
    <w:rsid w:val="005C2E33"/>
    <w:rsid w:val="005C5089"/>
    <w:rsid w:val="005D59D4"/>
    <w:rsid w:val="005E5D85"/>
    <w:rsid w:val="005F3DA3"/>
    <w:rsid w:val="005F650C"/>
    <w:rsid w:val="006024D4"/>
    <w:rsid w:val="00615C52"/>
    <w:rsid w:val="00617B33"/>
    <w:rsid w:val="0062114A"/>
    <w:rsid w:val="00625222"/>
    <w:rsid w:val="0063218F"/>
    <w:rsid w:val="00633E8F"/>
    <w:rsid w:val="006413A7"/>
    <w:rsid w:val="00641A56"/>
    <w:rsid w:val="00645AA8"/>
    <w:rsid w:val="00645DA2"/>
    <w:rsid w:val="0065056E"/>
    <w:rsid w:val="00653BE2"/>
    <w:rsid w:val="00654729"/>
    <w:rsid w:val="00670881"/>
    <w:rsid w:val="00674A40"/>
    <w:rsid w:val="00675B2D"/>
    <w:rsid w:val="00686425"/>
    <w:rsid w:val="006865AD"/>
    <w:rsid w:val="0069020F"/>
    <w:rsid w:val="006A0DDE"/>
    <w:rsid w:val="006A2EE1"/>
    <w:rsid w:val="006B4388"/>
    <w:rsid w:val="006B48F8"/>
    <w:rsid w:val="006C5BC3"/>
    <w:rsid w:val="006C6DB9"/>
    <w:rsid w:val="006D0353"/>
    <w:rsid w:val="006D0AB6"/>
    <w:rsid w:val="006D5B48"/>
    <w:rsid w:val="006E44DD"/>
    <w:rsid w:val="006E49C4"/>
    <w:rsid w:val="006F74CF"/>
    <w:rsid w:val="006F7907"/>
    <w:rsid w:val="00701062"/>
    <w:rsid w:val="00701E8B"/>
    <w:rsid w:val="00703395"/>
    <w:rsid w:val="00713B78"/>
    <w:rsid w:val="00730C7A"/>
    <w:rsid w:val="0073214B"/>
    <w:rsid w:val="0073750C"/>
    <w:rsid w:val="00746A94"/>
    <w:rsid w:val="0075253F"/>
    <w:rsid w:val="007541DE"/>
    <w:rsid w:val="007574A4"/>
    <w:rsid w:val="00761FE4"/>
    <w:rsid w:val="00763A61"/>
    <w:rsid w:val="00765282"/>
    <w:rsid w:val="00765E04"/>
    <w:rsid w:val="00780C76"/>
    <w:rsid w:val="00782729"/>
    <w:rsid w:val="00783C72"/>
    <w:rsid w:val="007A067B"/>
    <w:rsid w:val="007A2848"/>
    <w:rsid w:val="007A3B36"/>
    <w:rsid w:val="007A7E62"/>
    <w:rsid w:val="007D138F"/>
    <w:rsid w:val="007D5AF3"/>
    <w:rsid w:val="008043BD"/>
    <w:rsid w:val="008053F2"/>
    <w:rsid w:val="00811649"/>
    <w:rsid w:val="00815653"/>
    <w:rsid w:val="008164C8"/>
    <w:rsid w:val="008164FF"/>
    <w:rsid w:val="00821EDC"/>
    <w:rsid w:val="00840546"/>
    <w:rsid w:val="00843342"/>
    <w:rsid w:val="00844D0C"/>
    <w:rsid w:val="00845DBA"/>
    <w:rsid w:val="00846919"/>
    <w:rsid w:val="008470D0"/>
    <w:rsid w:val="00847E16"/>
    <w:rsid w:val="008532A5"/>
    <w:rsid w:val="00855A9E"/>
    <w:rsid w:val="00865F65"/>
    <w:rsid w:val="00867C09"/>
    <w:rsid w:val="0087290D"/>
    <w:rsid w:val="008734B9"/>
    <w:rsid w:val="0088077D"/>
    <w:rsid w:val="0088397E"/>
    <w:rsid w:val="008975B1"/>
    <w:rsid w:val="008A0E55"/>
    <w:rsid w:val="008A1E65"/>
    <w:rsid w:val="008A65FD"/>
    <w:rsid w:val="008B02F2"/>
    <w:rsid w:val="008B2793"/>
    <w:rsid w:val="008B3561"/>
    <w:rsid w:val="008B482C"/>
    <w:rsid w:val="008C399A"/>
    <w:rsid w:val="008D2302"/>
    <w:rsid w:val="008D4E69"/>
    <w:rsid w:val="008F1ECA"/>
    <w:rsid w:val="008F4A34"/>
    <w:rsid w:val="0092505C"/>
    <w:rsid w:val="009267E3"/>
    <w:rsid w:val="0092762D"/>
    <w:rsid w:val="00930C6E"/>
    <w:rsid w:val="00931053"/>
    <w:rsid w:val="0093131E"/>
    <w:rsid w:val="00940038"/>
    <w:rsid w:val="00952D11"/>
    <w:rsid w:val="00956F00"/>
    <w:rsid w:val="00972FD9"/>
    <w:rsid w:val="00983000"/>
    <w:rsid w:val="00983377"/>
    <w:rsid w:val="00985596"/>
    <w:rsid w:val="00990CB4"/>
    <w:rsid w:val="00993207"/>
    <w:rsid w:val="00993E77"/>
    <w:rsid w:val="0099658C"/>
    <w:rsid w:val="009A6734"/>
    <w:rsid w:val="009B21E0"/>
    <w:rsid w:val="009B6E29"/>
    <w:rsid w:val="009C1CC6"/>
    <w:rsid w:val="009E7D2C"/>
    <w:rsid w:val="009F04FF"/>
    <w:rsid w:val="009F74E6"/>
    <w:rsid w:val="00A00172"/>
    <w:rsid w:val="00A13FB1"/>
    <w:rsid w:val="00A23B8F"/>
    <w:rsid w:val="00A23E51"/>
    <w:rsid w:val="00A3280D"/>
    <w:rsid w:val="00A35292"/>
    <w:rsid w:val="00A35FD1"/>
    <w:rsid w:val="00A363D3"/>
    <w:rsid w:val="00A36435"/>
    <w:rsid w:val="00A36D8C"/>
    <w:rsid w:val="00A45921"/>
    <w:rsid w:val="00A55BE1"/>
    <w:rsid w:val="00A57582"/>
    <w:rsid w:val="00A6179F"/>
    <w:rsid w:val="00A63918"/>
    <w:rsid w:val="00A7153B"/>
    <w:rsid w:val="00A7704C"/>
    <w:rsid w:val="00A77605"/>
    <w:rsid w:val="00A77689"/>
    <w:rsid w:val="00A80052"/>
    <w:rsid w:val="00A842B3"/>
    <w:rsid w:val="00A906D8"/>
    <w:rsid w:val="00A907D3"/>
    <w:rsid w:val="00A91876"/>
    <w:rsid w:val="00A94417"/>
    <w:rsid w:val="00AA1C30"/>
    <w:rsid w:val="00AA39EB"/>
    <w:rsid w:val="00AB3654"/>
    <w:rsid w:val="00AB43F6"/>
    <w:rsid w:val="00AB5A74"/>
    <w:rsid w:val="00AC7F3A"/>
    <w:rsid w:val="00AD7AC0"/>
    <w:rsid w:val="00AE05A2"/>
    <w:rsid w:val="00AE1750"/>
    <w:rsid w:val="00AF06D4"/>
    <w:rsid w:val="00B121C6"/>
    <w:rsid w:val="00B14FAE"/>
    <w:rsid w:val="00B200FB"/>
    <w:rsid w:val="00B20B1B"/>
    <w:rsid w:val="00B24827"/>
    <w:rsid w:val="00B26C83"/>
    <w:rsid w:val="00B325FF"/>
    <w:rsid w:val="00B3302C"/>
    <w:rsid w:val="00B43A9D"/>
    <w:rsid w:val="00B43C19"/>
    <w:rsid w:val="00B554B8"/>
    <w:rsid w:val="00B55B95"/>
    <w:rsid w:val="00B6180F"/>
    <w:rsid w:val="00B61A62"/>
    <w:rsid w:val="00B61E85"/>
    <w:rsid w:val="00B630A5"/>
    <w:rsid w:val="00B70E5B"/>
    <w:rsid w:val="00B76FA6"/>
    <w:rsid w:val="00B83AF4"/>
    <w:rsid w:val="00BB4642"/>
    <w:rsid w:val="00BB7ABC"/>
    <w:rsid w:val="00BC13C9"/>
    <w:rsid w:val="00BC2770"/>
    <w:rsid w:val="00BC4EFA"/>
    <w:rsid w:val="00BD2AC8"/>
    <w:rsid w:val="00BD651A"/>
    <w:rsid w:val="00BD786D"/>
    <w:rsid w:val="00BE2C10"/>
    <w:rsid w:val="00BF1207"/>
    <w:rsid w:val="00BF5662"/>
    <w:rsid w:val="00C03313"/>
    <w:rsid w:val="00C06F78"/>
    <w:rsid w:val="00C14249"/>
    <w:rsid w:val="00C149DC"/>
    <w:rsid w:val="00C15FAD"/>
    <w:rsid w:val="00C16AE8"/>
    <w:rsid w:val="00C25FCA"/>
    <w:rsid w:val="00C36617"/>
    <w:rsid w:val="00C53008"/>
    <w:rsid w:val="00C641FB"/>
    <w:rsid w:val="00C67EB0"/>
    <w:rsid w:val="00C74754"/>
    <w:rsid w:val="00C74857"/>
    <w:rsid w:val="00C76454"/>
    <w:rsid w:val="00C82CA0"/>
    <w:rsid w:val="00C925BF"/>
    <w:rsid w:val="00C96BE6"/>
    <w:rsid w:val="00CA7CB2"/>
    <w:rsid w:val="00CD4A3F"/>
    <w:rsid w:val="00CE1134"/>
    <w:rsid w:val="00CE6FE3"/>
    <w:rsid w:val="00D00787"/>
    <w:rsid w:val="00D025F4"/>
    <w:rsid w:val="00D146EF"/>
    <w:rsid w:val="00D212AD"/>
    <w:rsid w:val="00D265FC"/>
    <w:rsid w:val="00D4124C"/>
    <w:rsid w:val="00D41322"/>
    <w:rsid w:val="00D47A2F"/>
    <w:rsid w:val="00D54A7B"/>
    <w:rsid w:val="00D55C96"/>
    <w:rsid w:val="00D60580"/>
    <w:rsid w:val="00D63A5A"/>
    <w:rsid w:val="00D67EB6"/>
    <w:rsid w:val="00D71D99"/>
    <w:rsid w:val="00D7303F"/>
    <w:rsid w:val="00D73A16"/>
    <w:rsid w:val="00D742AF"/>
    <w:rsid w:val="00D755AE"/>
    <w:rsid w:val="00D75B6D"/>
    <w:rsid w:val="00D82168"/>
    <w:rsid w:val="00D85CF1"/>
    <w:rsid w:val="00D94B14"/>
    <w:rsid w:val="00DA5CD3"/>
    <w:rsid w:val="00DA6825"/>
    <w:rsid w:val="00DA6861"/>
    <w:rsid w:val="00DB506D"/>
    <w:rsid w:val="00DB5A0E"/>
    <w:rsid w:val="00DC2916"/>
    <w:rsid w:val="00DC3497"/>
    <w:rsid w:val="00DC5685"/>
    <w:rsid w:val="00DC59DB"/>
    <w:rsid w:val="00DF3538"/>
    <w:rsid w:val="00DF59B5"/>
    <w:rsid w:val="00E30A43"/>
    <w:rsid w:val="00E324CD"/>
    <w:rsid w:val="00E32AA7"/>
    <w:rsid w:val="00E44C4E"/>
    <w:rsid w:val="00E511FE"/>
    <w:rsid w:val="00E55B26"/>
    <w:rsid w:val="00E6114A"/>
    <w:rsid w:val="00E61504"/>
    <w:rsid w:val="00E72639"/>
    <w:rsid w:val="00E743FB"/>
    <w:rsid w:val="00E80794"/>
    <w:rsid w:val="00E80EF2"/>
    <w:rsid w:val="00E87EF9"/>
    <w:rsid w:val="00E92ED7"/>
    <w:rsid w:val="00EA7F76"/>
    <w:rsid w:val="00EC16F8"/>
    <w:rsid w:val="00ED0648"/>
    <w:rsid w:val="00ED2335"/>
    <w:rsid w:val="00ED7DD5"/>
    <w:rsid w:val="00EE0CE9"/>
    <w:rsid w:val="00EE272D"/>
    <w:rsid w:val="00EF5AC1"/>
    <w:rsid w:val="00F004DC"/>
    <w:rsid w:val="00F03E78"/>
    <w:rsid w:val="00F061EE"/>
    <w:rsid w:val="00F071AE"/>
    <w:rsid w:val="00F209DA"/>
    <w:rsid w:val="00F20AE0"/>
    <w:rsid w:val="00F23C75"/>
    <w:rsid w:val="00F241F4"/>
    <w:rsid w:val="00F25A7D"/>
    <w:rsid w:val="00F2765A"/>
    <w:rsid w:val="00F2785C"/>
    <w:rsid w:val="00F3342C"/>
    <w:rsid w:val="00F33943"/>
    <w:rsid w:val="00F35537"/>
    <w:rsid w:val="00F43FC3"/>
    <w:rsid w:val="00F457E8"/>
    <w:rsid w:val="00F552C1"/>
    <w:rsid w:val="00F57EAE"/>
    <w:rsid w:val="00F6224B"/>
    <w:rsid w:val="00F7030B"/>
    <w:rsid w:val="00F70F0A"/>
    <w:rsid w:val="00F715F9"/>
    <w:rsid w:val="00F81311"/>
    <w:rsid w:val="00F82C50"/>
    <w:rsid w:val="00F9002D"/>
    <w:rsid w:val="00F91F25"/>
    <w:rsid w:val="00F93A5F"/>
    <w:rsid w:val="00F93F4C"/>
    <w:rsid w:val="00F95E3F"/>
    <w:rsid w:val="00FA0E7B"/>
    <w:rsid w:val="00FA47D9"/>
    <w:rsid w:val="00FB07AF"/>
    <w:rsid w:val="00FB79C5"/>
    <w:rsid w:val="00FC091E"/>
    <w:rsid w:val="00FC095B"/>
    <w:rsid w:val="00FC0AAF"/>
    <w:rsid w:val="00FC43A0"/>
    <w:rsid w:val="00FC5968"/>
    <w:rsid w:val="00FC6BA7"/>
    <w:rsid w:val="00FD10CE"/>
    <w:rsid w:val="00FD42F1"/>
    <w:rsid w:val="00FE150C"/>
    <w:rsid w:val="00FE41D2"/>
    <w:rsid w:val="00FF02CD"/>
    <w:rsid w:val="00FF3D11"/>
    <w:rsid w:val="00FF60D8"/>
    <w:rsid w:val="00FF792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58500"/>
  <w15:docId w15:val="{6A5DACCA-6FAB-4544-8522-F396535B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nhideWhenUsed/>
    <w:rsid w:val="00095236"/>
    <w:pPr>
      <w:tabs>
        <w:tab w:val="center" w:pos="4536"/>
        <w:tab w:val="right" w:pos="9072"/>
      </w:tabs>
    </w:pPr>
  </w:style>
  <w:style w:type="character" w:customStyle="1" w:styleId="FooterChar">
    <w:name w:val="Footer Char"/>
    <w:basedOn w:val="DefaultParagraphFont"/>
    <w:link w:val="Footer"/>
    <w:rsid w:val="00095236"/>
  </w:style>
  <w:style w:type="paragraph" w:styleId="Header">
    <w:name w:val="header"/>
    <w:basedOn w:val="Normal"/>
    <w:link w:val="HeaderChar"/>
    <w:uiPriority w:val="99"/>
    <w:unhideWhenUsed/>
    <w:rsid w:val="0092505C"/>
    <w:pPr>
      <w:tabs>
        <w:tab w:val="center" w:pos="4536"/>
        <w:tab w:val="right" w:pos="9072"/>
      </w:tabs>
    </w:pPr>
  </w:style>
  <w:style w:type="character" w:customStyle="1" w:styleId="HeaderChar">
    <w:name w:val="Header Char"/>
    <w:basedOn w:val="DefaultParagraphFont"/>
    <w:link w:val="Header"/>
    <w:uiPriority w:val="99"/>
    <w:rsid w:val="0092505C"/>
  </w:style>
  <w:style w:type="paragraph" w:styleId="BalloonText">
    <w:name w:val="Balloon Text"/>
    <w:basedOn w:val="Normal"/>
    <w:link w:val="BalloonTextChar"/>
    <w:uiPriority w:val="99"/>
    <w:semiHidden/>
    <w:unhideWhenUsed/>
    <w:rsid w:val="00A77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605"/>
    <w:rPr>
      <w:rFonts w:ascii="Segoe UI" w:hAnsi="Segoe UI" w:cs="Segoe UI"/>
      <w:sz w:val="18"/>
      <w:szCs w:val="18"/>
    </w:rPr>
  </w:style>
  <w:style w:type="paragraph" w:styleId="ListParagraph">
    <w:name w:val="List Paragraph"/>
    <w:basedOn w:val="Normal"/>
    <w:uiPriority w:val="34"/>
    <w:qFormat/>
    <w:rsid w:val="001526BD"/>
    <w:pPr>
      <w:ind w:left="720"/>
      <w:contextualSpacing/>
    </w:pPr>
  </w:style>
  <w:style w:type="paragraph" w:styleId="Revision">
    <w:name w:val="Revision"/>
    <w:hidden/>
    <w:uiPriority w:val="99"/>
    <w:semiHidden/>
    <w:rsid w:val="00C16AE8"/>
  </w:style>
  <w:style w:type="character" w:styleId="CommentReference">
    <w:name w:val="annotation reference"/>
    <w:basedOn w:val="DefaultParagraphFont"/>
    <w:uiPriority w:val="99"/>
    <w:semiHidden/>
    <w:unhideWhenUsed/>
    <w:rsid w:val="00C16AE8"/>
    <w:rPr>
      <w:sz w:val="16"/>
      <w:szCs w:val="16"/>
    </w:rPr>
  </w:style>
  <w:style w:type="paragraph" w:styleId="CommentText">
    <w:name w:val="annotation text"/>
    <w:basedOn w:val="Normal"/>
    <w:link w:val="CommentTextChar"/>
    <w:uiPriority w:val="99"/>
    <w:unhideWhenUsed/>
    <w:rsid w:val="00C16AE8"/>
    <w:rPr>
      <w:sz w:val="20"/>
      <w:szCs w:val="20"/>
    </w:rPr>
  </w:style>
  <w:style w:type="character" w:customStyle="1" w:styleId="CommentTextChar">
    <w:name w:val="Comment Text Char"/>
    <w:basedOn w:val="DefaultParagraphFont"/>
    <w:link w:val="CommentText"/>
    <w:uiPriority w:val="99"/>
    <w:rsid w:val="00C16AE8"/>
    <w:rPr>
      <w:sz w:val="20"/>
      <w:szCs w:val="20"/>
    </w:rPr>
  </w:style>
  <w:style w:type="paragraph" w:styleId="CommentSubject">
    <w:name w:val="annotation subject"/>
    <w:basedOn w:val="CommentText"/>
    <w:next w:val="CommentText"/>
    <w:link w:val="CommentSubjectChar"/>
    <w:uiPriority w:val="99"/>
    <w:semiHidden/>
    <w:unhideWhenUsed/>
    <w:rsid w:val="00C16AE8"/>
    <w:rPr>
      <w:b/>
      <w:bCs/>
    </w:rPr>
  </w:style>
  <w:style w:type="character" w:customStyle="1" w:styleId="CommentSubjectChar">
    <w:name w:val="Comment Subject Char"/>
    <w:basedOn w:val="CommentTextChar"/>
    <w:link w:val="CommentSubject"/>
    <w:uiPriority w:val="99"/>
    <w:semiHidden/>
    <w:rsid w:val="00C16AE8"/>
    <w:rPr>
      <w:b/>
      <w:bCs/>
      <w:sz w:val="20"/>
      <w:szCs w:val="20"/>
    </w:rPr>
  </w:style>
  <w:style w:type="paragraph" w:customStyle="1" w:styleId="loc-title">
    <w:name w:val="loc-title"/>
    <w:basedOn w:val="Normal"/>
    <w:rsid w:val="0069020F"/>
    <w:pPr>
      <w:spacing w:before="100" w:beforeAutospacing="1" w:after="100" w:afterAutospacing="1"/>
    </w:pPr>
    <w:rPr>
      <w:rFonts w:ascii="Calibri" w:hAnsi="Calibri" w:cs="Calibri"/>
      <w:lang w:eastAsia="hr-HR"/>
    </w:rPr>
  </w:style>
  <w:style w:type="paragraph" w:styleId="NormalWeb">
    <w:name w:val="Normal (Web)"/>
    <w:basedOn w:val="Normal"/>
    <w:uiPriority w:val="99"/>
    <w:semiHidden/>
    <w:unhideWhenUsed/>
    <w:rsid w:val="00E92ED7"/>
    <w:rPr>
      <w:rFonts w:ascii="Times New Roman" w:hAnsi="Times New Roman" w:cs="Times New Roman"/>
      <w:sz w:val="24"/>
      <w:szCs w:val="24"/>
    </w:rPr>
  </w:style>
  <w:style w:type="character" w:styleId="Hyperlink">
    <w:name w:val="Hyperlink"/>
    <w:basedOn w:val="DefaultParagraphFont"/>
    <w:uiPriority w:val="99"/>
    <w:unhideWhenUsed/>
    <w:rsid w:val="00FE150C"/>
    <w:rPr>
      <w:color w:val="0563C1" w:themeColor="hyperlink"/>
      <w:u w:val="single"/>
    </w:rPr>
  </w:style>
  <w:style w:type="paragraph" w:customStyle="1" w:styleId="P68B1DB1-Normal9">
    <w:name w:val="P68B1DB1-Normal9"/>
    <w:basedOn w:val="Normal"/>
    <w:rsid w:val="001C0B30"/>
    <w:rPr>
      <w:rFonts w:ascii="Calibri" w:hAnsi="Calibri" w:cs="Calibri"/>
      <w:b/>
      <w:bCs/>
      <w:sz w:val="20"/>
      <w:szCs w:val="20"/>
      <w:lang w:eastAsia="zh-CN"/>
    </w:rPr>
  </w:style>
  <w:style w:type="paragraph" w:customStyle="1" w:styleId="P68B1DB1-Normal10">
    <w:name w:val="P68B1DB1-Normal10"/>
    <w:basedOn w:val="Normal"/>
    <w:rsid w:val="001C0B30"/>
    <w:rPr>
      <w:rFonts w:ascii="Calibri" w:hAnsi="Calibri" w:cs="Calibri"/>
      <w:sz w:val="20"/>
      <w:szCs w:val="20"/>
      <w:lang w:eastAsia="zh-CN"/>
    </w:rPr>
  </w:style>
  <w:style w:type="paragraph" w:styleId="PlainText">
    <w:name w:val="Plain Text"/>
    <w:basedOn w:val="Normal"/>
    <w:link w:val="PlainTextChar"/>
    <w:uiPriority w:val="99"/>
    <w:semiHidden/>
    <w:unhideWhenUsed/>
    <w:rsid w:val="00815653"/>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815653"/>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389">
      <w:bodyDiv w:val="1"/>
      <w:marLeft w:val="0"/>
      <w:marRight w:val="0"/>
      <w:marTop w:val="0"/>
      <w:marBottom w:val="0"/>
      <w:divBdr>
        <w:top w:val="none" w:sz="0" w:space="0" w:color="auto"/>
        <w:left w:val="none" w:sz="0" w:space="0" w:color="auto"/>
        <w:bottom w:val="none" w:sz="0" w:space="0" w:color="auto"/>
        <w:right w:val="none" w:sz="0" w:space="0" w:color="auto"/>
      </w:divBdr>
    </w:div>
    <w:div w:id="205608925">
      <w:bodyDiv w:val="1"/>
      <w:marLeft w:val="0"/>
      <w:marRight w:val="0"/>
      <w:marTop w:val="0"/>
      <w:marBottom w:val="0"/>
      <w:divBdr>
        <w:top w:val="none" w:sz="0" w:space="0" w:color="auto"/>
        <w:left w:val="none" w:sz="0" w:space="0" w:color="auto"/>
        <w:bottom w:val="none" w:sz="0" w:space="0" w:color="auto"/>
        <w:right w:val="none" w:sz="0" w:space="0" w:color="auto"/>
      </w:divBdr>
    </w:div>
    <w:div w:id="319116639">
      <w:bodyDiv w:val="1"/>
      <w:marLeft w:val="0"/>
      <w:marRight w:val="0"/>
      <w:marTop w:val="0"/>
      <w:marBottom w:val="0"/>
      <w:divBdr>
        <w:top w:val="none" w:sz="0" w:space="0" w:color="auto"/>
        <w:left w:val="none" w:sz="0" w:space="0" w:color="auto"/>
        <w:bottom w:val="none" w:sz="0" w:space="0" w:color="auto"/>
        <w:right w:val="none" w:sz="0" w:space="0" w:color="auto"/>
      </w:divBdr>
    </w:div>
    <w:div w:id="319236075">
      <w:bodyDiv w:val="1"/>
      <w:marLeft w:val="0"/>
      <w:marRight w:val="0"/>
      <w:marTop w:val="0"/>
      <w:marBottom w:val="0"/>
      <w:divBdr>
        <w:top w:val="none" w:sz="0" w:space="0" w:color="auto"/>
        <w:left w:val="none" w:sz="0" w:space="0" w:color="auto"/>
        <w:bottom w:val="none" w:sz="0" w:space="0" w:color="auto"/>
        <w:right w:val="none" w:sz="0" w:space="0" w:color="auto"/>
      </w:divBdr>
    </w:div>
    <w:div w:id="349380255">
      <w:bodyDiv w:val="1"/>
      <w:marLeft w:val="0"/>
      <w:marRight w:val="0"/>
      <w:marTop w:val="0"/>
      <w:marBottom w:val="0"/>
      <w:divBdr>
        <w:top w:val="none" w:sz="0" w:space="0" w:color="auto"/>
        <w:left w:val="none" w:sz="0" w:space="0" w:color="auto"/>
        <w:bottom w:val="none" w:sz="0" w:space="0" w:color="auto"/>
        <w:right w:val="none" w:sz="0" w:space="0" w:color="auto"/>
      </w:divBdr>
    </w:div>
    <w:div w:id="442655504">
      <w:bodyDiv w:val="1"/>
      <w:marLeft w:val="0"/>
      <w:marRight w:val="0"/>
      <w:marTop w:val="0"/>
      <w:marBottom w:val="0"/>
      <w:divBdr>
        <w:top w:val="none" w:sz="0" w:space="0" w:color="auto"/>
        <w:left w:val="none" w:sz="0" w:space="0" w:color="auto"/>
        <w:bottom w:val="none" w:sz="0" w:space="0" w:color="auto"/>
        <w:right w:val="none" w:sz="0" w:space="0" w:color="auto"/>
      </w:divBdr>
    </w:div>
    <w:div w:id="477651155">
      <w:bodyDiv w:val="1"/>
      <w:marLeft w:val="0"/>
      <w:marRight w:val="0"/>
      <w:marTop w:val="0"/>
      <w:marBottom w:val="0"/>
      <w:divBdr>
        <w:top w:val="none" w:sz="0" w:space="0" w:color="auto"/>
        <w:left w:val="none" w:sz="0" w:space="0" w:color="auto"/>
        <w:bottom w:val="none" w:sz="0" w:space="0" w:color="auto"/>
        <w:right w:val="none" w:sz="0" w:space="0" w:color="auto"/>
      </w:divBdr>
    </w:div>
    <w:div w:id="495151795">
      <w:bodyDiv w:val="1"/>
      <w:marLeft w:val="0"/>
      <w:marRight w:val="0"/>
      <w:marTop w:val="0"/>
      <w:marBottom w:val="0"/>
      <w:divBdr>
        <w:top w:val="none" w:sz="0" w:space="0" w:color="auto"/>
        <w:left w:val="none" w:sz="0" w:space="0" w:color="auto"/>
        <w:bottom w:val="none" w:sz="0" w:space="0" w:color="auto"/>
        <w:right w:val="none" w:sz="0" w:space="0" w:color="auto"/>
      </w:divBdr>
    </w:div>
    <w:div w:id="589462259">
      <w:bodyDiv w:val="1"/>
      <w:marLeft w:val="0"/>
      <w:marRight w:val="0"/>
      <w:marTop w:val="0"/>
      <w:marBottom w:val="0"/>
      <w:divBdr>
        <w:top w:val="none" w:sz="0" w:space="0" w:color="auto"/>
        <w:left w:val="none" w:sz="0" w:space="0" w:color="auto"/>
        <w:bottom w:val="none" w:sz="0" w:space="0" w:color="auto"/>
        <w:right w:val="none" w:sz="0" w:space="0" w:color="auto"/>
      </w:divBdr>
    </w:div>
    <w:div w:id="684986711">
      <w:bodyDiv w:val="1"/>
      <w:marLeft w:val="0"/>
      <w:marRight w:val="0"/>
      <w:marTop w:val="0"/>
      <w:marBottom w:val="0"/>
      <w:divBdr>
        <w:top w:val="none" w:sz="0" w:space="0" w:color="auto"/>
        <w:left w:val="none" w:sz="0" w:space="0" w:color="auto"/>
        <w:bottom w:val="none" w:sz="0" w:space="0" w:color="auto"/>
        <w:right w:val="none" w:sz="0" w:space="0" w:color="auto"/>
      </w:divBdr>
    </w:div>
    <w:div w:id="716709611">
      <w:bodyDiv w:val="1"/>
      <w:marLeft w:val="0"/>
      <w:marRight w:val="0"/>
      <w:marTop w:val="0"/>
      <w:marBottom w:val="0"/>
      <w:divBdr>
        <w:top w:val="none" w:sz="0" w:space="0" w:color="auto"/>
        <w:left w:val="none" w:sz="0" w:space="0" w:color="auto"/>
        <w:bottom w:val="none" w:sz="0" w:space="0" w:color="auto"/>
        <w:right w:val="none" w:sz="0" w:space="0" w:color="auto"/>
      </w:divBdr>
    </w:div>
    <w:div w:id="904334336">
      <w:bodyDiv w:val="1"/>
      <w:marLeft w:val="0"/>
      <w:marRight w:val="0"/>
      <w:marTop w:val="0"/>
      <w:marBottom w:val="0"/>
      <w:divBdr>
        <w:top w:val="none" w:sz="0" w:space="0" w:color="auto"/>
        <w:left w:val="none" w:sz="0" w:space="0" w:color="auto"/>
        <w:bottom w:val="none" w:sz="0" w:space="0" w:color="auto"/>
        <w:right w:val="none" w:sz="0" w:space="0" w:color="auto"/>
      </w:divBdr>
      <w:divsChild>
        <w:div w:id="688482022">
          <w:marLeft w:val="0"/>
          <w:marRight w:val="0"/>
          <w:marTop w:val="0"/>
          <w:marBottom w:val="0"/>
          <w:divBdr>
            <w:top w:val="none" w:sz="0" w:space="0" w:color="auto"/>
            <w:left w:val="none" w:sz="0" w:space="0" w:color="auto"/>
            <w:bottom w:val="none" w:sz="0" w:space="0" w:color="auto"/>
            <w:right w:val="none" w:sz="0" w:space="0" w:color="auto"/>
          </w:divBdr>
          <w:divsChild>
            <w:div w:id="1305160501">
              <w:marLeft w:val="0"/>
              <w:marRight w:val="0"/>
              <w:marTop w:val="0"/>
              <w:marBottom w:val="0"/>
              <w:divBdr>
                <w:top w:val="none" w:sz="0" w:space="0" w:color="auto"/>
                <w:left w:val="none" w:sz="0" w:space="0" w:color="auto"/>
                <w:bottom w:val="none" w:sz="0" w:space="0" w:color="auto"/>
                <w:right w:val="none" w:sz="0" w:space="0" w:color="auto"/>
              </w:divBdr>
              <w:divsChild>
                <w:div w:id="2090730448">
                  <w:marLeft w:val="0"/>
                  <w:marRight w:val="0"/>
                  <w:marTop w:val="0"/>
                  <w:marBottom w:val="0"/>
                  <w:divBdr>
                    <w:top w:val="none" w:sz="0" w:space="0" w:color="auto"/>
                    <w:left w:val="none" w:sz="0" w:space="0" w:color="auto"/>
                    <w:bottom w:val="none" w:sz="0" w:space="0" w:color="auto"/>
                    <w:right w:val="none" w:sz="0" w:space="0" w:color="auto"/>
                  </w:divBdr>
                  <w:divsChild>
                    <w:div w:id="15681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58566">
      <w:bodyDiv w:val="1"/>
      <w:marLeft w:val="0"/>
      <w:marRight w:val="0"/>
      <w:marTop w:val="0"/>
      <w:marBottom w:val="0"/>
      <w:divBdr>
        <w:top w:val="none" w:sz="0" w:space="0" w:color="auto"/>
        <w:left w:val="none" w:sz="0" w:space="0" w:color="auto"/>
        <w:bottom w:val="none" w:sz="0" w:space="0" w:color="auto"/>
        <w:right w:val="none" w:sz="0" w:space="0" w:color="auto"/>
      </w:divBdr>
      <w:divsChild>
        <w:div w:id="1596356919">
          <w:marLeft w:val="0"/>
          <w:marRight w:val="0"/>
          <w:marTop w:val="0"/>
          <w:marBottom w:val="0"/>
          <w:divBdr>
            <w:top w:val="none" w:sz="0" w:space="0" w:color="auto"/>
            <w:left w:val="none" w:sz="0" w:space="0" w:color="auto"/>
            <w:bottom w:val="none" w:sz="0" w:space="0" w:color="auto"/>
            <w:right w:val="none" w:sz="0" w:space="0" w:color="auto"/>
          </w:divBdr>
          <w:divsChild>
            <w:div w:id="2049181345">
              <w:marLeft w:val="0"/>
              <w:marRight w:val="0"/>
              <w:marTop w:val="0"/>
              <w:marBottom w:val="0"/>
              <w:divBdr>
                <w:top w:val="none" w:sz="0" w:space="0" w:color="auto"/>
                <w:left w:val="none" w:sz="0" w:space="0" w:color="auto"/>
                <w:bottom w:val="none" w:sz="0" w:space="0" w:color="auto"/>
                <w:right w:val="none" w:sz="0" w:space="0" w:color="auto"/>
              </w:divBdr>
              <w:divsChild>
                <w:div w:id="1925725445">
                  <w:marLeft w:val="0"/>
                  <w:marRight w:val="0"/>
                  <w:marTop w:val="0"/>
                  <w:marBottom w:val="0"/>
                  <w:divBdr>
                    <w:top w:val="none" w:sz="0" w:space="0" w:color="auto"/>
                    <w:left w:val="none" w:sz="0" w:space="0" w:color="auto"/>
                    <w:bottom w:val="none" w:sz="0" w:space="0" w:color="auto"/>
                    <w:right w:val="none" w:sz="0" w:space="0" w:color="auto"/>
                  </w:divBdr>
                  <w:divsChild>
                    <w:div w:id="5576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93555">
      <w:bodyDiv w:val="1"/>
      <w:marLeft w:val="0"/>
      <w:marRight w:val="0"/>
      <w:marTop w:val="0"/>
      <w:marBottom w:val="0"/>
      <w:divBdr>
        <w:top w:val="none" w:sz="0" w:space="0" w:color="auto"/>
        <w:left w:val="none" w:sz="0" w:space="0" w:color="auto"/>
        <w:bottom w:val="none" w:sz="0" w:space="0" w:color="auto"/>
        <w:right w:val="none" w:sz="0" w:space="0" w:color="auto"/>
      </w:divBdr>
      <w:divsChild>
        <w:div w:id="1188256914">
          <w:marLeft w:val="0"/>
          <w:marRight w:val="0"/>
          <w:marTop w:val="0"/>
          <w:marBottom w:val="0"/>
          <w:divBdr>
            <w:top w:val="none" w:sz="0" w:space="0" w:color="auto"/>
            <w:left w:val="none" w:sz="0" w:space="0" w:color="auto"/>
            <w:bottom w:val="none" w:sz="0" w:space="0" w:color="auto"/>
            <w:right w:val="none" w:sz="0" w:space="0" w:color="auto"/>
          </w:divBdr>
          <w:divsChild>
            <w:div w:id="192427831">
              <w:marLeft w:val="0"/>
              <w:marRight w:val="0"/>
              <w:marTop w:val="0"/>
              <w:marBottom w:val="0"/>
              <w:divBdr>
                <w:top w:val="none" w:sz="0" w:space="0" w:color="auto"/>
                <w:left w:val="none" w:sz="0" w:space="0" w:color="auto"/>
                <w:bottom w:val="none" w:sz="0" w:space="0" w:color="auto"/>
                <w:right w:val="none" w:sz="0" w:space="0" w:color="auto"/>
              </w:divBdr>
              <w:divsChild>
                <w:div w:id="492137687">
                  <w:marLeft w:val="0"/>
                  <w:marRight w:val="0"/>
                  <w:marTop w:val="0"/>
                  <w:marBottom w:val="0"/>
                  <w:divBdr>
                    <w:top w:val="none" w:sz="0" w:space="0" w:color="auto"/>
                    <w:left w:val="none" w:sz="0" w:space="0" w:color="auto"/>
                    <w:bottom w:val="none" w:sz="0" w:space="0" w:color="auto"/>
                    <w:right w:val="none" w:sz="0" w:space="0" w:color="auto"/>
                  </w:divBdr>
                  <w:divsChild>
                    <w:div w:id="2043045536">
                      <w:marLeft w:val="0"/>
                      <w:marRight w:val="0"/>
                      <w:marTop w:val="0"/>
                      <w:marBottom w:val="0"/>
                      <w:divBdr>
                        <w:top w:val="none" w:sz="0" w:space="0" w:color="auto"/>
                        <w:left w:val="none" w:sz="0" w:space="0" w:color="auto"/>
                        <w:bottom w:val="none" w:sz="0" w:space="0" w:color="auto"/>
                        <w:right w:val="none" w:sz="0" w:space="0" w:color="auto"/>
                      </w:divBdr>
                      <w:divsChild>
                        <w:div w:id="881281733">
                          <w:marLeft w:val="0"/>
                          <w:marRight w:val="0"/>
                          <w:marTop w:val="0"/>
                          <w:marBottom w:val="0"/>
                          <w:divBdr>
                            <w:top w:val="none" w:sz="0" w:space="0" w:color="auto"/>
                            <w:left w:val="none" w:sz="0" w:space="0" w:color="auto"/>
                            <w:bottom w:val="none" w:sz="0" w:space="0" w:color="auto"/>
                            <w:right w:val="none" w:sz="0" w:space="0" w:color="auto"/>
                          </w:divBdr>
                          <w:divsChild>
                            <w:div w:id="9852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9027">
                  <w:marLeft w:val="0"/>
                  <w:marRight w:val="0"/>
                  <w:marTop w:val="0"/>
                  <w:marBottom w:val="0"/>
                  <w:divBdr>
                    <w:top w:val="none" w:sz="0" w:space="0" w:color="auto"/>
                    <w:left w:val="none" w:sz="0" w:space="0" w:color="auto"/>
                    <w:bottom w:val="none" w:sz="0" w:space="0" w:color="auto"/>
                    <w:right w:val="none" w:sz="0" w:space="0" w:color="auto"/>
                  </w:divBdr>
                  <w:divsChild>
                    <w:div w:id="2012944298">
                      <w:marLeft w:val="0"/>
                      <w:marRight w:val="0"/>
                      <w:marTop w:val="0"/>
                      <w:marBottom w:val="0"/>
                      <w:divBdr>
                        <w:top w:val="none" w:sz="0" w:space="0" w:color="auto"/>
                        <w:left w:val="none" w:sz="0" w:space="0" w:color="auto"/>
                        <w:bottom w:val="none" w:sz="0" w:space="0" w:color="auto"/>
                        <w:right w:val="none" w:sz="0" w:space="0" w:color="auto"/>
                      </w:divBdr>
                      <w:divsChild>
                        <w:div w:id="1374578752">
                          <w:marLeft w:val="0"/>
                          <w:marRight w:val="0"/>
                          <w:marTop w:val="0"/>
                          <w:marBottom w:val="0"/>
                          <w:divBdr>
                            <w:top w:val="none" w:sz="0" w:space="0" w:color="auto"/>
                            <w:left w:val="none" w:sz="0" w:space="0" w:color="auto"/>
                            <w:bottom w:val="none" w:sz="0" w:space="0" w:color="auto"/>
                            <w:right w:val="none" w:sz="0" w:space="0" w:color="auto"/>
                          </w:divBdr>
                          <w:divsChild>
                            <w:div w:id="373123328">
                              <w:marLeft w:val="0"/>
                              <w:marRight w:val="0"/>
                              <w:marTop w:val="0"/>
                              <w:marBottom w:val="0"/>
                              <w:divBdr>
                                <w:top w:val="none" w:sz="0" w:space="0" w:color="auto"/>
                                <w:left w:val="none" w:sz="0" w:space="0" w:color="auto"/>
                                <w:bottom w:val="none" w:sz="0" w:space="0" w:color="auto"/>
                                <w:right w:val="none" w:sz="0" w:space="0" w:color="auto"/>
                              </w:divBdr>
                              <w:divsChild>
                                <w:div w:id="3611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767603">
      <w:bodyDiv w:val="1"/>
      <w:marLeft w:val="0"/>
      <w:marRight w:val="0"/>
      <w:marTop w:val="0"/>
      <w:marBottom w:val="0"/>
      <w:divBdr>
        <w:top w:val="none" w:sz="0" w:space="0" w:color="auto"/>
        <w:left w:val="none" w:sz="0" w:space="0" w:color="auto"/>
        <w:bottom w:val="none" w:sz="0" w:space="0" w:color="auto"/>
        <w:right w:val="none" w:sz="0" w:space="0" w:color="auto"/>
      </w:divBdr>
      <w:divsChild>
        <w:div w:id="1878422299">
          <w:marLeft w:val="0"/>
          <w:marRight w:val="0"/>
          <w:marTop w:val="0"/>
          <w:marBottom w:val="0"/>
          <w:divBdr>
            <w:top w:val="none" w:sz="0" w:space="0" w:color="auto"/>
            <w:left w:val="none" w:sz="0" w:space="0" w:color="auto"/>
            <w:bottom w:val="none" w:sz="0" w:space="0" w:color="auto"/>
            <w:right w:val="none" w:sz="0" w:space="0" w:color="auto"/>
          </w:divBdr>
          <w:divsChild>
            <w:div w:id="1555316630">
              <w:marLeft w:val="0"/>
              <w:marRight w:val="0"/>
              <w:marTop w:val="0"/>
              <w:marBottom w:val="0"/>
              <w:divBdr>
                <w:top w:val="none" w:sz="0" w:space="0" w:color="auto"/>
                <w:left w:val="none" w:sz="0" w:space="0" w:color="auto"/>
                <w:bottom w:val="none" w:sz="0" w:space="0" w:color="auto"/>
                <w:right w:val="none" w:sz="0" w:space="0" w:color="auto"/>
              </w:divBdr>
              <w:divsChild>
                <w:div w:id="502209130">
                  <w:marLeft w:val="0"/>
                  <w:marRight w:val="0"/>
                  <w:marTop w:val="0"/>
                  <w:marBottom w:val="0"/>
                  <w:divBdr>
                    <w:top w:val="none" w:sz="0" w:space="0" w:color="auto"/>
                    <w:left w:val="none" w:sz="0" w:space="0" w:color="auto"/>
                    <w:bottom w:val="none" w:sz="0" w:space="0" w:color="auto"/>
                    <w:right w:val="none" w:sz="0" w:space="0" w:color="auto"/>
                  </w:divBdr>
                  <w:divsChild>
                    <w:div w:id="1785954294">
                      <w:marLeft w:val="0"/>
                      <w:marRight w:val="0"/>
                      <w:marTop w:val="0"/>
                      <w:marBottom w:val="0"/>
                      <w:divBdr>
                        <w:top w:val="none" w:sz="0" w:space="0" w:color="auto"/>
                        <w:left w:val="none" w:sz="0" w:space="0" w:color="auto"/>
                        <w:bottom w:val="none" w:sz="0" w:space="0" w:color="auto"/>
                        <w:right w:val="none" w:sz="0" w:space="0" w:color="auto"/>
                      </w:divBdr>
                      <w:divsChild>
                        <w:div w:id="223374410">
                          <w:marLeft w:val="0"/>
                          <w:marRight w:val="0"/>
                          <w:marTop w:val="0"/>
                          <w:marBottom w:val="0"/>
                          <w:divBdr>
                            <w:top w:val="none" w:sz="0" w:space="0" w:color="auto"/>
                            <w:left w:val="none" w:sz="0" w:space="0" w:color="auto"/>
                            <w:bottom w:val="none" w:sz="0" w:space="0" w:color="auto"/>
                            <w:right w:val="none" w:sz="0" w:space="0" w:color="auto"/>
                          </w:divBdr>
                          <w:divsChild>
                            <w:div w:id="1520268810">
                              <w:marLeft w:val="0"/>
                              <w:marRight w:val="0"/>
                              <w:marTop w:val="0"/>
                              <w:marBottom w:val="0"/>
                              <w:divBdr>
                                <w:top w:val="none" w:sz="0" w:space="0" w:color="auto"/>
                                <w:left w:val="none" w:sz="0" w:space="0" w:color="auto"/>
                                <w:bottom w:val="none" w:sz="0" w:space="0" w:color="auto"/>
                                <w:right w:val="none" w:sz="0" w:space="0" w:color="auto"/>
                              </w:divBdr>
                              <w:divsChild>
                                <w:div w:id="19412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0444">
                  <w:marLeft w:val="0"/>
                  <w:marRight w:val="0"/>
                  <w:marTop w:val="0"/>
                  <w:marBottom w:val="0"/>
                  <w:divBdr>
                    <w:top w:val="none" w:sz="0" w:space="0" w:color="auto"/>
                    <w:left w:val="none" w:sz="0" w:space="0" w:color="auto"/>
                    <w:bottom w:val="none" w:sz="0" w:space="0" w:color="auto"/>
                    <w:right w:val="none" w:sz="0" w:space="0" w:color="auto"/>
                  </w:divBdr>
                  <w:divsChild>
                    <w:div w:id="1546485003">
                      <w:marLeft w:val="0"/>
                      <w:marRight w:val="0"/>
                      <w:marTop w:val="0"/>
                      <w:marBottom w:val="0"/>
                      <w:divBdr>
                        <w:top w:val="none" w:sz="0" w:space="0" w:color="auto"/>
                        <w:left w:val="none" w:sz="0" w:space="0" w:color="auto"/>
                        <w:bottom w:val="none" w:sz="0" w:space="0" w:color="auto"/>
                        <w:right w:val="none" w:sz="0" w:space="0" w:color="auto"/>
                      </w:divBdr>
                      <w:divsChild>
                        <w:div w:id="1298343417">
                          <w:marLeft w:val="0"/>
                          <w:marRight w:val="0"/>
                          <w:marTop w:val="0"/>
                          <w:marBottom w:val="0"/>
                          <w:divBdr>
                            <w:top w:val="none" w:sz="0" w:space="0" w:color="auto"/>
                            <w:left w:val="none" w:sz="0" w:space="0" w:color="auto"/>
                            <w:bottom w:val="none" w:sz="0" w:space="0" w:color="auto"/>
                            <w:right w:val="none" w:sz="0" w:space="0" w:color="auto"/>
                          </w:divBdr>
                          <w:divsChild>
                            <w:div w:id="11005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ina.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fae40b-b34f-4acd-87cc-1072d8ff7c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1149EE0C23FD9544998EF7D8DF0D21E0" ma:contentTypeVersion="5" ma:contentTypeDescription="Új dokumentum létrehozása." ma:contentTypeScope="" ma:versionID="6e2b8b41a567a85b8b107ad406660387">
  <xsd:schema xmlns:xsd="http://www.w3.org/2001/XMLSchema" xmlns:xs="http://www.w3.org/2001/XMLSchema" xmlns:p="http://schemas.microsoft.com/office/2006/metadata/properties" xmlns:ns3="59fae40b-b34f-4acd-87cc-1072d8ff7c91" targetNamespace="http://schemas.microsoft.com/office/2006/metadata/properties" ma:root="true" ma:fieldsID="e7021118cce6491c8255592db381b21c" ns3:_="">
    <xsd:import namespace="59fae40b-b34f-4acd-87cc-1072d8ff7c9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ae40b-b34f-4acd-87cc-1072d8ff7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BD3F5-A39B-4478-B677-9F2AE3DB2E4F}">
  <ds:schemaRefs>
    <ds:schemaRef ds:uri="http://schemas.microsoft.com/office/2006/metadata/properties"/>
    <ds:schemaRef ds:uri="http://schemas.microsoft.com/office/infopath/2007/PartnerControls"/>
    <ds:schemaRef ds:uri="59fae40b-b34f-4acd-87cc-1072d8ff7c91"/>
  </ds:schemaRefs>
</ds:datastoreItem>
</file>

<file path=customXml/itemProps2.xml><?xml version="1.0" encoding="utf-8"?>
<ds:datastoreItem xmlns:ds="http://schemas.openxmlformats.org/officeDocument/2006/customXml" ds:itemID="{4C000161-8E8A-4D19-AFFE-FDB85F509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ae40b-b34f-4acd-87cc-1072d8ff7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CF0F9-EE5E-457E-9008-35FA163DC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INA d.d.</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Greiner Danko</dc:creator>
  <cp:keywords/>
  <dc:description/>
  <cp:lastModifiedBy>Jurković Filip (INA d.d.)</cp:lastModifiedBy>
  <cp:revision>5</cp:revision>
  <cp:lastPrinted>2025-07-17T08:31:00Z</cp:lastPrinted>
  <dcterms:created xsi:type="dcterms:W3CDTF">2025-12-19T09:26:00Z</dcterms:created>
  <dcterms:modified xsi:type="dcterms:W3CDTF">2025-12-19T11:06:00Z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0x0101001149EE0C23FD9544998EF7D8DF0D21E0</vt:lpwstr>
  </property>
</Properties>
</file>